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01F1D">
      <w:r>
        <w:drawing>
          <wp:inline distT="0" distB="0" distL="114300" distR="114300">
            <wp:extent cx="6178550" cy="8609965"/>
            <wp:effectExtent l="0" t="0" r="12700"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6178550" cy="8609965"/>
                    </a:xfrm>
                    <a:prstGeom prst="rect">
                      <a:avLst/>
                    </a:prstGeom>
                    <a:noFill/>
                    <a:ln>
                      <a:noFill/>
                    </a:ln>
                  </pic:spPr>
                </pic:pic>
              </a:graphicData>
            </a:graphic>
          </wp:inline>
        </w:drawing>
      </w:r>
    </w:p>
    <w:p w14:paraId="1F58296F">
      <w:pPr>
        <w:rPr>
          <w:rFonts w:hint="eastAsia"/>
          <w:lang w:eastAsia="zh-CN"/>
        </w:rPr>
        <w:sectPr>
          <w:pgSz w:w="11906" w:h="16838"/>
          <w:pgMar w:top="1440" w:right="1080" w:bottom="1440" w:left="1080" w:header="851" w:footer="1331" w:gutter="0"/>
          <w:cols w:space="720" w:num="1"/>
          <w:titlePg/>
          <w:docGrid w:type="lines" w:linePitch="326" w:charSpace="0"/>
        </w:sectPr>
      </w:pPr>
    </w:p>
    <w:p w14:paraId="3F805A7A">
      <w:pPr>
        <w:rPr>
          <w:rFonts w:hint="eastAsia"/>
          <w:lang w:eastAsia="zh-CN"/>
        </w:rPr>
      </w:pPr>
    </w:p>
    <w:p w14:paraId="304DB874">
      <w:pPr>
        <w:pStyle w:val="22"/>
        <w:rPr>
          <w:rFonts w:hint="eastAsia" w:ascii="宋体" w:hAnsi="宋体" w:eastAsia="宋体" w:cs="宋体"/>
        </w:rPr>
      </w:pPr>
    </w:p>
    <w:p w14:paraId="2752CEA3">
      <w:pPr>
        <w:pStyle w:val="22"/>
        <w:rPr>
          <w:rFonts w:hint="eastAsia" w:ascii="宋体" w:hAnsi="宋体" w:eastAsia="宋体" w:cs="宋体"/>
        </w:rPr>
      </w:pPr>
    </w:p>
    <w:p w14:paraId="71A93ECF">
      <w:pPr>
        <w:pStyle w:val="22"/>
        <w:spacing w:line="360"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中共平顶山市新华区委政法委员会202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lang w:eastAsia="zh-CN"/>
        </w:rPr>
        <w:t>年新华区平安家园民生综合保险项目（</w:t>
      </w:r>
      <w:r>
        <w:rPr>
          <w:rFonts w:hint="eastAsia" w:ascii="宋体" w:hAnsi="宋体" w:eastAsia="宋体" w:cs="宋体"/>
          <w:b/>
          <w:bCs/>
          <w:sz w:val="44"/>
          <w:szCs w:val="44"/>
          <w:lang w:val="en-US" w:eastAsia="zh-CN"/>
        </w:rPr>
        <w:t>第二标段</w:t>
      </w:r>
      <w:r>
        <w:rPr>
          <w:rFonts w:hint="eastAsia" w:ascii="宋体" w:hAnsi="宋体" w:eastAsia="宋体" w:cs="宋体"/>
          <w:b/>
          <w:bCs/>
          <w:sz w:val="44"/>
          <w:szCs w:val="44"/>
          <w:lang w:eastAsia="zh-CN"/>
        </w:rPr>
        <w:t>）</w:t>
      </w:r>
    </w:p>
    <w:p w14:paraId="0969849A">
      <w:pPr>
        <w:pStyle w:val="22"/>
        <w:rPr>
          <w:rFonts w:hint="eastAsia" w:ascii="宋体" w:hAnsi="宋体" w:eastAsia="宋体" w:cs="宋体"/>
        </w:rPr>
      </w:pPr>
    </w:p>
    <w:p w14:paraId="6B1ED3AB">
      <w:pPr>
        <w:pStyle w:val="22"/>
        <w:rPr>
          <w:rFonts w:hint="eastAsia" w:ascii="宋体" w:hAnsi="宋体" w:eastAsia="宋体" w:cs="宋体"/>
        </w:rPr>
      </w:pPr>
    </w:p>
    <w:p w14:paraId="63E10B73">
      <w:pPr>
        <w:pStyle w:val="33"/>
        <w:ind w:left="480"/>
        <w:rPr>
          <w:rFonts w:hint="eastAsia" w:ascii="宋体" w:hAnsi="宋体" w:eastAsia="宋体" w:cs="宋体"/>
        </w:rPr>
      </w:pPr>
    </w:p>
    <w:p w14:paraId="4FCCBEA6">
      <w:pPr>
        <w:pStyle w:val="33"/>
        <w:ind w:left="480"/>
        <w:rPr>
          <w:rFonts w:hint="eastAsia" w:ascii="宋体" w:hAnsi="宋体" w:eastAsia="宋体" w:cs="宋体"/>
        </w:rPr>
      </w:pPr>
    </w:p>
    <w:p w14:paraId="5F870BDB">
      <w:pPr>
        <w:pStyle w:val="33"/>
        <w:ind w:left="480"/>
        <w:rPr>
          <w:rFonts w:hint="eastAsia" w:ascii="宋体" w:hAnsi="宋体" w:eastAsia="宋体" w:cs="宋体"/>
        </w:rPr>
      </w:pPr>
    </w:p>
    <w:p w14:paraId="325832EB">
      <w:pPr>
        <w:pStyle w:val="33"/>
        <w:ind w:left="480"/>
        <w:rPr>
          <w:rFonts w:hint="eastAsia" w:ascii="宋体" w:hAnsi="宋体" w:eastAsia="宋体" w:cs="宋体"/>
        </w:rPr>
      </w:pPr>
    </w:p>
    <w:p w14:paraId="4CC7C73C">
      <w:pPr>
        <w:jc w:val="center"/>
        <w:rPr>
          <w:rFonts w:hint="eastAsia" w:ascii="宋体" w:hAnsi="宋体" w:eastAsia="宋体" w:cs="宋体"/>
          <w:b/>
          <w:sz w:val="72"/>
        </w:rPr>
      </w:pPr>
      <w:r>
        <w:rPr>
          <w:rFonts w:hint="eastAsia" w:ascii="宋体" w:hAnsi="宋体" w:eastAsia="宋体" w:cs="宋体"/>
          <w:b/>
          <w:sz w:val="72"/>
          <w:szCs w:val="21"/>
        </w:rPr>
        <w:t>竞争性磋商文件</w:t>
      </w:r>
    </w:p>
    <w:p w14:paraId="08CEB5D5">
      <w:pPr>
        <w:rPr>
          <w:rFonts w:hint="eastAsia" w:ascii="宋体" w:hAnsi="宋体" w:eastAsia="宋体" w:cs="宋体"/>
        </w:rPr>
      </w:pPr>
    </w:p>
    <w:p w14:paraId="72FE63E5">
      <w:pPr>
        <w:rPr>
          <w:rFonts w:hint="eastAsia" w:ascii="宋体" w:hAnsi="宋体" w:eastAsia="宋体" w:cs="宋体"/>
        </w:rPr>
      </w:pPr>
    </w:p>
    <w:p w14:paraId="0A90FBEE">
      <w:pPr>
        <w:rPr>
          <w:rFonts w:hint="eastAsia" w:ascii="宋体" w:hAnsi="宋体" w:eastAsia="宋体" w:cs="宋体"/>
        </w:rPr>
      </w:pPr>
    </w:p>
    <w:p w14:paraId="10E7609F">
      <w:pPr>
        <w:rPr>
          <w:rFonts w:hint="eastAsia" w:ascii="宋体" w:hAnsi="宋体" w:eastAsia="宋体" w:cs="宋体"/>
        </w:rPr>
      </w:pPr>
    </w:p>
    <w:p w14:paraId="59F9EEBD">
      <w:pPr>
        <w:rPr>
          <w:rFonts w:hint="eastAsia" w:ascii="宋体" w:hAnsi="宋体" w:eastAsia="宋体" w:cs="宋体"/>
        </w:rPr>
      </w:pPr>
    </w:p>
    <w:p w14:paraId="2ED8415C">
      <w:pPr>
        <w:rPr>
          <w:rFonts w:hint="eastAsia" w:ascii="宋体" w:hAnsi="宋体" w:eastAsia="宋体" w:cs="宋体"/>
        </w:rPr>
      </w:pPr>
    </w:p>
    <w:p w14:paraId="21F65956">
      <w:pPr>
        <w:rPr>
          <w:rFonts w:hint="eastAsia" w:ascii="宋体" w:hAnsi="宋体" w:eastAsia="宋体" w:cs="宋体"/>
        </w:rPr>
      </w:pPr>
    </w:p>
    <w:p w14:paraId="0A09670E">
      <w:pPr>
        <w:rPr>
          <w:rFonts w:hint="eastAsia" w:ascii="宋体" w:hAnsi="宋体" w:eastAsia="宋体" w:cs="宋体"/>
        </w:rPr>
      </w:pPr>
    </w:p>
    <w:p w14:paraId="4606AC9B">
      <w:pPr>
        <w:rPr>
          <w:rFonts w:hint="eastAsia" w:ascii="宋体" w:hAnsi="宋体" w:eastAsia="宋体" w:cs="宋体"/>
        </w:rPr>
      </w:pPr>
    </w:p>
    <w:p w14:paraId="20745131">
      <w:pPr>
        <w:rPr>
          <w:rFonts w:hint="eastAsia" w:ascii="宋体" w:hAnsi="宋体" w:eastAsia="宋体" w:cs="宋体"/>
        </w:rPr>
      </w:pPr>
    </w:p>
    <w:p w14:paraId="4766FC5E">
      <w:pPr>
        <w:rPr>
          <w:rFonts w:hint="eastAsia" w:ascii="宋体" w:hAnsi="宋体" w:eastAsia="宋体" w:cs="宋体"/>
        </w:rPr>
      </w:pPr>
    </w:p>
    <w:p w14:paraId="3AAE04F1">
      <w:pPr>
        <w:rPr>
          <w:rFonts w:hint="eastAsia" w:ascii="宋体" w:hAnsi="宋体" w:eastAsia="宋体" w:cs="宋体"/>
        </w:rPr>
      </w:pPr>
    </w:p>
    <w:p w14:paraId="397CE3F1">
      <w:pPr>
        <w:rPr>
          <w:rFonts w:hint="eastAsia" w:ascii="宋体" w:hAnsi="宋体" w:eastAsia="宋体" w:cs="宋体"/>
        </w:rPr>
      </w:pPr>
    </w:p>
    <w:p w14:paraId="17061100">
      <w:pPr>
        <w:rPr>
          <w:rFonts w:hint="eastAsia" w:ascii="宋体" w:hAnsi="宋体" w:eastAsia="宋体" w:cs="宋体"/>
        </w:rPr>
      </w:pPr>
    </w:p>
    <w:p w14:paraId="531358B7">
      <w:pPr>
        <w:pStyle w:val="33"/>
        <w:ind w:left="0" w:leftChars="0" w:firstLine="0" w:firstLineChars="0"/>
        <w:jc w:val="left"/>
        <w:rPr>
          <w:rFonts w:hint="eastAsia" w:ascii="宋体" w:hAnsi="宋体" w:eastAsia="宋体" w:cs="宋体"/>
        </w:rPr>
      </w:pPr>
    </w:p>
    <w:p w14:paraId="2FACD616">
      <w:pPr>
        <w:pStyle w:val="33"/>
        <w:ind w:left="0" w:leftChars="0" w:firstLine="0" w:firstLineChars="0"/>
        <w:jc w:val="left"/>
        <w:rPr>
          <w:rFonts w:hint="eastAsia" w:ascii="宋体" w:hAnsi="宋体" w:eastAsia="宋体" w:cs="宋体"/>
        </w:rPr>
      </w:pPr>
    </w:p>
    <w:p w14:paraId="514B302D">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   购   人：中共平顶山市新华区委政法委员会</w:t>
      </w:r>
    </w:p>
    <w:p w14:paraId="256ECD79">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采购代理机构：河南易采工程管理有限公司</w:t>
      </w:r>
    </w:p>
    <w:p w14:paraId="744F1C5B">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日        期：二〇二</w:t>
      </w:r>
      <w:r>
        <w:rPr>
          <w:rFonts w:hint="eastAsia" w:ascii="宋体" w:hAnsi="宋体" w:eastAsia="宋体" w:cs="宋体"/>
          <w:b/>
          <w:bCs/>
          <w:sz w:val="32"/>
          <w:szCs w:val="40"/>
          <w:lang w:val="en-US" w:eastAsia="zh-CN"/>
        </w:rPr>
        <w:t>六</w:t>
      </w:r>
      <w:r>
        <w:rPr>
          <w:rFonts w:hint="eastAsia" w:ascii="宋体" w:hAnsi="宋体" w:eastAsia="宋体" w:cs="宋体"/>
          <w:b/>
          <w:bCs/>
          <w:sz w:val="32"/>
          <w:szCs w:val="40"/>
        </w:rPr>
        <w:t>年</w:t>
      </w:r>
      <w:r>
        <w:rPr>
          <w:rFonts w:hint="eastAsia" w:ascii="宋体" w:hAnsi="宋体" w:eastAsia="宋体" w:cs="宋体"/>
          <w:b/>
          <w:bCs/>
          <w:sz w:val="32"/>
          <w:szCs w:val="40"/>
          <w:lang w:val="en-US" w:eastAsia="zh-CN"/>
        </w:rPr>
        <w:t>一</w:t>
      </w:r>
      <w:r>
        <w:rPr>
          <w:rFonts w:hint="eastAsia" w:ascii="宋体" w:hAnsi="宋体" w:eastAsia="宋体" w:cs="宋体"/>
          <w:b/>
          <w:bCs/>
          <w:sz w:val="32"/>
          <w:szCs w:val="40"/>
        </w:rPr>
        <w:t>月</w:t>
      </w:r>
    </w:p>
    <w:p w14:paraId="3A5AA392">
      <w:pPr>
        <w:pStyle w:val="33"/>
        <w:ind w:left="0" w:leftChars="0" w:firstLine="0" w:firstLineChars="0"/>
        <w:rPr>
          <w:rFonts w:hint="eastAsia" w:ascii="宋体" w:hAnsi="宋体" w:eastAsia="宋体" w:cs="宋体"/>
        </w:rPr>
      </w:pPr>
    </w:p>
    <w:p w14:paraId="480ACF2D">
      <w:pPr>
        <w:jc w:val="center"/>
        <w:rPr>
          <w:rFonts w:hint="eastAsia" w:ascii="宋体" w:hAnsi="宋体" w:eastAsia="宋体" w:cs="宋体"/>
          <w:sz w:val="20"/>
          <w:szCs w:val="21"/>
        </w:rPr>
        <w:sectPr>
          <w:footerReference r:id="rId4" w:type="first"/>
          <w:footerReference r:id="rId3" w:type="default"/>
          <w:pgSz w:w="11906" w:h="16838"/>
          <w:pgMar w:top="1440" w:right="1080" w:bottom="1440" w:left="1080" w:header="851" w:footer="1331" w:gutter="0"/>
          <w:cols w:space="720" w:num="1"/>
          <w:titlePg/>
          <w:docGrid w:type="lines" w:linePitch="326" w:charSpace="0"/>
        </w:sectPr>
      </w:pPr>
    </w:p>
    <w:sdt>
      <w:sdtPr>
        <w:rPr>
          <w:rFonts w:hint="eastAsia" w:ascii="宋体" w:hAnsi="宋体" w:eastAsia="宋体" w:cs="宋体"/>
          <w:sz w:val="20"/>
          <w:szCs w:val="21"/>
        </w:rPr>
        <w:id w:val="147475524"/>
        <w:docPartObj>
          <w:docPartGallery w:val="Table of Contents"/>
          <w:docPartUnique/>
        </w:docPartObj>
      </w:sdtPr>
      <w:sdtEndPr>
        <w:rPr>
          <w:rFonts w:hint="eastAsia" w:ascii="宋体" w:hAnsi="宋体" w:eastAsia="宋体" w:cs="宋体"/>
          <w:sz w:val="24"/>
          <w:szCs w:val="22"/>
        </w:rPr>
      </w:sdtEndPr>
      <w:sdtContent>
        <w:p w14:paraId="46476D5A">
          <w:pPr>
            <w:jc w:val="center"/>
            <w:rPr>
              <w:rFonts w:hint="eastAsia" w:ascii="宋体" w:hAnsi="宋体" w:eastAsia="宋体" w:cs="宋体"/>
              <w:sz w:val="40"/>
              <w:szCs w:val="40"/>
            </w:rPr>
          </w:pPr>
          <w:r>
            <w:rPr>
              <w:rFonts w:hint="eastAsia" w:ascii="宋体" w:hAnsi="宋体" w:eastAsia="宋体" w:cs="宋体"/>
              <w:sz w:val="40"/>
              <w:szCs w:val="40"/>
            </w:rPr>
            <w:t>目  录</w:t>
          </w:r>
        </w:p>
        <w:p w14:paraId="035DB140">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TOC \o "1-3" \h \u </w:instrText>
          </w:r>
          <w:r>
            <w:rPr>
              <w:rFonts w:hint="eastAsia" w:ascii="宋体" w:hAnsi="宋体" w:eastAsia="宋体" w:cs="宋体"/>
              <w:szCs w:val="21"/>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"_Toc31259" </w:instrText>
          </w:r>
          <w:r>
            <w:rPr>
              <w:rFonts w:hint="eastAsia" w:ascii="宋体" w:hAnsi="宋体" w:eastAsia="宋体" w:cs="宋体"/>
            </w:rPr>
            <w:fldChar w:fldCharType="separate"/>
          </w:r>
          <w:r>
            <w:rPr>
              <w:rFonts w:hint="eastAsia" w:ascii="宋体" w:hAnsi="宋体" w:eastAsia="宋体" w:cs="宋体"/>
              <w:szCs w:val="21"/>
            </w:rPr>
            <w:t>第一章  磋商公告</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_Toc31259 \h </w:instrText>
          </w:r>
          <w:r>
            <w:rPr>
              <w:rFonts w:hint="eastAsia" w:ascii="宋体" w:hAnsi="宋体" w:eastAsia="宋体" w:cs="宋体"/>
              <w:szCs w:val="21"/>
            </w:rPr>
            <w:fldChar w:fldCharType="separate"/>
          </w:r>
          <w:r>
            <w:rPr>
              <w:rFonts w:hint="eastAsia" w:ascii="宋体" w:hAnsi="宋体" w:eastAsia="宋体" w:cs="宋体"/>
              <w:szCs w:val="21"/>
            </w:rPr>
            <w:t>4</w:t>
          </w:r>
          <w:r>
            <w:rPr>
              <w:rFonts w:hint="eastAsia" w:ascii="宋体" w:hAnsi="宋体" w:eastAsia="宋体" w:cs="宋体"/>
              <w:szCs w:val="21"/>
            </w:rPr>
            <w:fldChar w:fldCharType="end"/>
          </w:r>
          <w:r>
            <w:rPr>
              <w:rFonts w:hint="eastAsia" w:ascii="宋体" w:hAnsi="宋体" w:eastAsia="宋体" w:cs="宋体"/>
              <w:szCs w:val="21"/>
            </w:rPr>
            <w:fldChar w:fldCharType="end"/>
          </w:r>
        </w:p>
        <w:p w14:paraId="2D5B65D3">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"_Toc19193" </w:instrText>
          </w:r>
          <w:r>
            <w:rPr>
              <w:rFonts w:hint="eastAsia" w:ascii="宋体" w:hAnsi="宋体" w:eastAsia="宋体" w:cs="宋体"/>
            </w:rPr>
            <w:fldChar w:fldCharType="separate"/>
          </w:r>
          <w:r>
            <w:rPr>
              <w:rFonts w:hint="eastAsia" w:ascii="宋体" w:hAnsi="宋体" w:eastAsia="宋体" w:cs="宋体"/>
              <w:szCs w:val="21"/>
            </w:rPr>
            <w:t>第二章  供应商须知</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_Toc19193 \h </w:instrText>
          </w:r>
          <w:r>
            <w:rPr>
              <w:rFonts w:hint="eastAsia" w:ascii="宋体" w:hAnsi="宋体" w:eastAsia="宋体" w:cs="宋体"/>
              <w:szCs w:val="21"/>
            </w:rPr>
            <w:fldChar w:fldCharType="separate"/>
          </w:r>
          <w:r>
            <w:rPr>
              <w:rFonts w:hint="eastAsia" w:ascii="宋体" w:hAnsi="宋体" w:eastAsia="宋体" w:cs="宋体"/>
              <w:szCs w:val="21"/>
            </w:rPr>
            <w:t>9</w:t>
          </w:r>
          <w:r>
            <w:rPr>
              <w:rFonts w:hint="eastAsia" w:ascii="宋体" w:hAnsi="宋体" w:eastAsia="宋体" w:cs="宋体"/>
              <w:szCs w:val="21"/>
            </w:rPr>
            <w:fldChar w:fldCharType="end"/>
          </w:r>
          <w:r>
            <w:rPr>
              <w:rFonts w:hint="eastAsia" w:ascii="宋体" w:hAnsi="宋体" w:eastAsia="宋体" w:cs="宋体"/>
              <w:szCs w:val="21"/>
            </w:rPr>
            <w:fldChar w:fldCharType="end"/>
          </w:r>
        </w:p>
        <w:p w14:paraId="17ECA56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"_Toc20133" </w:instrText>
          </w:r>
          <w:r>
            <w:rPr>
              <w:rFonts w:hint="eastAsia" w:ascii="宋体" w:hAnsi="宋体" w:eastAsia="宋体" w:cs="宋体"/>
            </w:rPr>
            <w:fldChar w:fldCharType="separate"/>
          </w:r>
          <w:r>
            <w:rPr>
              <w:rFonts w:hint="eastAsia" w:ascii="宋体" w:hAnsi="宋体" w:eastAsia="宋体" w:cs="宋体"/>
              <w:bCs/>
              <w:szCs w:val="21"/>
            </w:rPr>
            <w:t>1. 总则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_Toc20133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75712931">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"_Toc22909" </w:instrText>
          </w:r>
          <w:r>
            <w:rPr>
              <w:rFonts w:hint="eastAsia" w:ascii="宋体" w:hAnsi="宋体" w:eastAsia="宋体" w:cs="宋体"/>
            </w:rPr>
            <w:fldChar w:fldCharType="separate"/>
          </w:r>
          <w:r>
            <w:rPr>
              <w:rFonts w:hint="eastAsia" w:ascii="宋体" w:hAnsi="宋体" w:eastAsia="宋体" w:cs="宋体"/>
              <w:szCs w:val="21"/>
            </w:rPr>
            <w:t>1.1 项目概况</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_Toc22909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0B19082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"_Toc19789" </w:instrText>
          </w:r>
          <w:r>
            <w:rPr>
              <w:rFonts w:hint="eastAsia" w:ascii="宋体" w:hAnsi="宋体" w:eastAsia="宋体" w:cs="宋体"/>
            </w:rPr>
            <w:fldChar w:fldCharType="separate"/>
          </w:r>
          <w:r>
            <w:rPr>
              <w:rFonts w:hint="eastAsia" w:ascii="宋体" w:hAnsi="宋体" w:eastAsia="宋体" w:cs="宋体"/>
              <w:szCs w:val="21"/>
            </w:rPr>
            <w:t>1.2 资金来源和落实情况</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_Toc19789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2205FC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"_Toc29441" </w:instrText>
          </w:r>
          <w:r>
            <w:rPr>
              <w:rFonts w:hint="eastAsia" w:ascii="宋体" w:hAnsi="宋体" w:eastAsia="宋体" w:cs="宋体"/>
            </w:rPr>
            <w:fldChar w:fldCharType="separate"/>
          </w:r>
          <w:r>
            <w:rPr>
              <w:rFonts w:hint="eastAsia" w:ascii="宋体" w:hAnsi="宋体" w:eastAsia="宋体" w:cs="宋体"/>
              <w:szCs w:val="21"/>
            </w:rPr>
            <w:t>1.3 招标范围、服务期限和质量要求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_Toc29441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5850633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"_Toc1004" </w:instrText>
          </w:r>
          <w:r>
            <w:rPr>
              <w:rFonts w:hint="eastAsia" w:ascii="宋体" w:hAnsi="宋体" w:eastAsia="宋体" w:cs="宋体"/>
            </w:rPr>
            <w:fldChar w:fldCharType="separate"/>
          </w:r>
          <w:r>
            <w:rPr>
              <w:rFonts w:hint="eastAsia" w:ascii="宋体" w:hAnsi="宋体" w:eastAsia="宋体" w:cs="宋体"/>
              <w:szCs w:val="21"/>
            </w:rPr>
            <w:t>1.4 供应商资格要求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_Toc1004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474E8DE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"_Toc31429" </w:instrText>
          </w:r>
          <w:r>
            <w:rPr>
              <w:rFonts w:hint="eastAsia" w:ascii="宋体" w:hAnsi="宋体" w:eastAsia="宋体" w:cs="宋体"/>
            </w:rPr>
            <w:fldChar w:fldCharType="separate"/>
          </w:r>
          <w:r>
            <w:rPr>
              <w:rFonts w:hint="eastAsia" w:ascii="宋体" w:hAnsi="宋体" w:eastAsia="宋体" w:cs="宋体"/>
              <w:szCs w:val="21"/>
            </w:rPr>
            <w:t>1.5 费用承担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_Toc31429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EA7BB6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"_Toc19043" </w:instrText>
          </w:r>
          <w:r>
            <w:rPr>
              <w:rFonts w:hint="eastAsia" w:ascii="宋体" w:hAnsi="宋体" w:eastAsia="宋体" w:cs="宋体"/>
            </w:rPr>
            <w:fldChar w:fldCharType="separate"/>
          </w:r>
          <w:r>
            <w:rPr>
              <w:rFonts w:hint="eastAsia" w:ascii="宋体" w:hAnsi="宋体" w:eastAsia="宋体" w:cs="宋体"/>
              <w:szCs w:val="21"/>
            </w:rPr>
            <w:t>1.6 保密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_Toc19043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74512760">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"_Toc27707" </w:instrText>
          </w:r>
          <w:r>
            <w:rPr>
              <w:rFonts w:hint="eastAsia" w:ascii="宋体" w:hAnsi="宋体" w:eastAsia="宋体" w:cs="宋体"/>
            </w:rPr>
            <w:fldChar w:fldCharType="separate"/>
          </w:r>
          <w:r>
            <w:rPr>
              <w:rFonts w:hint="eastAsia" w:ascii="宋体" w:hAnsi="宋体" w:eastAsia="宋体" w:cs="宋体"/>
              <w:szCs w:val="21"/>
            </w:rPr>
            <w:t>1.7 语言文字</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_Toc27707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53BB168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"_Toc3337" </w:instrText>
          </w:r>
          <w:r>
            <w:rPr>
              <w:rFonts w:hint="eastAsia" w:ascii="宋体" w:hAnsi="宋体" w:eastAsia="宋体" w:cs="宋体"/>
            </w:rPr>
            <w:fldChar w:fldCharType="separate"/>
          </w:r>
          <w:r>
            <w:rPr>
              <w:rFonts w:hint="eastAsia" w:ascii="宋体" w:hAnsi="宋体" w:eastAsia="宋体" w:cs="宋体"/>
              <w:szCs w:val="21"/>
            </w:rPr>
            <w:t>1.8 计量单位</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_Toc3337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409B3170">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"_Toc11853" </w:instrText>
          </w:r>
          <w:r>
            <w:rPr>
              <w:rFonts w:hint="eastAsia" w:ascii="宋体" w:hAnsi="宋体" w:eastAsia="宋体" w:cs="宋体"/>
            </w:rPr>
            <w:fldChar w:fldCharType="separate"/>
          </w:r>
          <w:r>
            <w:rPr>
              <w:rFonts w:hint="eastAsia" w:ascii="宋体" w:hAnsi="宋体" w:eastAsia="宋体" w:cs="宋体"/>
              <w:szCs w:val="21"/>
            </w:rPr>
            <w:t>1.9 踏勘现场(本项目不适用)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_Toc11853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EFAF4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"_Toc15208" </w:instrText>
          </w:r>
          <w:r>
            <w:rPr>
              <w:rFonts w:hint="eastAsia" w:ascii="宋体" w:hAnsi="宋体" w:eastAsia="宋体" w:cs="宋体"/>
            </w:rPr>
            <w:fldChar w:fldCharType="separate"/>
          </w:r>
          <w:r>
            <w:rPr>
              <w:rFonts w:hint="eastAsia" w:ascii="宋体" w:hAnsi="宋体" w:eastAsia="宋体" w:cs="宋体"/>
              <w:szCs w:val="21"/>
            </w:rPr>
            <w:t>1.10 投标预备会(本项目不适用)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_Toc15208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024C378A">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"_Toc3479" </w:instrText>
          </w:r>
          <w:r>
            <w:rPr>
              <w:rFonts w:hint="eastAsia" w:ascii="宋体" w:hAnsi="宋体" w:eastAsia="宋体" w:cs="宋体"/>
            </w:rPr>
            <w:fldChar w:fldCharType="separate"/>
          </w:r>
          <w:r>
            <w:rPr>
              <w:rFonts w:hint="eastAsia" w:ascii="宋体" w:hAnsi="宋体" w:eastAsia="宋体" w:cs="宋体"/>
              <w:szCs w:val="21"/>
            </w:rPr>
            <w:t>1.11 分包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_Toc3479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1E00360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"_Toc1528" </w:instrText>
          </w:r>
          <w:r>
            <w:rPr>
              <w:rFonts w:hint="eastAsia" w:ascii="宋体" w:hAnsi="宋体" w:eastAsia="宋体" w:cs="宋体"/>
            </w:rPr>
            <w:fldChar w:fldCharType="separate"/>
          </w:r>
          <w:r>
            <w:rPr>
              <w:rFonts w:hint="eastAsia" w:ascii="宋体" w:hAnsi="宋体" w:eastAsia="宋体" w:cs="宋体"/>
              <w:szCs w:val="21"/>
            </w:rPr>
            <w:t>1.12 偏离</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_Toc1528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EB20A3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"_Toc32183" </w:instrText>
          </w:r>
          <w:r>
            <w:rPr>
              <w:rFonts w:hint="eastAsia" w:ascii="宋体" w:hAnsi="宋体" w:eastAsia="宋体" w:cs="宋体"/>
            </w:rPr>
            <w:fldChar w:fldCharType="separate"/>
          </w:r>
          <w:r>
            <w:rPr>
              <w:rFonts w:hint="eastAsia" w:ascii="宋体" w:hAnsi="宋体" w:eastAsia="宋体" w:cs="宋体"/>
              <w:bCs/>
              <w:szCs w:val="21"/>
            </w:rPr>
            <w:t>2. 磋商文件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_Toc32183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44F31E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"_Toc10949" </w:instrText>
          </w:r>
          <w:r>
            <w:rPr>
              <w:rFonts w:hint="eastAsia" w:ascii="宋体" w:hAnsi="宋体" w:eastAsia="宋体" w:cs="宋体"/>
            </w:rPr>
            <w:fldChar w:fldCharType="separate"/>
          </w:r>
          <w:r>
            <w:rPr>
              <w:rFonts w:hint="eastAsia" w:ascii="宋体" w:hAnsi="宋体" w:eastAsia="宋体" w:cs="宋体"/>
              <w:szCs w:val="21"/>
            </w:rPr>
            <w:t>2.1 磋商文件的组成</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_Toc10949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79C2BB9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"_Toc485" </w:instrText>
          </w:r>
          <w:r>
            <w:rPr>
              <w:rFonts w:hint="eastAsia" w:ascii="宋体" w:hAnsi="宋体" w:eastAsia="宋体" w:cs="宋体"/>
            </w:rPr>
            <w:fldChar w:fldCharType="separate"/>
          </w:r>
          <w:r>
            <w:rPr>
              <w:rFonts w:hint="eastAsia" w:ascii="宋体" w:hAnsi="宋体" w:eastAsia="宋体" w:cs="宋体"/>
              <w:szCs w:val="21"/>
            </w:rPr>
            <w:t>2.2 磋商文件的澄清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_Toc485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7529853">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"_Toc20508" </w:instrText>
          </w:r>
          <w:r>
            <w:rPr>
              <w:rFonts w:hint="eastAsia" w:ascii="宋体" w:hAnsi="宋体" w:eastAsia="宋体" w:cs="宋体"/>
            </w:rPr>
            <w:fldChar w:fldCharType="separate"/>
          </w:r>
          <w:r>
            <w:rPr>
              <w:rFonts w:hint="eastAsia" w:ascii="宋体" w:hAnsi="宋体" w:eastAsia="宋体" w:cs="宋体"/>
              <w:szCs w:val="21"/>
            </w:rPr>
            <w:t>2.3 磋商文件的修改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_Toc20508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19C69E1B">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"_Toc24420" </w:instrText>
          </w:r>
          <w:r>
            <w:rPr>
              <w:rFonts w:hint="eastAsia" w:ascii="宋体" w:hAnsi="宋体" w:eastAsia="宋体" w:cs="宋体"/>
            </w:rPr>
            <w:fldChar w:fldCharType="separate"/>
          </w:r>
          <w:r>
            <w:rPr>
              <w:rFonts w:hint="eastAsia" w:ascii="宋体" w:hAnsi="宋体" w:eastAsia="宋体" w:cs="宋体"/>
              <w:bCs/>
              <w:szCs w:val="21"/>
            </w:rPr>
            <w:t>3. 响应文件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_Toc24420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29BAA96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"_Toc9645" </w:instrText>
          </w:r>
          <w:r>
            <w:rPr>
              <w:rFonts w:hint="eastAsia" w:ascii="宋体" w:hAnsi="宋体" w:eastAsia="宋体" w:cs="宋体"/>
            </w:rPr>
            <w:fldChar w:fldCharType="separate"/>
          </w:r>
          <w:r>
            <w:rPr>
              <w:rFonts w:hint="eastAsia" w:ascii="宋体" w:hAnsi="宋体" w:eastAsia="宋体" w:cs="宋体"/>
              <w:szCs w:val="21"/>
            </w:rPr>
            <w:t>3.1 响应文件的组成</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_Toc9645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6DB2C4E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"_Toc4257" </w:instrText>
          </w:r>
          <w:r>
            <w:rPr>
              <w:rFonts w:hint="eastAsia" w:ascii="宋体" w:hAnsi="宋体" w:eastAsia="宋体" w:cs="宋体"/>
            </w:rPr>
            <w:fldChar w:fldCharType="separate"/>
          </w:r>
          <w:r>
            <w:rPr>
              <w:rFonts w:hint="eastAsia" w:ascii="宋体" w:hAnsi="宋体" w:eastAsia="宋体" w:cs="宋体"/>
              <w:szCs w:val="21"/>
            </w:rPr>
            <w:t>3.2 投标报价</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_Toc4257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65DD054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"_Toc1996" </w:instrText>
          </w:r>
          <w:r>
            <w:rPr>
              <w:rFonts w:hint="eastAsia" w:ascii="宋体" w:hAnsi="宋体" w:eastAsia="宋体" w:cs="宋体"/>
            </w:rPr>
            <w:fldChar w:fldCharType="separate"/>
          </w:r>
          <w:r>
            <w:rPr>
              <w:rFonts w:hint="eastAsia" w:ascii="宋体" w:hAnsi="宋体" w:eastAsia="宋体" w:cs="宋体"/>
              <w:szCs w:val="21"/>
            </w:rPr>
            <w:t>3.3 投标有效期</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_Toc1996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64E8E5E5">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"_Toc26086" </w:instrText>
          </w:r>
          <w:r>
            <w:rPr>
              <w:rFonts w:hint="eastAsia" w:ascii="宋体" w:hAnsi="宋体" w:eastAsia="宋体" w:cs="宋体"/>
            </w:rPr>
            <w:fldChar w:fldCharType="separate"/>
          </w:r>
          <w:r>
            <w:rPr>
              <w:rFonts w:hint="eastAsia" w:ascii="宋体" w:hAnsi="宋体" w:eastAsia="宋体" w:cs="宋体"/>
              <w:szCs w:val="21"/>
            </w:rPr>
            <w:t>3.4 投标保证金</w:t>
          </w:r>
          <w:r>
            <w:rPr>
              <w:rFonts w:hint="eastAsia" w:ascii="宋体" w:hAnsi="宋体" w:eastAsia="宋体" w:cs="宋体"/>
              <w:bCs/>
              <w:szCs w:val="21"/>
            </w:rPr>
            <w:t>（本项目不适用）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_Toc26086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1A26E5C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"_Toc32184" </w:instrText>
          </w:r>
          <w:r>
            <w:rPr>
              <w:rFonts w:hint="eastAsia" w:ascii="宋体" w:hAnsi="宋体" w:eastAsia="宋体" w:cs="宋体"/>
            </w:rPr>
            <w:fldChar w:fldCharType="separate"/>
          </w:r>
          <w:r>
            <w:rPr>
              <w:rFonts w:hint="eastAsia" w:ascii="宋体" w:hAnsi="宋体" w:eastAsia="宋体" w:cs="宋体"/>
              <w:szCs w:val="21"/>
            </w:rPr>
            <w:t>3.5 资格审查资料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_Toc32184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1BDE22CD">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"_Toc26896" </w:instrText>
          </w:r>
          <w:r>
            <w:rPr>
              <w:rFonts w:hint="eastAsia" w:ascii="宋体" w:hAnsi="宋体" w:eastAsia="宋体" w:cs="宋体"/>
            </w:rPr>
            <w:fldChar w:fldCharType="separate"/>
          </w:r>
          <w:r>
            <w:rPr>
              <w:rFonts w:hint="eastAsia" w:ascii="宋体" w:hAnsi="宋体" w:eastAsia="宋体" w:cs="宋体"/>
              <w:szCs w:val="21"/>
            </w:rPr>
            <w:t>3.6 备选投标方案（本项目不适用）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_Toc26896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2ED269E0">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"_Toc29454" </w:instrText>
          </w:r>
          <w:r>
            <w:rPr>
              <w:rFonts w:hint="eastAsia" w:ascii="宋体" w:hAnsi="宋体" w:eastAsia="宋体" w:cs="宋体"/>
            </w:rPr>
            <w:fldChar w:fldCharType="separate"/>
          </w:r>
          <w:r>
            <w:rPr>
              <w:rFonts w:hint="eastAsia" w:ascii="宋体" w:hAnsi="宋体" w:eastAsia="宋体" w:cs="宋体"/>
              <w:bCs/>
              <w:szCs w:val="21"/>
            </w:rPr>
            <w:t>4. 投标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_Toc29454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1377D3A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"_Toc948" </w:instrText>
          </w:r>
          <w:r>
            <w:rPr>
              <w:rFonts w:hint="eastAsia" w:ascii="宋体" w:hAnsi="宋体" w:eastAsia="宋体" w:cs="宋体"/>
            </w:rPr>
            <w:fldChar w:fldCharType="separate"/>
          </w:r>
          <w:r>
            <w:rPr>
              <w:rFonts w:hint="eastAsia" w:ascii="宋体" w:hAnsi="宋体" w:eastAsia="宋体" w:cs="宋体"/>
              <w:szCs w:val="21"/>
            </w:rPr>
            <w:t>4.1 响应文件的递交</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_Toc948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08EB805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"_Toc19918" </w:instrText>
          </w:r>
          <w:r>
            <w:rPr>
              <w:rFonts w:hint="eastAsia" w:ascii="宋体" w:hAnsi="宋体" w:eastAsia="宋体" w:cs="宋体"/>
            </w:rPr>
            <w:fldChar w:fldCharType="separate"/>
          </w:r>
          <w:r>
            <w:rPr>
              <w:rFonts w:hint="eastAsia" w:ascii="宋体" w:hAnsi="宋体" w:eastAsia="宋体" w:cs="宋体"/>
              <w:bCs/>
              <w:szCs w:val="21"/>
            </w:rPr>
            <w:t>5. 开标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_Toc19918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4C5F855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"_Toc9100" </w:instrText>
          </w:r>
          <w:r>
            <w:rPr>
              <w:rFonts w:hint="eastAsia" w:ascii="宋体" w:hAnsi="宋体" w:eastAsia="宋体" w:cs="宋体"/>
            </w:rPr>
            <w:fldChar w:fldCharType="separate"/>
          </w:r>
          <w:r>
            <w:rPr>
              <w:rFonts w:hint="eastAsia" w:ascii="宋体" w:hAnsi="宋体" w:eastAsia="宋体" w:cs="宋体"/>
              <w:szCs w:val="21"/>
            </w:rPr>
            <w:t>5.1 开标时间和地点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_Toc9100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76EB56C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"_Toc19874" </w:instrText>
          </w:r>
          <w:r>
            <w:rPr>
              <w:rFonts w:hint="eastAsia" w:ascii="宋体" w:hAnsi="宋体" w:eastAsia="宋体" w:cs="宋体"/>
            </w:rPr>
            <w:fldChar w:fldCharType="separate"/>
          </w:r>
          <w:r>
            <w:rPr>
              <w:rFonts w:hint="eastAsia" w:ascii="宋体" w:hAnsi="宋体" w:eastAsia="宋体" w:cs="宋体"/>
              <w:szCs w:val="21"/>
            </w:rPr>
            <w:t>5.2 开标程序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_Toc19874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7A63B0B7">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"_Toc14114" </w:instrText>
          </w:r>
          <w:r>
            <w:rPr>
              <w:rFonts w:hint="eastAsia" w:ascii="宋体" w:hAnsi="宋体" w:eastAsia="宋体" w:cs="宋体"/>
            </w:rPr>
            <w:fldChar w:fldCharType="separate"/>
          </w:r>
          <w:r>
            <w:rPr>
              <w:rFonts w:hint="eastAsia" w:ascii="宋体" w:hAnsi="宋体" w:eastAsia="宋体" w:cs="宋体"/>
              <w:bCs/>
              <w:szCs w:val="21"/>
            </w:rPr>
            <w:t>6. 评标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_Toc14114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044792E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"_Toc17991" </w:instrText>
          </w:r>
          <w:r>
            <w:rPr>
              <w:rFonts w:hint="eastAsia" w:ascii="宋体" w:hAnsi="宋体" w:eastAsia="宋体" w:cs="宋体"/>
            </w:rPr>
            <w:fldChar w:fldCharType="separate"/>
          </w:r>
          <w:r>
            <w:rPr>
              <w:rFonts w:hint="eastAsia" w:ascii="宋体" w:hAnsi="宋体" w:eastAsia="宋体" w:cs="宋体"/>
              <w:szCs w:val="21"/>
            </w:rPr>
            <w:t>6.1 磋商小组</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_Toc17991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01C73C0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"_Toc27931" </w:instrText>
          </w:r>
          <w:r>
            <w:rPr>
              <w:rFonts w:hint="eastAsia" w:ascii="宋体" w:hAnsi="宋体" w:eastAsia="宋体" w:cs="宋体"/>
            </w:rPr>
            <w:fldChar w:fldCharType="separate"/>
          </w:r>
          <w:r>
            <w:rPr>
              <w:rFonts w:hint="eastAsia" w:ascii="宋体" w:hAnsi="宋体" w:eastAsia="宋体" w:cs="宋体"/>
              <w:szCs w:val="21"/>
            </w:rPr>
            <w:t>6.2 磋商原则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_Toc27931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13837C71">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"_Toc5699" </w:instrText>
          </w:r>
          <w:r>
            <w:rPr>
              <w:rFonts w:hint="eastAsia" w:ascii="宋体" w:hAnsi="宋体" w:eastAsia="宋体" w:cs="宋体"/>
            </w:rPr>
            <w:fldChar w:fldCharType="separate"/>
          </w:r>
          <w:r>
            <w:rPr>
              <w:rFonts w:hint="eastAsia" w:ascii="宋体" w:hAnsi="宋体" w:eastAsia="宋体" w:cs="宋体"/>
              <w:bCs/>
              <w:szCs w:val="21"/>
            </w:rPr>
            <w:t>7. 合同授予</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_Toc5699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56B1A30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"_Toc12944" </w:instrText>
          </w:r>
          <w:r>
            <w:rPr>
              <w:rFonts w:hint="eastAsia" w:ascii="宋体" w:hAnsi="宋体" w:eastAsia="宋体" w:cs="宋体"/>
            </w:rPr>
            <w:fldChar w:fldCharType="separate"/>
          </w:r>
          <w:r>
            <w:rPr>
              <w:rFonts w:hint="eastAsia" w:ascii="宋体" w:hAnsi="宋体" w:eastAsia="宋体" w:cs="宋体"/>
              <w:szCs w:val="21"/>
            </w:rPr>
            <w:t>7.1 定标方式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_Toc12944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1A9381C1">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"_Toc1104" </w:instrText>
          </w:r>
          <w:r>
            <w:rPr>
              <w:rFonts w:hint="eastAsia" w:ascii="宋体" w:hAnsi="宋体" w:eastAsia="宋体" w:cs="宋体"/>
            </w:rPr>
            <w:fldChar w:fldCharType="separate"/>
          </w:r>
          <w:r>
            <w:rPr>
              <w:rFonts w:hint="eastAsia" w:ascii="宋体" w:hAnsi="宋体" w:eastAsia="宋体" w:cs="宋体"/>
              <w:szCs w:val="21"/>
            </w:rPr>
            <w:t>7.2 中标通知</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_Toc1104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65135053">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"_Toc4423" </w:instrText>
          </w:r>
          <w:r>
            <w:rPr>
              <w:rFonts w:hint="eastAsia" w:ascii="宋体" w:hAnsi="宋体" w:eastAsia="宋体" w:cs="宋体"/>
            </w:rPr>
            <w:fldChar w:fldCharType="separate"/>
          </w:r>
          <w:r>
            <w:rPr>
              <w:rFonts w:hint="eastAsia" w:ascii="宋体" w:hAnsi="宋体" w:eastAsia="宋体" w:cs="宋体"/>
              <w:szCs w:val="21"/>
            </w:rPr>
            <w:t>7.3 履约担保（本项目不适用）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_Toc4423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5112BA6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"_Toc16681" </w:instrText>
          </w:r>
          <w:r>
            <w:rPr>
              <w:rFonts w:hint="eastAsia" w:ascii="宋体" w:hAnsi="宋体" w:eastAsia="宋体" w:cs="宋体"/>
            </w:rPr>
            <w:fldChar w:fldCharType="separate"/>
          </w:r>
          <w:r>
            <w:rPr>
              <w:rFonts w:hint="eastAsia" w:ascii="宋体" w:hAnsi="宋体" w:eastAsia="宋体" w:cs="宋体"/>
              <w:szCs w:val="21"/>
            </w:rPr>
            <w:t>7.4 签订合同</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_Toc16681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0B18475F">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"_Toc21729" </w:instrText>
          </w:r>
          <w:r>
            <w:rPr>
              <w:rFonts w:hint="eastAsia" w:ascii="宋体" w:hAnsi="宋体" w:eastAsia="宋体" w:cs="宋体"/>
            </w:rPr>
            <w:fldChar w:fldCharType="separate"/>
          </w:r>
          <w:r>
            <w:rPr>
              <w:rFonts w:hint="eastAsia" w:ascii="宋体" w:hAnsi="宋体" w:eastAsia="宋体" w:cs="宋体"/>
              <w:bCs/>
              <w:szCs w:val="21"/>
            </w:rPr>
            <w:t>8. 重新招标和不再招标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_Toc21729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799D770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"_Toc30865" </w:instrText>
          </w:r>
          <w:r>
            <w:rPr>
              <w:rFonts w:hint="eastAsia" w:ascii="宋体" w:hAnsi="宋体" w:eastAsia="宋体" w:cs="宋体"/>
            </w:rPr>
            <w:fldChar w:fldCharType="separate"/>
          </w:r>
          <w:r>
            <w:rPr>
              <w:rFonts w:hint="eastAsia" w:ascii="宋体" w:hAnsi="宋体" w:eastAsia="宋体" w:cs="宋体"/>
              <w:szCs w:val="21"/>
            </w:rPr>
            <w:t>8.1 重新招标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_Toc30865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6E41641A">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"_Toc22058" </w:instrText>
          </w:r>
          <w:r>
            <w:rPr>
              <w:rFonts w:hint="eastAsia" w:ascii="宋体" w:hAnsi="宋体" w:eastAsia="宋体" w:cs="宋体"/>
            </w:rPr>
            <w:fldChar w:fldCharType="separate"/>
          </w:r>
          <w:r>
            <w:rPr>
              <w:rFonts w:hint="eastAsia" w:ascii="宋体" w:hAnsi="宋体" w:eastAsia="宋体" w:cs="宋体"/>
              <w:szCs w:val="21"/>
            </w:rPr>
            <w:t>8.2 不再招标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_Toc22058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1A905D9E">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"_Toc29650" </w:instrText>
          </w:r>
          <w:r>
            <w:rPr>
              <w:rFonts w:hint="eastAsia" w:ascii="宋体" w:hAnsi="宋体" w:eastAsia="宋体" w:cs="宋体"/>
            </w:rPr>
            <w:fldChar w:fldCharType="separate"/>
          </w:r>
          <w:r>
            <w:rPr>
              <w:rFonts w:hint="eastAsia" w:ascii="宋体" w:hAnsi="宋体" w:eastAsia="宋体" w:cs="宋体"/>
              <w:bCs/>
              <w:szCs w:val="21"/>
            </w:rPr>
            <w:t>9. 纪律和监督</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_Toc29650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09CC711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"_Toc1583" </w:instrText>
          </w:r>
          <w:r>
            <w:rPr>
              <w:rFonts w:hint="eastAsia" w:ascii="宋体" w:hAnsi="宋体" w:eastAsia="宋体" w:cs="宋体"/>
            </w:rPr>
            <w:fldChar w:fldCharType="separate"/>
          </w:r>
          <w:r>
            <w:rPr>
              <w:rFonts w:hint="eastAsia" w:ascii="宋体" w:hAnsi="宋体" w:eastAsia="宋体" w:cs="宋体"/>
              <w:szCs w:val="21"/>
            </w:rPr>
            <w:t>9.1 对采购人的纪律要求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_Toc1583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A3E5B0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"_Toc8461" </w:instrText>
          </w:r>
          <w:r>
            <w:rPr>
              <w:rFonts w:hint="eastAsia" w:ascii="宋体" w:hAnsi="宋体" w:eastAsia="宋体" w:cs="宋体"/>
            </w:rPr>
            <w:fldChar w:fldCharType="separate"/>
          </w:r>
          <w:r>
            <w:rPr>
              <w:rFonts w:hint="eastAsia" w:ascii="宋体" w:hAnsi="宋体" w:eastAsia="宋体" w:cs="宋体"/>
              <w:szCs w:val="21"/>
            </w:rPr>
            <w:t>9.2 对供应商的纪律要求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_Toc8461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6968E87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"_Toc24265" </w:instrText>
          </w:r>
          <w:r>
            <w:rPr>
              <w:rFonts w:hint="eastAsia" w:ascii="宋体" w:hAnsi="宋体" w:eastAsia="宋体" w:cs="宋体"/>
            </w:rPr>
            <w:fldChar w:fldCharType="separate"/>
          </w:r>
          <w:r>
            <w:rPr>
              <w:rFonts w:hint="eastAsia" w:ascii="宋体" w:hAnsi="宋体" w:eastAsia="宋体" w:cs="宋体"/>
              <w:szCs w:val="21"/>
            </w:rPr>
            <w:t>9.3 对磋商小组成员的纪律要求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_Toc24265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C9598A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"_Toc11778" </w:instrText>
          </w:r>
          <w:r>
            <w:rPr>
              <w:rFonts w:hint="eastAsia" w:ascii="宋体" w:hAnsi="宋体" w:eastAsia="宋体" w:cs="宋体"/>
            </w:rPr>
            <w:fldChar w:fldCharType="separate"/>
          </w:r>
          <w:r>
            <w:rPr>
              <w:rFonts w:hint="eastAsia" w:ascii="宋体" w:hAnsi="宋体" w:eastAsia="宋体" w:cs="宋体"/>
              <w:szCs w:val="21"/>
            </w:rPr>
            <w:t>9.4 对与评标活动有关的工作人员的纪律要求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_Toc11778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B870C4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"_Toc19644" </w:instrText>
          </w:r>
          <w:r>
            <w:rPr>
              <w:rFonts w:hint="eastAsia" w:ascii="宋体" w:hAnsi="宋体" w:eastAsia="宋体" w:cs="宋体"/>
            </w:rPr>
            <w:fldChar w:fldCharType="separate"/>
          </w:r>
          <w:r>
            <w:rPr>
              <w:rFonts w:hint="eastAsia" w:ascii="宋体" w:hAnsi="宋体" w:eastAsia="宋体" w:cs="宋体"/>
              <w:szCs w:val="21"/>
            </w:rPr>
            <w:t>9.5 投诉</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_Toc19644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45B9CFE9">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"_Toc6729" </w:instrText>
          </w:r>
          <w:r>
            <w:rPr>
              <w:rFonts w:hint="eastAsia" w:ascii="宋体" w:hAnsi="宋体" w:eastAsia="宋体" w:cs="宋体"/>
            </w:rPr>
            <w:fldChar w:fldCharType="separate"/>
          </w:r>
          <w:r>
            <w:rPr>
              <w:rFonts w:hint="eastAsia" w:ascii="宋体" w:hAnsi="宋体" w:eastAsia="宋体" w:cs="宋体"/>
              <w:bCs/>
              <w:szCs w:val="21"/>
            </w:rPr>
            <w:t>10. 需要补充的其他内容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_Toc6729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47C6EE53">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"_Toc1955" </w:instrText>
          </w:r>
          <w:r>
            <w:rPr>
              <w:rFonts w:hint="eastAsia" w:ascii="宋体" w:hAnsi="宋体" w:eastAsia="宋体" w:cs="宋体"/>
            </w:rPr>
            <w:fldChar w:fldCharType="separate"/>
          </w:r>
          <w:r>
            <w:rPr>
              <w:rFonts w:hint="eastAsia" w:ascii="宋体" w:hAnsi="宋体" w:eastAsia="宋体" w:cs="宋体"/>
              <w:szCs w:val="21"/>
            </w:rPr>
            <w:t>第三章  评标办法（综合评估法）</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_Toc1955 \h </w:instrText>
          </w:r>
          <w:r>
            <w:rPr>
              <w:rFonts w:hint="eastAsia" w:ascii="宋体" w:hAnsi="宋体" w:eastAsia="宋体" w:cs="宋体"/>
              <w:szCs w:val="21"/>
            </w:rPr>
            <w:fldChar w:fldCharType="separate"/>
          </w:r>
          <w:r>
            <w:rPr>
              <w:rFonts w:hint="eastAsia" w:ascii="宋体" w:hAnsi="宋体" w:eastAsia="宋体" w:cs="宋体"/>
              <w:szCs w:val="21"/>
            </w:rPr>
            <w:t>27</w:t>
          </w:r>
          <w:r>
            <w:rPr>
              <w:rFonts w:hint="eastAsia" w:ascii="宋体" w:hAnsi="宋体" w:eastAsia="宋体" w:cs="宋体"/>
              <w:szCs w:val="21"/>
            </w:rPr>
            <w:fldChar w:fldCharType="end"/>
          </w:r>
          <w:r>
            <w:rPr>
              <w:rFonts w:hint="eastAsia" w:ascii="宋体" w:hAnsi="宋体" w:eastAsia="宋体" w:cs="宋体"/>
              <w:szCs w:val="21"/>
            </w:rPr>
            <w:fldChar w:fldCharType="end"/>
          </w:r>
        </w:p>
        <w:p w14:paraId="6EA97816">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"_Toc1033" </w:instrText>
          </w:r>
          <w:r>
            <w:rPr>
              <w:rFonts w:hint="eastAsia" w:ascii="宋体" w:hAnsi="宋体" w:eastAsia="宋体" w:cs="宋体"/>
            </w:rPr>
            <w:fldChar w:fldCharType="separate"/>
          </w:r>
          <w:r>
            <w:rPr>
              <w:rFonts w:hint="eastAsia" w:ascii="宋体" w:hAnsi="宋体" w:eastAsia="宋体" w:cs="宋体"/>
              <w:szCs w:val="21"/>
            </w:rPr>
            <w:t>1. 评标方法</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_Toc1033 \h </w:instrText>
          </w:r>
          <w:r>
            <w:rPr>
              <w:rFonts w:hint="eastAsia" w:ascii="宋体" w:hAnsi="宋体" w:eastAsia="宋体" w:cs="宋体"/>
              <w:szCs w:val="21"/>
            </w:rPr>
            <w:fldChar w:fldCharType="separate"/>
          </w:r>
          <w:r>
            <w:rPr>
              <w:rFonts w:hint="eastAsia" w:ascii="宋体" w:hAnsi="宋体" w:eastAsia="宋体" w:cs="宋体"/>
              <w:szCs w:val="21"/>
            </w:rPr>
            <w:t>27</w:t>
          </w:r>
          <w:r>
            <w:rPr>
              <w:rFonts w:hint="eastAsia" w:ascii="宋体" w:hAnsi="宋体" w:eastAsia="宋体" w:cs="宋体"/>
              <w:szCs w:val="21"/>
            </w:rPr>
            <w:fldChar w:fldCharType="end"/>
          </w:r>
          <w:r>
            <w:rPr>
              <w:rFonts w:hint="eastAsia" w:ascii="宋体" w:hAnsi="宋体" w:eastAsia="宋体" w:cs="宋体"/>
              <w:szCs w:val="21"/>
            </w:rPr>
            <w:fldChar w:fldCharType="end"/>
          </w:r>
        </w:p>
        <w:p w14:paraId="61ECE62E">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"_Toc11820" </w:instrText>
          </w:r>
          <w:r>
            <w:rPr>
              <w:rFonts w:hint="eastAsia" w:ascii="宋体" w:hAnsi="宋体" w:eastAsia="宋体" w:cs="宋体"/>
            </w:rPr>
            <w:fldChar w:fldCharType="separate"/>
          </w:r>
          <w:r>
            <w:rPr>
              <w:rFonts w:hint="eastAsia" w:ascii="宋体" w:hAnsi="宋体" w:eastAsia="宋体" w:cs="宋体"/>
              <w:szCs w:val="21"/>
            </w:rPr>
            <w:t>2. 评审标准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_Toc11820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3ECC09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"_Toc19376" </w:instrText>
          </w:r>
          <w:r>
            <w:rPr>
              <w:rFonts w:hint="eastAsia" w:ascii="宋体" w:hAnsi="宋体" w:eastAsia="宋体" w:cs="宋体"/>
            </w:rPr>
            <w:fldChar w:fldCharType="separate"/>
          </w:r>
          <w:r>
            <w:rPr>
              <w:rFonts w:hint="eastAsia" w:ascii="宋体" w:hAnsi="宋体" w:eastAsia="宋体" w:cs="宋体"/>
              <w:szCs w:val="21"/>
            </w:rPr>
            <w:t>2.1 初步评审标准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_Toc19376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69553A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"_Toc29065" </w:instrText>
          </w:r>
          <w:r>
            <w:rPr>
              <w:rFonts w:hint="eastAsia" w:ascii="宋体" w:hAnsi="宋体" w:eastAsia="宋体" w:cs="宋体"/>
            </w:rPr>
            <w:fldChar w:fldCharType="separate"/>
          </w:r>
          <w:r>
            <w:rPr>
              <w:rFonts w:hint="eastAsia" w:ascii="宋体" w:hAnsi="宋体" w:eastAsia="宋体" w:cs="宋体"/>
              <w:szCs w:val="21"/>
            </w:rPr>
            <w:t>2.2 分值构成与评分标准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_Toc29065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56F8C9B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"_Toc20036" </w:instrText>
          </w:r>
          <w:r>
            <w:rPr>
              <w:rFonts w:hint="eastAsia" w:ascii="宋体" w:hAnsi="宋体" w:eastAsia="宋体" w:cs="宋体"/>
            </w:rPr>
            <w:fldChar w:fldCharType="separate"/>
          </w:r>
          <w:r>
            <w:rPr>
              <w:rFonts w:hint="eastAsia" w:ascii="宋体" w:hAnsi="宋体" w:eastAsia="宋体" w:cs="宋体"/>
              <w:szCs w:val="21"/>
            </w:rPr>
            <w:t>3.1 初步评审</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_Toc20036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1813995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"_Toc12530" </w:instrText>
          </w:r>
          <w:r>
            <w:rPr>
              <w:rFonts w:hint="eastAsia" w:ascii="宋体" w:hAnsi="宋体" w:eastAsia="宋体" w:cs="宋体"/>
            </w:rPr>
            <w:fldChar w:fldCharType="separate"/>
          </w:r>
          <w:r>
            <w:rPr>
              <w:rFonts w:hint="eastAsia" w:ascii="宋体" w:hAnsi="宋体" w:eastAsia="宋体" w:cs="宋体"/>
              <w:szCs w:val="21"/>
            </w:rPr>
            <w:t>3.2 详细评审</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_Toc12530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2254578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"_Toc13110" </w:instrText>
          </w:r>
          <w:r>
            <w:rPr>
              <w:rFonts w:hint="eastAsia" w:ascii="宋体" w:hAnsi="宋体" w:eastAsia="宋体" w:cs="宋体"/>
            </w:rPr>
            <w:fldChar w:fldCharType="separate"/>
          </w:r>
          <w:r>
            <w:rPr>
              <w:rFonts w:hint="eastAsia" w:ascii="宋体" w:hAnsi="宋体" w:eastAsia="宋体" w:cs="宋体"/>
              <w:szCs w:val="21"/>
            </w:rPr>
            <w:t>3.3 响应文件的澄清和补正</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_Toc13110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74C5ECB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"_Toc11951" </w:instrText>
          </w:r>
          <w:r>
            <w:rPr>
              <w:rFonts w:hint="eastAsia" w:ascii="宋体" w:hAnsi="宋体" w:eastAsia="宋体" w:cs="宋体"/>
            </w:rPr>
            <w:fldChar w:fldCharType="separate"/>
          </w:r>
          <w:r>
            <w:rPr>
              <w:rFonts w:hint="eastAsia" w:ascii="宋体" w:hAnsi="宋体" w:eastAsia="宋体" w:cs="宋体"/>
              <w:szCs w:val="21"/>
            </w:rPr>
            <w:t>3.4 评标结果</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_Toc11951 \h </w:instrText>
          </w:r>
          <w:r>
            <w:rPr>
              <w:rFonts w:hint="eastAsia" w:ascii="宋体" w:hAnsi="宋体" w:eastAsia="宋体" w:cs="宋体"/>
              <w:szCs w:val="21"/>
            </w:rPr>
            <w:fldChar w:fldCharType="separate"/>
          </w:r>
          <w:r>
            <w:rPr>
              <w:rFonts w:hint="eastAsia" w:ascii="宋体" w:hAnsi="宋体" w:eastAsia="宋体" w:cs="宋体"/>
              <w:szCs w:val="21"/>
            </w:rPr>
            <w:t>32</w:t>
          </w:r>
          <w:r>
            <w:rPr>
              <w:rFonts w:hint="eastAsia" w:ascii="宋体" w:hAnsi="宋体" w:eastAsia="宋体" w:cs="宋体"/>
              <w:szCs w:val="21"/>
            </w:rPr>
            <w:fldChar w:fldCharType="end"/>
          </w:r>
          <w:r>
            <w:rPr>
              <w:rFonts w:hint="eastAsia" w:ascii="宋体" w:hAnsi="宋体" w:eastAsia="宋体" w:cs="宋体"/>
              <w:szCs w:val="21"/>
            </w:rPr>
            <w:fldChar w:fldCharType="end"/>
          </w:r>
        </w:p>
        <w:p w14:paraId="7F1F0D5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"_Toc29158" </w:instrText>
          </w:r>
          <w:r>
            <w:rPr>
              <w:rFonts w:hint="eastAsia" w:ascii="宋体" w:hAnsi="宋体" w:eastAsia="宋体" w:cs="宋体"/>
            </w:rPr>
            <w:fldChar w:fldCharType="separate"/>
          </w:r>
          <w:r>
            <w:rPr>
              <w:rFonts w:hint="eastAsia" w:ascii="宋体" w:hAnsi="宋体" w:eastAsia="宋体" w:cs="宋体"/>
              <w:szCs w:val="21"/>
            </w:rPr>
            <w:t>4. 无效标条件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_Toc29158 \h </w:instrText>
          </w:r>
          <w:r>
            <w:rPr>
              <w:rFonts w:hint="eastAsia" w:ascii="宋体" w:hAnsi="宋体" w:eastAsia="宋体" w:cs="宋体"/>
              <w:szCs w:val="21"/>
            </w:rPr>
            <w:fldChar w:fldCharType="separate"/>
          </w:r>
          <w:r>
            <w:rPr>
              <w:rFonts w:hint="eastAsia" w:ascii="宋体" w:hAnsi="宋体" w:eastAsia="宋体" w:cs="宋体"/>
              <w:szCs w:val="21"/>
            </w:rPr>
            <w:t>32</w:t>
          </w:r>
          <w:r>
            <w:rPr>
              <w:rFonts w:hint="eastAsia" w:ascii="宋体" w:hAnsi="宋体" w:eastAsia="宋体" w:cs="宋体"/>
              <w:szCs w:val="21"/>
            </w:rPr>
            <w:fldChar w:fldCharType="end"/>
          </w:r>
          <w:r>
            <w:rPr>
              <w:rFonts w:hint="eastAsia" w:ascii="宋体" w:hAnsi="宋体" w:eastAsia="宋体" w:cs="宋体"/>
              <w:szCs w:val="21"/>
            </w:rPr>
            <w:fldChar w:fldCharType="end"/>
          </w:r>
        </w:p>
        <w:p w14:paraId="37D053B7">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"_Toc5180" </w:instrText>
          </w:r>
          <w:r>
            <w:rPr>
              <w:rFonts w:hint="eastAsia" w:ascii="宋体" w:hAnsi="宋体" w:eastAsia="宋体" w:cs="宋体"/>
            </w:rPr>
            <w:fldChar w:fldCharType="separate"/>
          </w:r>
          <w:r>
            <w:rPr>
              <w:rFonts w:hint="eastAsia" w:ascii="宋体" w:hAnsi="宋体" w:eastAsia="宋体" w:cs="宋体"/>
              <w:szCs w:val="21"/>
            </w:rPr>
            <w:t>第四章  合同条款及格式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_Toc5180 \h </w:instrText>
          </w:r>
          <w:r>
            <w:rPr>
              <w:rFonts w:hint="eastAsia" w:ascii="宋体" w:hAnsi="宋体" w:eastAsia="宋体" w:cs="宋体"/>
              <w:szCs w:val="21"/>
            </w:rPr>
            <w:fldChar w:fldCharType="separate"/>
          </w:r>
          <w:r>
            <w:rPr>
              <w:rFonts w:hint="eastAsia" w:ascii="宋体" w:hAnsi="宋体" w:eastAsia="宋体" w:cs="宋体"/>
              <w:szCs w:val="21"/>
            </w:rPr>
            <w:t>33</w:t>
          </w:r>
          <w:r>
            <w:rPr>
              <w:rFonts w:hint="eastAsia" w:ascii="宋体" w:hAnsi="宋体" w:eastAsia="宋体" w:cs="宋体"/>
              <w:szCs w:val="21"/>
            </w:rPr>
            <w:fldChar w:fldCharType="end"/>
          </w:r>
          <w:r>
            <w:rPr>
              <w:rFonts w:hint="eastAsia" w:ascii="宋体" w:hAnsi="宋体" w:eastAsia="宋体" w:cs="宋体"/>
              <w:szCs w:val="21"/>
            </w:rPr>
            <w:fldChar w:fldCharType="end"/>
          </w:r>
        </w:p>
        <w:p w14:paraId="59C7B95C">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"_Toc17924" </w:instrText>
          </w:r>
          <w:r>
            <w:rPr>
              <w:rFonts w:hint="eastAsia" w:ascii="宋体" w:hAnsi="宋体" w:eastAsia="宋体" w:cs="宋体"/>
            </w:rPr>
            <w:fldChar w:fldCharType="separate"/>
          </w:r>
          <w:r>
            <w:rPr>
              <w:rFonts w:hint="eastAsia" w:ascii="宋体" w:hAnsi="宋体" w:eastAsia="宋体" w:cs="宋体"/>
              <w:szCs w:val="21"/>
            </w:rPr>
            <w:t>第五章  服务要求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_Toc17924 \h </w:instrText>
          </w:r>
          <w:r>
            <w:rPr>
              <w:rFonts w:hint="eastAsia" w:ascii="宋体" w:hAnsi="宋体" w:eastAsia="宋体" w:cs="宋体"/>
              <w:szCs w:val="21"/>
            </w:rPr>
            <w:fldChar w:fldCharType="separate"/>
          </w:r>
          <w:r>
            <w:rPr>
              <w:rFonts w:hint="eastAsia" w:ascii="宋体" w:hAnsi="宋体" w:eastAsia="宋体" w:cs="宋体"/>
              <w:szCs w:val="21"/>
            </w:rPr>
            <w:t>41</w:t>
          </w:r>
          <w:r>
            <w:rPr>
              <w:rFonts w:hint="eastAsia" w:ascii="宋体" w:hAnsi="宋体" w:eastAsia="宋体" w:cs="宋体"/>
              <w:szCs w:val="21"/>
            </w:rPr>
            <w:fldChar w:fldCharType="end"/>
          </w:r>
          <w:r>
            <w:rPr>
              <w:rFonts w:hint="eastAsia" w:ascii="宋体" w:hAnsi="宋体" w:eastAsia="宋体" w:cs="宋体"/>
              <w:szCs w:val="21"/>
            </w:rPr>
            <w:fldChar w:fldCharType="end"/>
          </w:r>
        </w:p>
        <w:p w14:paraId="42A8015A">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"_Toc9976" </w:instrText>
          </w:r>
          <w:r>
            <w:rPr>
              <w:rFonts w:hint="eastAsia" w:ascii="宋体" w:hAnsi="宋体" w:eastAsia="宋体" w:cs="宋体"/>
            </w:rPr>
            <w:fldChar w:fldCharType="separate"/>
          </w:r>
          <w:r>
            <w:rPr>
              <w:rFonts w:hint="eastAsia" w:ascii="宋体" w:hAnsi="宋体" w:eastAsia="宋体" w:cs="宋体"/>
              <w:szCs w:val="21"/>
            </w:rPr>
            <w:t>第六章  响应文件格式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_Toc9976 \h </w:instrText>
          </w:r>
          <w:r>
            <w:rPr>
              <w:rFonts w:hint="eastAsia" w:ascii="宋体" w:hAnsi="宋体" w:eastAsia="宋体" w:cs="宋体"/>
              <w:szCs w:val="21"/>
            </w:rPr>
            <w:fldChar w:fldCharType="separate"/>
          </w:r>
          <w:r>
            <w:rPr>
              <w:rFonts w:hint="eastAsia" w:ascii="宋体" w:hAnsi="宋体" w:eastAsia="宋体" w:cs="宋体"/>
              <w:szCs w:val="21"/>
            </w:rPr>
            <w:t>46</w:t>
          </w:r>
          <w:r>
            <w:rPr>
              <w:rFonts w:hint="eastAsia" w:ascii="宋体" w:hAnsi="宋体" w:eastAsia="宋体" w:cs="宋体"/>
              <w:szCs w:val="21"/>
            </w:rPr>
            <w:fldChar w:fldCharType="end"/>
          </w:r>
          <w:r>
            <w:rPr>
              <w:rFonts w:hint="eastAsia" w:ascii="宋体" w:hAnsi="宋体" w:eastAsia="宋体" w:cs="宋体"/>
              <w:szCs w:val="21"/>
            </w:rPr>
            <w:fldChar w:fldCharType="end"/>
          </w:r>
        </w:p>
        <w:p w14:paraId="5C3D30E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"_Toc740" </w:instrText>
          </w:r>
          <w:r>
            <w:rPr>
              <w:rFonts w:hint="eastAsia" w:ascii="宋体" w:hAnsi="宋体" w:eastAsia="宋体" w:cs="宋体"/>
            </w:rPr>
            <w:fldChar w:fldCharType="separate"/>
          </w:r>
          <w:r>
            <w:rPr>
              <w:rFonts w:hint="eastAsia" w:ascii="宋体" w:hAnsi="宋体" w:eastAsia="宋体" w:cs="宋体"/>
              <w:szCs w:val="21"/>
            </w:rPr>
            <w:t>一、磋商承诺书</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_Toc740 \h </w:instrText>
          </w:r>
          <w:r>
            <w:rPr>
              <w:rFonts w:hint="eastAsia" w:ascii="宋体" w:hAnsi="宋体" w:eastAsia="宋体" w:cs="宋体"/>
              <w:szCs w:val="21"/>
            </w:rPr>
            <w:fldChar w:fldCharType="separate"/>
          </w:r>
          <w:r>
            <w:rPr>
              <w:rFonts w:hint="eastAsia" w:ascii="宋体" w:hAnsi="宋体" w:eastAsia="宋体" w:cs="宋体"/>
              <w:szCs w:val="21"/>
            </w:rPr>
            <w:t>48</w:t>
          </w:r>
          <w:r>
            <w:rPr>
              <w:rFonts w:hint="eastAsia" w:ascii="宋体" w:hAnsi="宋体" w:eastAsia="宋体" w:cs="宋体"/>
              <w:szCs w:val="21"/>
            </w:rPr>
            <w:fldChar w:fldCharType="end"/>
          </w:r>
          <w:r>
            <w:rPr>
              <w:rFonts w:hint="eastAsia" w:ascii="宋体" w:hAnsi="宋体" w:eastAsia="宋体" w:cs="宋体"/>
              <w:szCs w:val="21"/>
            </w:rPr>
            <w:fldChar w:fldCharType="end"/>
          </w:r>
        </w:p>
        <w:p w14:paraId="378CACC4">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"_Toc3507" </w:instrText>
          </w:r>
          <w:r>
            <w:rPr>
              <w:rFonts w:hint="eastAsia" w:ascii="宋体" w:hAnsi="宋体" w:eastAsia="宋体" w:cs="宋体"/>
            </w:rPr>
            <w:fldChar w:fldCharType="separate"/>
          </w:r>
          <w:r>
            <w:rPr>
              <w:rFonts w:hint="eastAsia" w:ascii="宋体" w:hAnsi="宋体" w:eastAsia="宋体" w:cs="宋体"/>
              <w:szCs w:val="21"/>
            </w:rPr>
            <w:t>二、报价表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_Toc3507 \h </w:instrText>
          </w:r>
          <w:r>
            <w:rPr>
              <w:rFonts w:hint="eastAsia" w:ascii="宋体" w:hAnsi="宋体" w:eastAsia="宋体" w:cs="宋体"/>
              <w:szCs w:val="21"/>
            </w:rPr>
            <w:fldChar w:fldCharType="separate"/>
          </w:r>
          <w:r>
            <w:rPr>
              <w:rFonts w:hint="eastAsia" w:ascii="宋体" w:hAnsi="宋体" w:eastAsia="宋体" w:cs="宋体"/>
              <w:szCs w:val="21"/>
            </w:rPr>
            <w:t>49</w:t>
          </w:r>
          <w:r>
            <w:rPr>
              <w:rFonts w:hint="eastAsia" w:ascii="宋体" w:hAnsi="宋体" w:eastAsia="宋体" w:cs="宋体"/>
              <w:szCs w:val="21"/>
            </w:rPr>
            <w:fldChar w:fldCharType="end"/>
          </w:r>
          <w:r>
            <w:rPr>
              <w:rFonts w:hint="eastAsia" w:ascii="宋体" w:hAnsi="宋体" w:eastAsia="宋体" w:cs="宋体"/>
              <w:szCs w:val="21"/>
            </w:rPr>
            <w:fldChar w:fldCharType="end"/>
          </w:r>
        </w:p>
        <w:p w14:paraId="018DD27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"_Toc191" </w:instrText>
          </w:r>
          <w:r>
            <w:rPr>
              <w:rFonts w:hint="eastAsia" w:ascii="宋体" w:hAnsi="宋体" w:eastAsia="宋体" w:cs="宋体"/>
            </w:rPr>
            <w:fldChar w:fldCharType="separate"/>
          </w:r>
          <w:r>
            <w:rPr>
              <w:rFonts w:hint="eastAsia" w:ascii="宋体" w:hAnsi="宋体" w:eastAsia="宋体" w:cs="宋体"/>
              <w:szCs w:val="21"/>
            </w:rPr>
            <w:t>三、法定代表人身份证明</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_Toc191 \h </w:instrText>
          </w:r>
          <w:r>
            <w:rPr>
              <w:rFonts w:hint="eastAsia" w:ascii="宋体" w:hAnsi="宋体" w:eastAsia="宋体" w:cs="宋体"/>
              <w:szCs w:val="21"/>
            </w:rPr>
            <w:fldChar w:fldCharType="separate"/>
          </w:r>
          <w:r>
            <w:rPr>
              <w:rFonts w:hint="eastAsia" w:ascii="宋体" w:hAnsi="宋体" w:eastAsia="宋体" w:cs="宋体"/>
              <w:szCs w:val="21"/>
            </w:rPr>
            <w:t>50</w:t>
          </w:r>
          <w:r>
            <w:rPr>
              <w:rFonts w:hint="eastAsia" w:ascii="宋体" w:hAnsi="宋体" w:eastAsia="宋体" w:cs="宋体"/>
              <w:szCs w:val="21"/>
            </w:rPr>
            <w:fldChar w:fldCharType="end"/>
          </w:r>
          <w:r>
            <w:rPr>
              <w:rFonts w:hint="eastAsia" w:ascii="宋体" w:hAnsi="宋体" w:eastAsia="宋体" w:cs="宋体"/>
              <w:szCs w:val="21"/>
            </w:rPr>
            <w:fldChar w:fldCharType="end"/>
          </w:r>
        </w:p>
        <w:p w14:paraId="2798D908">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"_Toc24479" </w:instrText>
          </w:r>
          <w:r>
            <w:rPr>
              <w:rFonts w:hint="eastAsia" w:ascii="宋体" w:hAnsi="宋体" w:eastAsia="宋体" w:cs="宋体"/>
            </w:rPr>
            <w:fldChar w:fldCharType="separate"/>
          </w:r>
          <w:r>
            <w:rPr>
              <w:rFonts w:hint="eastAsia" w:ascii="宋体" w:hAnsi="宋体" w:eastAsia="宋体" w:cs="宋体"/>
              <w:szCs w:val="21"/>
            </w:rPr>
            <w:t>四、法定代表人授权委托书</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_Toc24479 \h </w:instrText>
          </w:r>
          <w:r>
            <w:rPr>
              <w:rFonts w:hint="eastAsia" w:ascii="宋体" w:hAnsi="宋体" w:eastAsia="宋体" w:cs="宋体"/>
              <w:szCs w:val="21"/>
            </w:rPr>
            <w:fldChar w:fldCharType="separate"/>
          </w:r>
          <w:r>
            <w:rPr>
              <w:rFonts w:hint="eastAsia" w:ascii="宋体" w:hAnsi="宋体" w:eastAsia="宋体" w:cs="宋体"/>
              <w:szCs w:val="21"/>
            </w:rPr>
            <w:t>51</w:t>
          </w:r>
          <w:r>
            <w:rPr>
              <w:rFonts w:hint="eastAsia" w:ascii="宋体" w:hAnsi="宋体" w:eastAsia="宋体" w:cs="宋体"/>
              <w:szCs w:val="21"/>
            </w:rPr>
            <w:fldChar w:fldCharType="end"/>
          </w:r>
          <w:r>
            <w:rPr>
              <w:rFonts w:hint="eastAsia" w:ascii="宋体" w:hAnsi="宋体" w:eastAsia="宋体" w:cs="宋体"/>
              <w:szCs w:val="21"/>
            </w:rPr>
            <w:fldChar w:fldCharType="end"/>
          </w:r>
        </w:p>
        <w:p w14:paraId="147B5021">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"_Toc935" </w:instrText>
          </w:r>
          <w:r>
            <w:rPr>
              <w:rFonts w:hint="eastAsia" w:ascii="宋体" w:hAnsi="宋体" w:eastAsia="宋体" w:cs="宋体"/>
            </w:rPr>
            <w:fldChar w:fldCharType="separate"/>
          </w:r>
          <w:r>
            <w:rPr>
              <w:rFonts w:hint="eastAsia" w:ascii="宋体" w:hAnsi="宋体" w:eastAsia="宋体" w:cs="宋体"/>
              <w:szCs w:val="21"/>
            </w:rPr>
            <w:t>五、资格审查资料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_Toc935 \h </w:instrText>
          </w:r>
          <w:r>
            <w:rPr>
              <w:rFonts w:hint="eastAsia" w:ascii="宋体" w:hAnsi="宋体" w:eastAsia="宋体" w:cs="宋体"/>
              <w:szCs w:val="21"/>
            </w:rPr>
            <w:fldChar w:fldCharType="separate"/>
          </w:r>
          <w:r>
            <w:rPr>
              <w:rFonts w:hint="eastAsia" w:ascii="宋体" w:hAnsi="宋体" w:eastAsia="宋体" w:cs="宋体"/>
              <w:szCs w:val="21"/>
            </w:rPr>
            <w:t>52</w:t>
          </w:r>
          <w:r>
            <w:rPr>
              <w:rFonts w:hint="eastAsia" w:ascii="宋体" w:hAnsi="宋体" w:eastAsia="宋体" w:cs="宋体"/>
              <w:szCs w:val="21"/>
            </w:rPr>
            <w:fldChar w:fldCharType="end"/>
          </w:r>
          <w:r>
            <w:rPr>
              <w:rFonts w:hint="eastAsia" w:ascii="宋体" w:hAnsi="宋体" w:eastAsia="宋体" w:cs="宋体"/>
              <w:szCs w:val="21"/>
            </w:rPr>
            <w:fldChar w:fldCharType="end"/>
          </w:r>
        </w:p>
        <w:p w14:paraId="6697EAA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"_Toc13470" </w:instrText>
          </w:r>
          <w:r>
            <w:rPr>
              <w:rFonts w:hint="eastAsia" w:ascii="宋体" w:hAnsi="宋体" w:eastAsia="宋体" w:cs="宋体"/>
            </w:rPr>
            <w:fldChar w:fldCharType="separate"/>
          </w:r>
          <w:r>
            <w:rPr>
              <w:rFonts w:hint="eastAsia" w:ascii="宋体" w:hAnsi="宋体" w:eastAsia="宋体" w:cs="宋体"/>
              <w:szCs w:val="21"/>
            </w:rPr>
            <w:t>六、技术部分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_Toc13470 \h </w:instrText>
          </w:r>
          <w:r>
            <w:rPr>
              <w:rFonts w:hint="eastAsia" w:ascii="宋体" w:hAnsi="宋体" w:eastAsia="宋体" w:cs="宋体"/>
              <w:szCs w:val="21"/>
            </w:rPr>
            <w:fldChar w:fldCharType="separate"/>
          </w:r>
          <w:r>
            <w:rPr>
              <w:rFonts w:hint="eastAsia" w:ascii="宋体" w:hAnsi="宋体" w:eastAsia="宋体" w:cs="宋体"/>
              <w:szCs w:val="21"/>
            </w:rPr>
            <w:t>52</w:t>
          </w:r>
          <w:r>
            <w:rPr>
              <w:rFonts w:hint="eastAsia" w:ascii="宋体" w:hAnsi="宋体" w:eastAsia="宋体" w:cs="宋体"/>
              <w:szCs w:val="21"/>
            </w:rPr>
            <w:fldChar w:fldCharType="end"/>
          </w:r>
          <w:r>
            <w:rPr>
              <w:rFonts w:hint="eastAsia" w:ascii="宋体" w:hAnsi="宋体" w:eastAsia="宋体" w:cs="宋体"/>
              <w:szCs w:val="21"/>
            </w:rPr>
            <w:fldChar w:fldCharType="end"/>
          </w:r>
        </w:p>
        <w:p w14:paraId="6D264E13">
          <w:pPr>
            <w:pStyle w:val="28"/>
            <w:tabs>
              <w:tab w:val="right" w:leader="dot" w:pos="9746"/>
            </w:tabs>
            <w:spacing w:line="360" w:lineRule="auto"/>
            <w:ind w:left="48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"_Toc11671" </w:instrText>
          </w:r>
          <w:r>
            <w:rPr>
              <w:rFonts w:hint="eastAsia" w:ascii="宋体" w:hAnsi="宋体" w:eastAsia="宋体" w:cs="宋体"/>
            </w:rPr>
            <w:fldChar w:fldCharType="separate"/>
          </w:r>
          <w:r>
            <w:rPr>
              <w:rFonts w:hint="eastAsia" w:ascii="宋体" w:hAnsi="宋体" w:eastAsia="宋体" w:cs="宋体"/>
              <w:szCs w:val="21"/>
            </w:rPr>
            <w:t>七、其他材料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_Toc11671 \h </w:instrText>
          </w:r>
          <w:r>
            <w:rPr>
              <w:rFonts w:hint="eastAsia" w:ascii="宋体" w:hAnsi="宋体" w:eastAsia="宋体" w:cs="宋体"/>
              <w:szCs w:val="21"/>
            </w:rPr>
            <w:fldChar w:fldCharType="separate"/>
          </w:r>
          <w:r>
            <w:rPr>
              <w:rFonts w:hint="eastAsia" w:ascii="宋体" w:hAnsi="宋体" w:eastAsia="宋体" w:cs="宋体"/>
              <w:szCs w:val="21"/>
            </w:rPr>
            <w:t>57</w:t>
          </w:r>
          <w:r>
            <w:rPr>
              <w:rFonts w:hint="eastAsia" w:ascii="宋体" w:hAnsi="宋体" w:eastAsia="宋体" w:cs="宋体"/>
              <w:szCs w:val="21"/>
            </w:rPr>
            <w:fldChar w:fldCharType="end"/>
          </w:r>
          <w:r>
            <w:rPr>
              <w:rFonts w:hint="eastAsia" w:ascii="宋体" w:hAnsi="宋体" w:eastAsia="宋体" w:cs="宋体"/>
              <w:szCs w:val="21"/>
            </w:rPr>
            <w:fldChar w:fldCharType="end"/>
          </w:r>
        </w:p>
        <w:p w14:paraId="16BDF156">
          <w:pPr>
            <w:spacing w:line="360" w:lineRule="auto"/>
            <w:rPr>
              <w:rFonts w:hint="eastAsia" w:ascii="宋体" w:hAnsi="宋体" w:eastAsia="宋体" w:cs="宋体"/>
            </w:rPr>
          </w:pPr>
          <w:r>
            <w:rPr>
              <w:rFonts w:hint="eastAsia" w:ascii="宋体" w:hAnsi="宋体" w:eastAsia="宋体" w:cs="宋体"/>
              <w:szCs w:val="21"/>
            </w:rPr>
            <w:fldChar w:fldCharType="end"/>
          </w:r>
        </w:p>
      </w:sdtContent>
    </w:sdt>
    <w:p w14:paraId="3BD78545">
      <w:pPr>
        <w:jc w:val="center"/>
        <w:outlineLvl w:val="0"/>
        <w:rPr>
          <w:rFonts w:hint="eastAsia" w:ascii="宋体" w:hAnsi="宋体" w:eastAsia="宋体" w:cs="宋体"/>
          <w:b/>
          <w:sz w:val="32"/>
        </w:rPr>
        <w:sectPr>
          <w:footerReference r:id="rId6" w:type="first"/>
          <w:footerReference r:id="rId5" w:type="default"/>
          <w:pgSz w:w="11906" w:h="16838"/>
          <w:pgMar w:top="1440" w:right="1080" w:bottom="1440" w:left="1080" w:header="851" w:footer="1331" w:gutter="0"/>
          <w:pgNumType w:fmt="decimal" w:start="1"/>
          <w:cols w:space="720" w:num="1"/>
          <w:docGrid w:type="lines" w:linePitch="326" w:charSpace="0"/>
        </w:sectPr>
      </w:pPr>
      <w:bookmarkStart w:id="0" w:name="_Toc45177801"/>
    </w:p>
    <w:p w14:paraId="4B257120">
      <w:pPr>
        <w:jc w:val="center"/>
        <w:outlineLvl w:val="0"/>
        <w:rPr>
          <w:rFonts w:hint="eastAsia" w:ascii="宋体" w:hAnsi="宋体" w:eastAsia="宋体" w:cs="宋体"/>
          <w:b/>
          <w:sz w:val="32"/>
        </w:rPr>
      </w:pPr>
      <w:bookmarkStart w:id="1" w:name="_Toc31259"/>
      <w:r>
        <w:rPr>
          <w:rFonts w:hint="eastAsia" w:ascii="宋体" w:hAnsi="宋体" w:eastAsia="宋体" w:cs="宋体"/>
          <w:b/>
          <w:sz w:val="32"/>
        </w:rPr>
        <w:t>第一章  磋商公告</w:t>
      </w:r>
      <w:bookmarkEnd w:id="0"/>
      <w:bookmarkEnd w:id="1"/>
    </w:p>
    <w:p w14:paraId="13EE6FA0">
      <w:pPr>
        <w:spacing w:line="360" w:lineRule="auto"/>
        <w:jc w:val="center"/>
        <w:rPr>
          <w:rFonts w:hint="eastAsia" w:ascii="宋体" w:hAnsi="宋体" w:eastAsia="宋体" w:cs="宋体"/>
          <w:b/>
          <w:bCs/>
          <w:sz w:val="28"/>
          <w:szCs w:val="32"/>
        </w:rPr>
      </w:pPr>
      <w:bookmarkStart w:id="2" w:name="_Hlk138958872"/>
      <w:r>
        <w:rPr>
          <w:rFonts w:hint="eastAsia" w:ascii="宋体" w:hAnsi="宋体" w:eastAsia="宋体" w:cs="宋体"/>
          <w:b/>
          <w:bCs/>
          <w:sz w:val="28"/>
          <w:szCs w:val="32"/>
        </w:rPr>
        <w:t>【平公资采2026135号】</w:t>
      </w:r>
      <w:r>
        <w:rPr>
          <w:rFonts w:hint="eastAsia" w:ascii="宋体" w:hAnsi="宋体" w:eastAsia="宋体" w:cs="宋体"/>
          <w:b/>
          <w:bCs/>
          <w:sz w:val="28"/>
          <w:szCs w:val="32"/>
          <w:lang w:eastAsia="zh-CN"/>
        </w:rPr>
        <w:t>中共平顶山市新华区委政法委员会2026年新华区平安家园民生综合保险项目（</w:t>
      </w:r>
      <w:r>
        <w:rPr>
          <w:rFonts w:hint="eastAsia" w:ascii="宋体" w:hAnsi="宋体" w:eastAsia="宋体" w:cs="宋体"/>
          <w:b/>
          <w:bCs/>
          <w:sz w:val="28"/>
          <w:szCs w:val="32"/>
          <w:lang w:val="en-US" w:eastAsia="zh-CN"/>
        </w:rPr>
        <w:t>第二标段</w:t>
      </w:r>
      <w:bookmarkStart w:id="483" w:name="_GoBack"/>
      <w:bookmarkEnd w:id="483"/>
      <w:r>
        <w:rPr>
          <w:rFonts w:hint="eastAsia" w:ascii="宋体" w:hAnsi="宋体" w:eastAsia="宋体" w:cs="宋体"/>
          <w:b/>
          <w:bCs/>
          <w:sz w:val="28"/>
          <w:szCs w:val="32"/>
          <w:lang w:eastAsia="zh-CN"/>
        </w:rPr>
        <w:t>）</w:t>
      </w:r>
      <w:r>
        <w:rPr>
          <w:rFonts w:hint="eastAsia" w:ascii="宋体" w:hAnsi="宋体" w:eastAsia="宋体" w:cs="宋体"/>
          <w:b/>
          <w:bCs/>
          <w:sz w:val="28"/>
          <w:szCs w:val="32"/>
        </w:rPr>
        <w:t>竞争性磋商公告</w:t>
      </w:r>
    </w:p>
    <w:p w14:paraId="634BA0F0">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项目概况</w:t>
      </w:r>
    </w:p>
    <w:p w14:paraId="5C2834FA">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eastAsia="zh-CN"/>
        </w:rPr>
        <w:t>中共平顶山市新华区委政法委员会2026年新华区平安家园民生综合保险项目</w:t>
      </w:r>
      <w:r>
        <w:rPr>
          <w:rFonts w:hint="eastAsia" w:ascii="宋体" w:hAnsi="宋体" w:eastAsia="宋体" w:cs="宋体"/>
          <w:bCs/>
          <w:sz w:val="21"/>
          <w:szCs w:val="21"/>
        </w:rPr>
        <w:t>的潜在投标人应在平顶山市公共资源交易中心电子交易系统获取招标文件并于</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分（北京时间）前递交响应文件。</w:t>
      </w:r>
    </w:p>
    <w:p w14:paraId="16295002">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一、项目基本情况</w:t>
      </w:r>
    </w:p>
    <w:p w14:paraId="4DF9A71E">
      <w:pPr>
        <w:spacing w:line="440" w:lineRule="exact"/>
        <w:ind w:firstLine="422" w:firstLineChars="200"/>
        <w:rPr>
          <w:rFonts w:hint="default" w:ascii="宋体" w:hAnsi="宋体" w:eastAsia="宋体" w:cs="宋体"/>
          <w:sz w:val="21"/>
          <w:szCs w:val="21"/>
          <w:lang w:val="en-US" w:eastAsia="zh-CN"/>
        </w:rPr>
      </w:pPr>
      <w:bookmarkStart w:id="3" w:name="_Hlk138959232"/>
      <w:r>
        <w:rPr>
          <w:rFonts w:hint="eastAsia" w:ascii="宋体" w:hAnsi="宋体" w:eastAsia="宋体" w:cs="宋体"/>
          <w:b/>
          <w:sz w:val="21"/>
          <w:szCs w:val="21"/>
        </w:rPr>
        <w:t>1、项目编号</w:t>
      </w:r>
      <w:r>
        <w:rPr>
          <w:rFonts w:hint="eastAsia" w:ascii="宋体" w:hAnsi="宋体" w:eastAsia="宋体" w:cs="宋体"/>
          <w:sz w:val="21"/>
          <w:szCs w:val="21"/>
        </w:rPr>
        <w:t>：</w:t>
      </w:r>
      <w:r>
        <w:rPr>
          <w:rFonts w:hint="eastAsia" w:ascii="宋体" w:hAnsi="宋体" w:eastAsia="宋体" w:cs="宋体"/>
          <w:sz w:val="21"/>
          <w:szCs w:val="21"/>
          <w:lang w:val="en-US" w:eastAsia="zh-CN"/>
        </w:rPr>
        <w:t>平新采磋商-2026-2</w:t>
      </w:r>
    </w:p>
    <w:p w14:paraId="334BF13B">
      <w:pPr>
        <w:spacing w:line="440" w:lineRule="exact"/>
        <w:ind w:firstLine="422" w:firstLineChars="200"/>
        <w:rPr>
          <w:rFonts w:hint="eastAsia" w:ascii="宋体" w:hAnsi="宋体" w:eastAsia="宋体" w:cs="宋体"/>
          <w:sz w:val="21"/>
          <w:szCs w:val="21"/>
          <w:lang w:eastAsia="zh-CN"/>
        </w:rPr>
      </w:pPr>
      <w:r>
        <w:rPr>
          <w:rFonts w:hint="eastAsia" w:ascii="宋体" w:hAnsi="宋体" w:eastAsia="宋体" w:cs="宋体"/>
          <w:b/>
          <w:sz w:val="21"/>
          <w:szCs w:val="21"/>
        </w:rPr>
        <w:t>2、项目名称</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中共平顶山市新华区委政法委员会2026年新华区平安家园民生综合保险项目</w:t>
      </w:r>
    </w:p>
    <w:p w14:paraId="250FB3AF">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sz w:val="21"/>
          <w:szCs w:val="21"/>
        </w:rPr>
        <w:t>3、采购方式</w:t>
      </w:r>
      <w:r>
        <w:rPr>
          <w:rFonts w:hint="eastAsia" w:ascii="宋体" w:hAnsi="宋体" w:eastAsia="宋体" w:cs="宋体"/>
          <w:sz w:val="21"/>
          <w:szCs w:val="21"/>
        </w:rPr>
        <w:t>：竞争性磋商</w:t>
      </w:r>
    </w:p>
    <w:p w14:paraId="4E445C96">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4、预算金额</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1489900</w:t>
      </w:r>
      <w:r>
        <w:rPr>
          <w:rFonts w:hint="eastAsia" w:ascii="宋体" w:hAnsi="宋体" w:eastAsia="宋体" w:cs="宋体"/>
          <w:color w:val="auto"/>
          <w:sz w:val="21"/>
          <w:szCs w:val="21"/>
        </w:rPr>
        <w:t>.00元；最高限价：</w:t>
      </w:r>
      <w:r>
        <w:rPr>
          <w:rFonts w:hint="eastAsia" w:ascii="宋体" w:hAnsi="宋体" w:eastAsia="宋体" w:cs="宋体"/>
          <w:color w:val="auto"/>
          <w:sz w:val="21"/>
          <w:szCs w:val="21"/>
          <w:lang w:val="en-US" w:eastAsia="zh-CN"/>
        </w:rPr>
        <w:t>1489900</w:t>
      </w:r>
      <w:r>
        <w:rPr>
          <w:rFonts w:hint="eastAsia" w:ascii="宋体" w:hAnsi="宋体" w:eastAsia="宋体" w:cs="宋体"/>
          <w:color w:val="auto"/>
          <w:sz w:val="21"/>
          <w:szCs w:val="21"/>
        </w:rPr>
        <w:t>.00元</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540"/>
        <w:gridCol w:w="4337"/>
        <w:gridCol w:w="1745"/>
        <w:gridCol w:w="1745"/>
      </w:tblGrid>
      <w:tr w14:paraId="76EF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96" w:type="pct"/>
            <w:vAlign w:val="center"/>
          </w:tcPr>
          <w:p w14:paraId="252CCE2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773" w:type="pct"/>
            <w:vAlign w:val="center"/>
          </w:tcPr>
          <w:p w14:paraId="4A35EE9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包号</w:t>
            </w:r>
          </w:p>
        </w:tc>
        <w:tc>
          <w:tcPr>
            <w:tcW w:w="2177" w:type="pct"/>
            <w:vAlign w:val="center"/>
          </w:tcPr>
          <w:p w14:paraId="61CF0F5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包名称</w:t>
            </w:r>
          </w:p>
        </w:tc>
        <w:tc>
          <w:tcPr>
            <w:tcW w:w="876" w:type="pct"/>
            <w:vAlign w:val="center"/>
          </w:tcPr>
          <w:p w14:paraId="5D5AFEC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包预算（元）</w:t>
            </w:r>
          </w:p>
        </w:tc>
        <w:tc>
          <w:tcPr>
            <w:tcW w:w="876" w:type="pct"/>
            <w:vAlign w:val="center"/>
          </w:tcPr>
          <w:p w14:paraId="0383FA6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包最高限价（元）</w:t>
            </w:r>
          </w:p>
        </w:tc>
      </w:tr>
      <w:tr w14:paraId="4D83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96" w:type="pct"/>
            <w:vAlign w:val="center"/>
          </w:tcPr>
          <w:p w14:paraId="05549444">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p>
        </w:tc>
        <w:tc>
          <w:tcPr>
            <w:tcW w:w="773" w:type="pct"/>
            <w:vAlign w:val="center"/>
          </w:tcPr>
          <w:p w14:paraId="2E7850DF">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平公资采202</w:t>
            </w:r>
            <w:r>
              <w:rPr>
                <w:rFonts w:hint="eastAsia" w:ascii="宋体" w:hAnsi="宋体" w:eastAsia="宋体" w:cs="宋体"/>
                <w:color w:val="auto"/>
                <w:sz w:val="21"/>
                <w:szCs w:val="21"/>
                <w:lang w:val="en-US" w:eastAsia="zh-CN"/>
              </w:rPr>
              <w:t>6  135</w:t>
            </w:r>
            <w:r>
              <w:rPr>
                <w:rFonts w:hint="eastAsia" w:ascii="宋体" w:hAnsi="宋体" w:eastAsia="宋体" w:cs="宋体"/>
                <w:color w:val="auto"/>
                <w:sz w:val="21"/>
                <w:szCs w:val="21"/>
              </w:rPr>
              <w:t>号-</w:t>
            </w:r>
            <w:r>
              <w:rPr>
                <w:rFonts w:hint="eastAsia" w:ascii="宋体" w:hAnsi="宋体" w:eastAsia="宋体" w:cs="宋体"/>
                <w:color w:val="auto"/>
                <w:sz w:val="21"/>
                <w:szCs w:val="21"/>
                <w:lang w:val="en-US" w:eastAsia="zh-CN"/>
              </w:rPr>
              <w:t>2</w:t>
            </w:r>
          </w:p>
        </w:tc>
        <w:tc>
          <w:tcPr>
            <w:tcW w:w="2177" w:type="pct"/>
            <w:vAlign w:val="center"/>
          </w:tcPr>
          <w:p w14:paraId="091A667E">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2026年新华区平安家园民生综合保险项目</w:t>
            </w:r>
            <w:r>
              <w:rPr>
                <w:rFonts w:hint="eastAsia" w:ascii="宋体" w:hAnsi="宋体" w:eastAsia="宋体" w:cs="宋体"/>
                <w:color w:val="auto"/>
                <w:sz w:val="21"/>
                <w:szCs w:val="21"/>
                <w:lang w:val="en-US" w:eastAsia="zh-CN"/>
              </w:rPr>
              <w:t>二标段</w:t>
            </w:r>
          </w:p>
        </w:tc>
        <w:tc>
          <w:tcPr>
            <w:tcW w:w="876" w:type="pct"/>
            <w:vAlign w:val="center"/>
          </w:tcPr>
          <w:p w14:paraId="134C4885">
            <w:pPr>
              <w:jc w:val="center"/>
              <w:rPr>
                <w:rFonts w:hint="eastAsia" w:ascii="宋体" w:hAnsi="宋体" w:eastAsia="宋体" w:cs="宋体"/>
                <w:color w:val="auto"/>
                <w:sz w:val="21"/>
                <w:szCs w:val="21"/>
              </w:rPr>
            </w:pPr>
            <w:r>
              <w:rPr>
                <w:rFonts w:hint="eastAsia" w:ascii="宋体" w:hAnsi="宋体"/>
                <w:color w:val="auto"/>
                <w:sz w:val="21"/>
                <w:szCs w:val="21"/>
                <w:highlight w:val="none"/>
                <w:lang w:val="en-US" w:eastAsia="zh-CN"/>
              </w:rPr>
              <w:t>810834.53</w:t>
            </w:r>
          </w:p>
        </w:tc>
        <w:tc>
          <w:tcPr>
            <w:tcW w:w="876" w:type="pct"/>
            <w:vAlign w:val="center"/>
          </w:tcPr>
          <w:p w14:paraId="549BC98A">
            <w:pPr>
              <w:jc w:val="center"/>
              <w:rPr>
                <w:rFonts w:hint="eastAsia" w:ascii="宋体" w:hAnsi="宋体" w:eastAsia="宋体" w:cs="宋体"/>
                <w:color w:val="auto"/>
                <w:sz w:val="21"/>
                <w:szCs w:val="21"/>
              </w:rPr>
            </w:pPr>
            <w:r>
              <w:rPr>
                <w:rFonts w:hint="eastAsia" w:ascii="宋体" w:hAnsi="宋体"/>
                <w:color w:val="auto"/>
                <w:sz w:val="21"/>
                <w:szCs w:val="21"/>
                <w:highlight w:val="none"/>
                <w:lang w:val="en-US" w:eastAsia="zh-CN"/>
              </w:rPr>
              <w:t>810834.53</w:t>
            </w:r>
          </w:p>
        </w:tc>
      </w:tr>
    </w:tbl>
    <w:p w14:paraId="18611C35">
      <w:pPr>
        <w:spacing w:line="4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5、采购需求（包括但不限于标的的名称、数量、简要技术需求或服务要求等）</w:t>
      </w:r>
    </w:p>
    <w:bookmarkEnd w:id="3"/>
    <w:p w14:paraId="794F57EB">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5.1采购内容：</w:t>
      </w:r>
      <w:r>
        <w:rPr>
          <w:rFonts w:hint="eastAsia" w:ascii="宋体" w:hAnsi="宋体" w:eastAsia="宋体" w:cs="宋体"/>
          <w:color w:val="auto"/>
          <w:sz w:val="21"/>
          <w:szCs w:val="21"/>
          <w:lang w:eastAsia="zh-CN"/>
        </w:rPr>
        <w:t>中共平顶山市新华区委政法委员会新华区平安家园民生综合保险项目，</w:t>
      </w:r>
      <w:r>
        <w:rPr>
          <w:rFonts w:hint="eastAsia" w:ascii="宋体" w:hAnsi="宋体" w:eastAsia="宋体" w:cs="宋体"/>
          <w:color w:val="auto"/>
          <w:sz w:val="21"/>
          <w:szCs w:val="21"/>
        </w:rPr>
        <w:t>在辖区内，当灾难降临后，由保险公司对受灾群众的财物损失及人身伤亡进行赔付</w:t>
      </w:r>
      <w:r>
        <w:rPr>
          <w:rFonts w:hint="eastAsia" w:ascii="宋体" w:hAnsi="宋体" w:eastAsia="宋体" w:cs="宋体"/>
          <w:color w:val="auto"/>
          <w:sz w:val="21"/>
          <w:szCs w:val="21"/>
          <w:lang w:eastAsia="zh-CN"/>
        </w:rPr>
        <w:t>，具体内容详见采购文件</w:t>
      </w:r>
      <w:r>
        <w:rPr>
          <w:rFonts w:hint="eastAsia" w:ascii="宋体" w:hAnsi="宋体" w:eastAsia="宋体" w:cs="宋体"/>
          <w:color w:val="auto"/>
          <w:sz w:val="21"/>
          <w:szCs w:val="21"/>
          <w:lang w:val="en-US" w:eastAsia="zh-CN"/>
        </w:rPr>
        <w:t>。</w:t>
      </w:r>
    </w:p>
    <w:p w14:paraId="7D5260D4">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5.2资金及落实情况：财政资金，已落实；</w:t>
      </w:r>
    </w:p>
    <w:p w14:paraId="262B4DE5">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w:t>
      </w:r>
      <w:r>
        <w:rPr>
          <w:rFonts w:hint="eastAsia" w:ascii="宋体" w:hAnsi="宋体" w:eastAsia="宋体" w:cs="宋体"/>
          <w:color w:val="auto"/>
          <w:sz w:val="21"/>
          <w:szCs w:val="21"/>
          <w:lang w:eastAsia="zh-CN"/>
        </w:rPr>
        <w:t>服务地点</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平顶山市新华区；</w:t>
      </w:r>
    </w:p>
    <w:p w14:paraId="543D644A">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服务期限：1年；</w:t>
      </w:r>
    </w:p>
    <w:p w14:paraId="252B6082">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质量要求：合格，符合国家相关规定及行业标准要求；</w:t>
      </w:r>
    </w:p>
    <w:p w14:paraId="60D443E0">
      <w:pPr>
        <w:spacing w:line="44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标段划分：</w:t>
      </w:r>
      <w:r>
        <w:rPr>
          <w:rFonts w:hint="eastAsia" w:ascii="宋体" w:hAnsi="宋体" w:eastAsia="宋体" w:cs="宋体"/>
          <w:color w:val="auto"/>
          <w:sz w:val="21"/>
          <w:szCs w:val="21"/>
          <w:lang w:val="en-US" w:eastAsia="zh-CN"/>
        </w:rPr>
        <w:t>本项目共划分两个标段。</w:t>
      </w:r>
    </w:p>
    <w:p w14:paraId="71EA9968">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二标段：以光明路为界，以西为第二标段，曙光街、西市场、西高皇、焦店、新新街、青石山、香山7个镇街道辖区境内的平安家园民生综合保险业务</w:t>
      </w:r>
      <w:r>
        <w:rPr>
          <w:rFonts w:hint="eastAsia" w:ascii="宋体" w:hAnsi="宋体" w:eastAsia="宋体" w:cs="宋体"/>
          <w:color w:val="auto"/>
          <w:sz w:val="21"/>
          <w:szCs w:val="21"/>
        </w:rPr>
        <w:t>。</w:t>
      </w:r>
    </w:p>
    <w:p w14:paraId="4950CC4B">
      <w:pPr>
        <w:spacing w:line="440" w:lineRule="exact"/>
        <w:ind w:firstLine="422" w:firstLineChars="200"/>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rPr>
        <w:t>6、合同履约期限：</w:t>
      </w:r>
      <w:r>
        <w:rPr>
          <w:rFonts w:hint="eastAsia" w:ascii="宋体" w:hAnsi="宋体" w:eastAsia="宋体" w:cs="宋体"/>
          <w:color w:val="auto"/>
          <w:sz w:val="21"/>
          <w:szCs w:val="21"/>
          <w:lang w:val="en-US" w:eastAsia="zh-CN"/>
        </w:rPr>
        <w:t>同服务期限</w:t>
      </w:r>
    </w:p>
    <w:p w14:paraId="3184B405">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7、本项目是否接受联合体投标：</w:t>
      </w:r>
      <w:r>
        <w:rPr>
          <w:rFonts w:hint="eastAsia" w:ascii="宋体" w:hAnsi="宋体" w:eastAsia="宋体" w:cs="宋体"/>
          <w:color w:val="auto"/>
          <w:sz w:val="21"/>
          <w:szCs w:val="21"/>
        </w:rPr>
        <w:t>否</w:t>
      </w:r>
    </w:p>
    <w:p w14:paraId="275C44A1">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8、是否接受进口产品</w:t>
      </w:r>
      <w:r>
        <w:rPr>
          <w:rFonts w:hint="eastAsia" w:ascii="宋体" w:hAnsi="宋体" w:eastAsia="宋体" w:cs="宋体"/>
          <w:color w:val="auto"/>
          <w:sz w:val="21"/>
          <w:szCs w:val="21"/>
        </w:rPr>
        <w:t>：否</w:t>
      </w:r>
    </w:p>
    <w:p w14:paraId="7F54200E">
      <w:pPr>
        <w:spacing w:line="460" w:lineRule="exact"/>
        <w:ind w:firstLine="420" w:firstLineChars="199"/>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9、是否专门面向中小企业：</w:t>
      </w:r>
      <w:r>
        <w:rPr>
          <w:rFonts w:hint="eastAsia" w:ascii="宋体" w:hAnsi="宋体" w:eastAsia="宋体" w:cs="宋体"/>
          <w:color w:val="auto"/>
          <w:sz w:val="21"/>
          <w:szCs w:val="21"/>
        </w:rPr>
        <w:t>否</w:t>
      </w:r>
    </w:p>
    <w:p w14:paraId="7C487501">
      <w:pPr>
        <w:spacing w:after="120" w:line="440" w:lineRule="exact"/>
        <w:ind w:firstLine="211" w:firstLineChars="100"/>
        <w:rPr>
          <w:rFonts w:hint="eastAsia" w:ascii="宋体" w:hAnsi="宋体" w:eastAsia="宋体" w:cs="宋体"/>
          <w:b/>
          <w:bCs/>
          <w:color w:val="auto"/>
          <w:sz w:val="21"/>
          <w:szCs w:val="21"/>
        </w:rPr>
      </w:pPr>
      <w:r>
        <w:rPr>
          <w:rFonts w:hint="eastAsia" w:ascii="宋体" w:hAnsi="宋体" w:eastAsia="宋体" w:cs="宋体"/>
          <w:b/>
          <w:bCs/>
          <w:color w:val="auto"/>
          <w:sz w:val="21"/>
          <w:szCs w:val="21"/>
        </w:rPr>
        <w:t>二、申请人资格要求：</w:t>
      </w:r>
    </w:p>
    <w:p w14:paraId="49673A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 </w:t>
      </w:r>
    </w:p>
    <w:p w14:paraId="0CC8F5F5">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2、落实政府采购政策满足的资格要求：</w:t>
      </w:r>
      <w:r>
        <w:rPr>
          <w:rFonts w:hint="eastAsia" w:ascii="宋体" w:hAnsi="宋体" w:eastAsia="宋体" w:cs="宋体"/>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0317FF7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3、本项目的特定资格要求</w:t>
      </w:r>
    </w:p>
    <w:p w14:paraId="2FD2887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3.1具有有效的营业执照或电子营业执照（本项目接受分支机构投标，但需提供总公司的授权，同一保险公司的不同总、分（支）公司，不得同时参加本项目的投标）；</w:t>
      </w:r>
    </w:p>
    <w:p w14:paraId="2E7DDDB9">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3.2具有国家金融监督管理总局（原中国银行保险监督管理委员会或原中国保险监督管理委员会）颁发的《保险许可证》；</w:t>
      </w:r>
    </w:p>
    <w:p w14:paraId="2DC9C9F0">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0BB92413">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为贯彻落实《关于促进政府采购公平竞争优化营商环境的通知》（财库〔2</w:t>
      </w:r>
      <w:r>
        <w:rPr>
          <w:rFonts w:hint="eastAsia" w:ascii="宋体" w:hAnsi="宋体" w:eastAsia="宋体" w:cs="宋体"/>
          <w:sz w:val="21"/>
          <w:szCs w:val="21"/>
        </w:rPr>
        <w:t>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sz w:val="21"/>
          <w:szCs w:val="21"/>
          <w:lang w:val="en-US" w:eastAsia="zh-CN"/>
        </w:rPr>
        <w:t>提供</w:t>
      </w:r>
      <w:r>
        <w:rPr>
          <w:rFonts w:hint="eastAsia" w:ascii="宋体" w:hAnsi="宋体" w:eastAsia="宋体" w:cs="宋体"/>
          <w:sz w:val="21"/>
          <w:szCs w:val="21"/>
        </w:rPr>
        <w:t>政府采购供应商信用承诺书</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格式详见磋商文件</w:t>
      </w:r>
      <w:r>
        <w:rPr>
          <w:rFonts w:hint="eastAsia" w:ascii="宋体" w:hAnsi="宋体" w:eastAsia="宋体" w:cs="宋体"/>
          <w:sz w:val="21"/>
          <w:szCs w:val="21"/>
        </w:rPr>
        <w:t>），不再需要提供以下证明材料：</w:t>
      </w:r>
    </w:p>
    <w:p w14:paraId="7F85BBA6">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（1）具有良好的商业信誉的证明材料；</w:t>
      </w:r>
    </w:p>
    <w:p w14:paraId="35A91A6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（2）符合国家相关规定的财务状况报告；</w:t>
      </w:r>
    </w:p>
    <w:p w14:paraId="3943AEC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（3）具备履行政府采购合同所必需的设备和专业技术能力的证明材料；</w:t>
      </w:r>
    </w:p>
    <w:p w14:paraId="2EAD4B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（4）依法缴纳税收和社会保障资金的证明材料；</w:t>
      </w:r>
    </w:p>
    <w:p w14:paraId="3AC0E3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（5）参加政府采购活动前三年内在经营活动中没有重大违法记录的证明材料；</w:t>
      </w:r>
    </w:p>
    <w:p w14:paraId="3C04E82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（6）未被列入失信被执行人、重大税收违法失信主体、政府采购严重违法失信行为记录名单的证明材料。</w:t>
      </w:r>
    </w:p>
    <w:p w14:paraId="421CE6C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sz w:val="21"/>
          <w:szCs w:val="21"/>
          <w:lang w:eastAsia="zh-CN"/>
        </w:rPr>
        <w:t>；</w:t>
      </w:r>
    </w:p>
    <w:p w14:paraId="1390E6B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5</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sz w:val="21"/>
          <w:szCs w:val="21"/>
          <w:lang w:eastAsia="zh-CN"/>
        </w:rPr>
        <w:t>；</w:t>
      </w:r>
    </w:p>
    <w:p w14:paraId="16B951E5">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r>
        <w:rPr>
          <w:rFonts w:hint="eastAsia" w:ascii="宋体" w:hAnsi="宋体" w:eastAsia="宋体" w:cs="宋体"/>
          <w:sz w:val="21"/>
          <w:szCs w:val="21"/>
        </w:rPr>
        <w:t>本次采购采用资格后审，不接受联合体投标</w:t>
      </w:r>
      <w:r>
        <w:rPr>
          <w:rFonts w:hint="eastAsia" w:ascii="宋体" w:hAnsi="宋体" w:eastAsia="宋体" w:cs="宋体"/>
          <w:sz w:val="21"/>
          <w:szCs w:val="21"/>
          <w:lang w:eastAsia="zh-CN"/>
        </w:rPr>
        <w:t>。</w:t>
      </w:r>
    </w:p>
    <w:p w14:paraId="3D5E74C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三、获取采购文件</w:t>
      </w:r>
    </w:p>
    <w:p w14:paraId="403998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eastAsia="宋体" w:cs="宋体"/>
          <w:sz w:val="21"/>
          <w:szCs w:val="21"/>
          <w:lang w:val="en-US" w:eastAsia="zh-CN"/>
        </w:rPr>
        <w:t>2026</w:t>
      </w:r>
      <w:r>
        <w:rPr>
          <w:rFonts w:hint="eastAsia" w:ascii="宋体" w:hAnsi="宋体" w:eastAsia="宋体" w:cs="宋体"/>
          <w:sz w:val="21"/>
          <w:szCs w:val="21"/>
        </w:rPr>
        <w:t>年</w:t>
      </w:r>
      <w:r>
        <w:rPr>
          <w:rFonts w:hint="eastAsia" w:ascii="宋体" w:hAnsi="宋体" w:eastAsia="宋体" w:cs="宋体"/>
          <w:sz w:val="21"/>
          <w:szCs w:val="21"/>
          <w:lang w:val="en-US" w:eastAsia="zh-CN"/>
        </w:rPr>
        <w:t>2</w:t>
      </w:r>
      <w:r>
        <w:rPr>
          <w:rFonts w:hint="eastAsia" w:ascii="宋体" w:hAnsi="宋体" w:eastAsia="宋体" w:cs="宋体"/>
          <w:sz w:val="21"/>
          <w:szCs w:val="21"/>
        </w:rPr>
        <w:t>月</w:t>
      </w:r>
      <w:r>
        <w:rPr>
          <w:rFonts w:hint="eastAsia" w:ascii="宋体" w:hAnsi="宋体" w:eastAsia="宋体" w:cs="宋体"/>
          <w:sz w:val="21"/>
          <w:szCs w:val="21"/>
          <w:lang w:val="en-US" w:eastAsia="zh-CN"/>
        </w:rPr>
        <w:t>2</w:t>
      </w:r>
      <w:r>
        <w:rPr>
          <w:rFonts w:hint="eastAsia" w:ascii="宋体" w:hAnsi="宋体" w:eastAsia="宋体" w:cs="宋体"/>
          <w:sz w:val="21"/>
          <w:szCs w:val="21"/>
        </w:rPr>
        <w:t>日至</w:t>
      </w:r>
      <w:r>
        <w:rPr>
          <w:rFonts w:hint="eastAsia" w:ascii="宋体" w:hAnsi="宋体" w:eastAsia="宋体" w:cs="宋体"/>
          <w:sz w:val="21"/>
          <w:szCs w:val="21"/>
          <w:lang w:val="en-US" w:eastAsia="zh-CN"/>
        </w:rPr>
        <w:t>2026</w:t>
      </w:r>
      <w:r>
        <w:rPr>
          <w:rFonts w:hint="eastAsia" w:ascii="宋体" w:hAnsi="宋体" w:eastAsia="宋体" w:cs="宋体"/>
          <w:sz w:val="21"/>
          <w:szCs w:val="21"/>
        </w:rPr>
        <w:t>年</w:t>
      </w:r>
      <w:r>
        <w:rPr>
          <w:rFonts w:hint="eastAsia" w:ascii="宋体" w:hAnsi="宋体" w:eastAsia="宋体" w:cs="宋体"/>
          <w:sz w:val="21"/>
          <w:szCs w:val="21"/>
          <w:lang w:val="en-US" w:eastAsia="zh-CN"/>
        </w:rPr>
        <w:t>2</w:t>
      </w:r>
      <w:r>
        <w:rPr>
          <w:rFonts w:hint="eastAsia" w:ascii="宋体" w:hAnsi="宋体" w:eastAsia="宋体" w:cs="宋体"/>
          <w:sz w:val="21"/>
          <w:szCs w:val="21"/>
        </w:rPr>
        <w:t>月</w:t>
      </w:r>
      <w:r>
        <w:rPr>
          <w:rFonts w:hint="eastAsia" w:ascii="宋体" w:hAnsi="宋体" w:eastAsia="宋体" w:cs="宋体"/>
          <w:sz w:val="21"/>
          <w:szCs w:val="21"/>
          <w:lang w:val="en-US" w:eastAsia="zh-CN"/>
        </w:rPr>
        <w:t>25</w:t>
      </w:r>
      <w:r>
        <w:rPr>
          <w:rFonts w:hint="eastAsia" w:ascii="宋体" w:hAnsi="宋体" w:eastAsia="宋体" w:cs="宋体"/>
          <w:sz w:val="21"/>
          <w:szCs w:val="21"/>
        </w:rPr>
        <w:t>日，每天上午00:00至12:00，下午12:00至23:59（北京时间）</w:t>
      </w:r>
    </w:p>
    <w:p w14:paraId="0898DC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2.地点：平顶山市公共资源交易中心电子交易系统；</w:t>
      </w:r>
    </w:p>
    <w:p w14:paraId="19A7A81E">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方式：潜在供应商需凭CA数字证书通过平顶山市公共资源交易中心网站（网址：http://ggzy.pds.gov.cn/）“登陆业务系统”入口进入电子交易系统下载采购文件，具体操作请查看以下链接：http://ggzy.pds.gov.cn/fwzn/11020.jhtml。</w:t>
      </w:r>
    </w:p>
    <w:p w14:paraId="793A0812">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4.售价：0元。</w:t>
      </w:r>
    </w:p>
    <w:p w14:paraId="5A71C38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四、响应文件提交</w:t>
      </w:r>
    </w:p>
    <w:p w14:paraId="18DC27D9">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1、截</w:t>
      </w:r>
      <w:r>
        <w:rPr>
          <w:rFonts w:hint="eastAsia" w:ascii="宋体" w:hAnsi="宋体" w:eastAsia="宋体" w:cs="宋体"/>
          <w:kern w:val="0"/>
          <w:sz w:val="21"/>
          <w:szCs w:val="21"/>
          <w:lang w:val="en-US" w:eastAsia="zh-CN"/>
        </w:rPr>
        <w:t>止</w:t>
      </w:r>
      <w:r>
        <w:rPr>
          <w:rFonts w:hint="eastAsia" w:ascii="宋体" w:hAnsi="宋体" w:eastAsia="宋体" w:cs="宋体"/>
          <w:kern w:val="0"/>
          <w:sz w:val="21"/>
          <w:szCs w:val="21"/>
        </w:rPr>
        <w:t>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kern w:val="0"/>
          <w:sz w:val="21"/>
          <w:szCs w:val="21"/>
        </w:rPr>
        <w:t>（北京时间）</w:t>
      </w:r>
    </w:p>
    <w:p w14:paraId="5C24EA92">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771E4BFB">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五、响应文件开启</w:t>
      </w:r>
    </w:p>
    <w:p w14:paraId="010CCE23">
      <w:pPr>
        <w:widowControl/>
        <w:shd w:val="clear" w:color="auto" w:fill="FFFFFF"/>
        <w:snapToGrid w:val="0"/>
        <w:spacing w:line="360" w:lineRule="auto"/>
        <w:ind w:firstLine="525" w:firstLineChars="250"/>
        <w:jc w:val="left"/>
        <w:rPr>
          <w:rFonts w:hint="eastAsia" w:ascii="宋体" w:hAnsi="宋体" w:eastAsia="宋体" w:cs="宋体"/>
          <w:kern w:val="0"/>
          <w:sz w:val="21"/>
          <w:szCs w:val="21"/>
        </w:rPr>
      </w:pPr>
      <w:r>
        <w:rPr>
          <w:rFonts w:hint="eastAsia" w:ascii="宋体" w:hAnsi="宋体" w:eastAsia="宋体" w:cs="宋体"/>
          <w:kern w:val="0"/>
          <w:sz w:val="21"/>
          <w:szCs w:val="21"/>
        </w:rPr>
        <w:t>1、时间：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kern w:val="0"/>
          <w:sz w:val="21"/>
          <w:szCs w:val="21"/>
          <w:shd w:val="clear" w:color="auto" w:fill="FFFFFF"/>
        </w:rPr>
        <w:t>（北京时间）</w:t>
      </w:r>
    </w:p>
    <w:p w14:paraId="70705A60">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1CD10F74">
      <w:pPr>
        <w:spacing w:line="360" w:lineRule="auto"/>
        <w:rPr>
          <w:rFonts w:hint="eastAsia" w:ascii="宋体" w:hAnsi="宋体" w:eastAsia="宋体" w:cs="宋体"/>
          <w:b/>
          <w:sz w:val="21"/>
          <w:szCs w:val="21"/>
        </w:rPr>
      </w:pPr>
      <w:r>
        <w:rPr>
          <w:rFonts w:hint="eastAsia" w:ascii="宋体" w:hAnsi="宋体" w:eastAsia="宋体" w:cs="宋体"/>
          <w:b/>
          <w:bCs/>
          <w:sz w:val="21"/>
          <w:szCs w:val="21"/>
        </w:rPr>
        <w:t>六、发布公告的媒介及招标公告期限</w:t>
      </w:r>
    </w:p>
    <w:p w14:paraId="3BDEEB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公告在《河南省政府采购网》《平顶山市政府采购网》《平顶山市新华区政府采购网》《全国公共资源交易平台（河南省·平顶山市）》《河南省公共资源交易公共服务平台》上发布。公告期限为三个工作日。</w:t>
      </w:r>
    </w:p>
    <w:p w14:paraId="78E9BAE5">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4、投标人或其他利害关系人对本次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27AD2D31">
      <w:pPr>
        <w:spacing w:line="360" w:lineRule="auto"/>
        <w:ind w:left="334" w:leftChars="139"/>
        <w:rPr>
          <w:rFonts w:hint="eastAsia" w:ascii="宋体" w:hAnsi="宋体" w:eastAsia="宋体" w:cs="宋体"/>
          <w:sz w:val="21"/>
          <w:szCs w:val="21"/>
        </w:rPr>
      </w:pPr>
      <w:r>
        <w:rPr>
          <w:rFonts w:hint="eastAsia" w:ascii="宋体" w:hAnsi="宋体" w:eastAsia="宋体" w:cs="宋体"/>
          <w:sz w:val="21"/>
          <w:szCs w:val="21"/>
        </w:rPr>
        <w:t xml:space="preserve">5、监督单位：平顶山市新华区财政局    </w:t>
      </w:r>
    </w:p>
    <w:p w14:paraId="4EEF25B7">
      <w:pPr>
        <w:spacing w:line="360" w:lineRule="auto"/>
        <w:ind w:left="334" w:leftChars="139"/>
        <w:rPr>
          <w:rFonts w:hint="eastAsia" w:ascii="宋体" w:hAnsi="宋体" w:eastAsia="宋体" w:cs="宋体"/>
          <w:sz w:val="21"/>
          <w:szCs w:val="21"/>
        </w:rPr>
      </w:pPr>
      <w:r>
        <w:rPr>
          <w:rFonts w:hint="eastAsia" w:ascii="宋体" w:hAnsi="宋体" w:eastAsia="宋体" w:cs="宋体"/>
          <w:sz w:val="21"/>
          <w:szCs w:val="21"/>
        </w:rPr>
        <w:t>联系方式：0375-7666036</w:t>
      </w:r>
    </w:p>
    <w:p w14:paraId="78C091AD">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八、凡对本次招标提出询问，请按照以下方式联系</w:t>
      </w:r>
    </w:p>
    <w:p w14:paraId="2432C5C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1.采购人信息</w:t>
      </w:r>
    </w:p>
    <w:p w14:paraId="4161F51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名称：中共平顶山市新华区委政法委员会</w:t>
      </w:r>
    </w:p>
    <w:p w14:paraId="3D7D8458">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地址：河南省平顶山市建设路西段277号院内</w:t>
      </w:r>
    </w:p>
    <w:p w14:paraId="6EFCC75D">
      <w:pPr>
        <w:spacing w:line="500" w:lineRule="exact"/>
        <w:ind w:firstLine="420" w:firstLineChars="200"/>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C090D5F">
      <w:pPr>
        <w:spacing w:line="500" w:lineRule="exact"/>
        <w:ind w:firstLine="420" w:firstLineChars="200"/>
        <w:rPr>
          <w:rFonts w:hint="default" w:ascii="宋体" w:hAnsi="宋体" w:eastAsia="宋体" w:cs="宋体"/>
          <w:color w:val="FF0000"/>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p w14:paraId="165CBF47">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2.采购代理机构信息</w:t>
      </w:r>
    </w:p>
    <w:bookmarkEnd w:id="2"/>
    <w:p w14:paraId="64EB80D8">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2F68EE5">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3B7F56D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55C1790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4C2A117C">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3.项目联系方式</w:t>
      </w:r>
    </w:p>
    <w:p w14:paraId="17D77DE1">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65B49169">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w:t>
      </w:r>
    </w:p>
    <w:p w14:paraId="163FAC99">
      <w:pPr>
        <w:spacing w:line="500" w:lineRule="exact"/>
        <w:ind w:firstLine="420" w:firstLineChars="200"/>
        <w:rPr>
          <w:rFonts w:hint="eastAsia" w:ascii="宋体" w:hAnsi="宋体" w:eastAsia="宋体" w:cs="宋体"/>
          <w:sz w:val="21"/>
          <w:szCs w:val="21"/>
        </w:rPr>
      </w:pPr>
    </w:p>
    <w:p w14:paraId="6E339A08">
      <w:pPr>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br w:type="page"/>
      </w:r>
    </w:p>
    <w:p w14:paraId="7929AA50">
      <w:pPr>
        <w:spacing w:line="36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温馨提示：</w:t>
      </w:r>
    </w:p>
    <w:p w14:paraId="749244DB">
      <w:pPr>
        <w:spacing w:line="360" w:lineRule="auto"/>
        <w:ind w:firstLine="420" w:firstLineChars="200"/>
        <w:rPr>
          <w:rFonts w:hint="eastAsia" w:ascii="宋体" w:hAnsi="宋体" w:eastAsia="宋体" w:cs="宋体"/>
          <w:sz w:val="21"/>
          <w:szCs w:val="21"/>
        </w:rPr>
      </w:pPr>
    </w:p>
    <w:p w14:paraId="0E8F962F">
      <w:pPr>
        <w:shd w:val="clear" w:color="auto" w:fill="FFFFFF"/>
        <w:adjustRightInd w:val="0"/>
        <w:snapToGrid w:val="0"/>
        <w:spacing w:line="360" w:lineRule="auto"/>
        <w:ind w:firstLine="482"/>
        <w:rPr>
          <w:rFonts w:hint="eastAsia" w:ascii="宋体" w:hAnsi="宋体" w:eastAsia="宋体" w:cs="宋体"/>
          <w:bCs/>
          <w:sz w:val="21"/>
          <w:szCs w:val="21"/>
        </w:rPr>
      </w:pPr>
      <w:r>
        <w:rPr>
          <w:rFonts w:hint="eastAsia" w:ascii="宋体" w:hAnsi="宋体" w:eastAsia="宋体" w:cs="宋体"/>
          <w:bCs/>
          <w:sz w:val="21"/>
          <w:szCs w:val="21"/>
        </w:rPr>
        <w:t>本项目为全流程电子化交易项目，请认真阅读磋商文件，并注意以下事项。</w:t>
      </w:r>
    </w:p>
    <w:p w14:paraId="775F4C11">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1.供应商应按磋商文件规定编制、提交电子响应文件。</w:t>
      </w:r>
    </w:p>
    <w:p w14:paraId="4D505ED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2.本项目供应商不用再提供纸质响应文件。</w:t>
      </w:r>
    </w:p>
    <w:p w14:paraId="5DF731C7">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3.电子文件下载、制作、提交期间和开标（电子响应文件的解密）环节，供应商须使用CA数字证书（证书须在有效期内）。</w:t>
      </w:r>
    </w:p>
    <w:p w14:paraId="24C74E24">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4.电子响应文件的制作</w:t>
      </w:r>
    </w:p>
    <w:p w14:paraId="4DA3A189">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4.1供应商登录《全国公共资源交易平台(河南省▪平顶山市)》公共资源交易系统（http://221.176.192.166:8080/ggzy/）下载“平顶山响应文件制作系统”，按磋商文件要求制作电子响应文件。</w:t>
      </w:r>
    </w:p>
    <w:p w14:paraId="6B63C15F">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电子响应文件的制作，参考《全国公共资源交易平台(河南省.平顶山市)》公共资源交易系统——组件下载——交易系统操作手册（供应商、供应商）。</w:t>
      </w:r>
    </w:p>
    <w:p w14:paraId="11B95482">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4.2供应商须将磋商文件要求的资质、业绩、荣誉及相关人员证明材料等资料原件扫描件（或图片）制作到所提交的电子响应文件中。</w:t>
      </w:r>
    </w:p>
    <w:p w14:paraId="07B6136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4.3供应商对同一项目多个标段进行投标的，应分别下载所投标段的磋商文件，按标段制作电子响应文件，并按磋商文件要求在相应位置加盖供应商电子印章和法人电子印章。</w:t>
      </w:r>
    </w:p>
    <w:p w14:paraId="111BF28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一个标段对应生成一个文件夹（xxxx项目xx标段）, 其中包含2个文件和1个文件夹。后缀名为“.file”的文件用于电子投标使用，名称为“备份”的文件夹使用电子介质存储，供开标现场备用。</w:t>
      </w:r>
    </w:p>
    <w:p w14:paraId="0E8280D6">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5.加密电子响应文件的提交</w:t>
      </w:r>
    </w:p>
    <w:p w14:paraId="49FB20D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5.1加密电子响应文件应在磋商文件规定的投标截止时间（开标时间）之前成功提交至《全国公共资源交易平台(河南省▪平顶山市)》公共资源交易系统（http://221.176.192.166:8080/ggzy/）。</w:t>
      </w:r>
    </w:p>
    <w:p w14:paraId="1C53519A">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供应商应充分考虑并预留技术处理和上传数据所需时间。</w:t>
      </w:r>
    </w:p>
    <w:p w14:paraId="6EB7012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5.2供应商对同一项目多个标段进行投标的，加密电子响应文件应按标段分别提交。</w:t>
      </w:r>
    </w:p>
    <w:p w14:paraId="20FE83CF">
      <w:pPr>
        <w:widowControl/>
        <w:spacing w:line="360" w:lineRule="auto"/>
        <w:jc w:val="left"/>
        <w:rPr>
          <w:rFonts w:hint="eastAsia" w:ascii="宋体" w:hAnsi="宋体" w:eastAsia="宋体" w:cs="宋体"/>
          <w:sz w:val="21"/>
          <w:szCs w:val="21"/>
        </w:rPr>
      </w:pPr>
      <w:r>
        <w:rPr>
          <w:rFonts w:hint="eastAsia" w:ascii="宋体" w:hAnsi="宋体" w:eastAsia="宋体" w:cs="宋体"/>
          <w:sz w:val="21"/>
          <w:szCs w:val="21"/>
        </w:rPr>
        <w:br w:type="page"/>
      </w:r>
    </w:p>
    <w:p w14:paraId="250EAB9D">
      <w:pPr>
        <w:jc w:val="center"/>
        <w:outlineLvl w:val="0"/>
        <w:rPr>
          <w:rFonts w:hint="eastAsia" w:ascii="宋体" w:hAnsi="宋体" w:eastAsia="宋体" w:cs="宋体"/>
          <w:b/>
          <w:sz w:val="32"/>
        </w:rPr>
      </w:pPr>
      <w:bookmarkStart w:id="4" w:name="_Toc3556"/>
      <w:bookmarkStart w:id="5" w:name="_Toc19193"/>
      <w:bookmarkStart w:id="6" w:name="_Toc45177802"/>
      <w:r>
        <w:rPr>
          <w:rFonts w:hint="eastAsia" w:ascii="宋体" w:hAnsi="宋体" w:eastAsia="宋体" w:cs="宋体"/>
          <w:b/>
          <w:sz w:val="32"/>
        </w:rPr>
        <w:t>第二章  供应商须知</w:t>
      </w:r>
      <w:bookmarkEnd w:id="4"/>
      <w:bookmarkEnd w:id="5"/>
      <w:bookmarkEnd w:id="6"/>
    </w:p>
    <w:p w14:paraId="264718AD">
      <w:pPr>
        <w:jc w:val="center"/>
        <w:rPr>
          <w:rFonts w:hint="eastAsia" w:ascii="宋体" w:hAnsi="宋体" w:eastAsia="宋体" w:cs="宋体"/>
        </w:rPr>
      </w:pPr>
      <w:r>
        <w:rPr>
          <w:rFonts w:hint="eastAsia" w:ascii="宋体" w:hAnsi="宋体" w:eastAsia="宋体" w:cs="宋体"/>
        </w:rPr>
        <w:t>供应商须知前附表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389"/>
        <w:gridCol w:w="137"/>
        <w:gridCol w:w="7589"/>
      </w:tblGrid>
      <w:tr w14:paraId="75D3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A3EA3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766" w:type="pct"/>
            <w:gridSpan w:val="2"/>
            <w:vAlign w:val="center"/>
          </w:tcPr>
          <w:p w14:paraId="1B7095B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条款名称</w:t>
            </w:r>
          </w:p>
        </w:tc>
        <w:tc>
          <w:tcPr>
            <w:tcW w:w="3807" w:type="pct"/>
            <w:vAlign w:val="center"/>
          </w:tcPr>
          <w:p w14:paraId="498163A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0A0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1955B9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50250A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3807" w:type="pct"/>
            <w:vAlign w:val="center"/>
          </w:tcPr>
          <w:p w14:paraId="413D88EC">
            <w:pPr>
              <w:spacing w:line="500" w:lineRule="exact"/>
              <w:rPr>
                <w:rFonts w:hint="eastAsia" w:ascii="宋体" w:hAnsi="宋体" w:eastAsia="宋体" w:cs="宋体"/>
                <w:sz w:val="21"/>
                <w:szCs w:val="21"/>
              </w:rPr>
            </w:pPr>
            <w:r>
              <w:rPr>
                <w:rFonts w:hint="eastAsia" w:ascii="宋体" w:hAnsi="宋体" w:eastAsia="宋体" w:cs="宋体"/>
                <w:sz w:val="21"/>
                <w:szCs w:val="21"/>
              </w:rPr>
              <w:t>名称：中共平顶山市新华区委政法委员会</w:t>
            </w:r>
          </w:p>
          <w:p w14:paraId="2953DFF2">
            <w:pPr>
              <w:spacing w:line="500" w:lineRule="exact"/>
              <w:rPr>
                <w:rFonts w:hint="eastAsia" w:ascii="宋体" w:hAnsi="宋体" w:eastAsia="宋体" w:cs="宋体"/>
                <w:sz w:val="21"/>
                <w:szCs w:val="21"/>
              </w:rPr>
            </w:pPr>
            <w:r>
              <w:rPr>
                <w:rFonts w:hint="eastAsia" w:ascii="宋体" w:hAnsi="宋体" w:eastAsia="宋体" w:cs="宋体"/>
                <w:sz w:val="21"/>
                <w:szCs w:val="21"/>
              </w:rPr>
              <w:t>地址：河南省平顶山市建设路西段277号院内</w:t>
            </w:r>
          </w:p>
          <w:p w14:paraId="66B20A1B">
            <w:pPr>
              <w:spacing w:line="500" w:lineRule="exact"/>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3E17ED6">
            <w:pPr>
              <w:spacing w:line="500" w:lineRule="exact"/>
              <w:rPr>
                <w:rFonts w:hint="default" w:ascii="宋体" w:hAnsi="宋体" w:eastAsia="宋体" w:cs="宋体"/>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tc>
      </w:tr>
      <w:tr w14:paraId="78D4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25837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1.1.3</w:t>
            </w:r>
          </w:p>
        </w:tc>
        <w:tc>
          <w:tcPr>
            <w:tcW w:w="766" w:type="pct"/>
            <w:gridSpan w:val="2"/>
            <w:vAlign w:val="center"/>
          </w:tcPr>
          <w:p w14:paraId="0038E59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采购代理机构</w:t>
            </w:r>
          </w:p>
        </w:tc>
        <w:tc>
          <w:tcPr>
            <w:tcW w:w="3807" w:type="pct"/>
            <w:vAlign w:val="center"/>
          </w:tcPr>
          <w:p w14:paraId="52147050">
            <w:pPr>
              <w:spacing w:line="360" w:lineRule="auto"/>
              <w:jc w:val="left"/>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B15A29D">
            <w:pPr>
              <w:spacing w:line="360" w:lineRule="auto"/>
              <w:jc w:val="left"/>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7E912DBA">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联系人：吴女士</w:t>
            </w:r>
          </w:p>
          <w:p w14:paraId="3A3A8F10">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联系方式：0375-2555998、19939030802</w:t>
            </w:r>
          </w:p>
        </w:tc>
      </w:tr>
      <w:tr w14:paraId="2C9D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A9C89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1.1.4</w:t>
            </w:r>
          </w:p>
        </w:tc>
        <w:tc>
          <w:tcPr>
            <w:tcW w:w="766" w:type="pct"/>
            <w:gridSpan w:val="2"/>
            <w:vAlign w:val="center"/>
          </w:tcPr>
          <w:p w14:paraId="118421E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3807" w:type="pct"/>
            <w:vAlign w:val="center"/>
          </w:tcPr>
          <w:p w14:paraId="0628123A">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中共平顶山市新华区委政法委员会2026年新华区平安家园民生综合保险项目</w:t>
            </w:r>
          </w:p>
        </w:tc>
      </w:tr>
      <w:tr w14:paraId="40EE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76B217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1.1.5</w:t>
            </w:r>
          </w:p>
        </w:tc>
        <w:tc>
          <w:tcPr>
            <w:tcW w:w="766" w:type="pct"/>
            <w:gridSpan w:val="2"/>
            <w:vAlign w:val="center"/>
          </w:tcPr>
          <w:p w14:paraId="17768A5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项目地点</w:t>
            </w:r>
          </w:p>
        </w:tc>
        <w:tc>
          <w:tcPr>
            <w:tcW w:w="3807" w:type="pct"/>
            <w:vAlign w:val="center"/>
          </w:tcPr>
          <w:p w14:paraId="45CD20D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新华区</w:t>
            </w:r>
          </w:p>
        </w:tc>
      </w:tr>
      <w:tr w14:paraId="76A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3C7B0D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1.2.1</w:t>
            </w:r>
          </w:p>
        </w:tc>
        <w:tc>
          <w:tcPr>
            <w:tcW w:w="766" w:type="pct"/>
            <w:gridSpan w:val="2"/>
            <w:vAlign w:val="center"/>
          </w:tcPr>
          <w:p w14:paraId="571411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资金来源</w:t>
            </w:r>
          </w:p>
        </w:tc>
        <w:tc>
          <w:tcPr>
            <w:tcW w:w="3807" w:type="pct"/>
          </w:tcPr>
          <w:p w14:paraId="0B0CC46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财政资金</w:t>
            </w:r>
          </w:p>
        </w:tc>
      </w:tr>
      <w:tr w14:paraId="4434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8D2E2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1.2.2</w:t>
            </w:r>
          </w:p>
        </w:tc>
        <w:tc>
          <w:tcPr>
            <w:tcW w:w="766" w:type="pct"/>
            <w:gridSpan w:val="2"/>
            <w:vAlign w:val="center"/>
          </w:tcPr>
          <w:p w14:paraId="0CE6C5C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出资比例</w:t>
            </w:r>
          </w:p>
        </w:tc>
        <w:tc>
          <w:tcPr>
            <w:tcW w:w="3807" w:type="pct"/>
          </w:tcPr>
          <w:p w14:paraId="56E1432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100%</w:t>
            </w:r>
          </w:p>
        </w:tc>
      </w:tr>
      <w:tr w14:paraId="290C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6348B6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1.2.3</w:t>
            </w:r>
          </w:p>
        </w:tc>
        <w:tc>
          <w:tcPr>
            <w:tcW w:w="766" w:type="pct"/>
            <w:gridSpan w:val="2"/>
            <w:vAlign w:val="center"/>
          </w:tcPr>
          <w:p w14:paraId="32CD9CF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资金落实情况</w:t>
            </w:r>
          </w:p>
        </w:tc>
        <w:tc>
          <w:tcPr>
            <w:tcW w:w="3807" w:type="pct"/>
            <w:vAlign w:val="center"/>
          </w:tcPr>
          <w:p w14:paraId="20F406F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已落实</w:t>
            </w:r>
          </w:p>
        </w:tc>
      </w:tr>
      <w:tr w14:paraId="15EA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DCD832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1.3.1</w:t>
            </w:r>
          </w:p>
        </w:tc>
        <w:tc>
          <w:tcPr>
            <w:tcW w:w="766" w:type="pct"/>
            <w:gridSpan w:val="2"/>
            <w:vAlign w:val="center"/>
          </w:tcPr>
          <w:p w14:paraId="28B9540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服务内容</w:t>
            </w:r>
          </w:p>
        </w:tc>
        <w:tc>
          <w:tcPr>
            <w:tcW w:w="3807" w:type="pct"/>
            <w:vAlign w:val="center"/>
          </w:tcPr>
          <w:p w14:paraId="0BC0CE1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中共平顶山市新华区委政法委员会新华区平安家园民生综合保险项目，</w:t>
            </w:r>
            <w:r>
              <w:rPr>
                <w:rFonts w:hint="eastAsia" w:ascii="宋体" w:hAnsi="宋体" w:eastAsia="宋体" w:cs="宋体"/>
                <w:color w:val="auto"/>
                <w:sz w:val="21"/>
                <w:szCs w:val="21"/>
              </w:rPr>
              <w:t>在辖区内，当灾难降临后，由保险公司对受灾群众的财物损失及人身伤亡进行赔付</w:t>
            </w:r>
            <w:r>
              <w:rPr>
                <w:rFonts w:hint="eastAsia" w:ascii="宋体" w:hAnsi="宋体" w:eastAsia="宋体" w:cs="宋体"/>
                <w:color w:val="auto"/>
                <w:sz w:val="21"/>
                <w:szCs w:val="21"/>
                <w:lang w:eastAsia="zh-CN"/>
              </w:rPr>
              <w:t>，具体内容详见采购文件</w:t>
            </w:r>
            <w:r>
              <w:rPr>
                <w:rFonts w:hint="eastAsia" w:ascii="宋体" w:hAnsi="宋体" w:eastAsia="宋体" w:cs="宋体"/>
                <w:color w:val="auto"/>
                <w:sz w:val="21"/>
                <w:szCs w:val="21"/>
                <w:lang w:val="en-US" w:eastAsia="zh-CN"/>
              </w:rPr>
              <w:t>。</w:t>
            </w:r>
          </w:p>
        </w:tc>
      </w:tr>
      <w:tr w14:paraId="14F6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7CC0BE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1.3.2</w:t>
            </w:r>
          </w:p>
        </w:tc>
        <w:tc>
          <w:tcPr>
            <w:tcW w:w="766" w:type="pct"/>
            <w:gridSpan w:val="2"/>
            <w:vAlign w:val="center"/>
          </w:tcPr>
          <w:p w14:paraId="072A486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服务期限</w:t>
            </w:r>
          </w:p>
        </w:tc>
        <w:tc>
          <w:tcPr>
            <w:tcW w:w="3807" w:type="pct"/>
            <w:vAlign w:val="center"/>
          </w:tcPr>
          <w:p w14:paraId="091A600A">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1年</w:t>
            </w:r>
          </w:p>
        </w:tc>
      </w:tr>
      <w:tr w14:paraId="5F4F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A17918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1.3.3</w:t>
            </w:r>
          </w:p>
        </w:tc>
        <w:tc>
          <w:tcPr>
            <w:tcW w:w="766" w:type="pct"/>
            <w:gridSpan w:val="2"/>
            <w:vAlign w:val="center"/>
          </w:tcPr>
          <w:p w14:paraId="57493D7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质量要求</w:t>
            </w:r>
          </w:p>
        </w:tc>
        <w:tc>
          <w:tcPr>
            <w:tcW w:w="3807" w:type="pct"/>
            <w:vAlign w:val="center"/>
          </w:tcPr>
          <w:p w14:paraId="0E13403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合格，符合国家相关规定及行业标准要求</w:t>
            </w:r>
          </w:p>
        </w:tc>
      </w:tr>
      <w:tr w14:paraId="2EB3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7408663">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1.4.1</w:t>
            </w:r>
          </w:p>
        </w:tc>
        <w:tc>
          <w:tcPr>
            <w:tcW w:w="766" w:type="pct"/>
            <w:gridSpan w:val="2"/>
            <w:vAlign w:val="center"/>
          </w:tcPr>
          <w:p w14:paraId="6FCCFE5B">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供应商资质条件、能力和信誉</w:t>
            </w:r>
          </w:p>
        </w:tc>
        <w:tc>
          <w:tcPr>
            <w:tcW w:w="3807" w:type="pct"/>
            <w:vAlign w:val="center"/>
          </w:tcPr>
          <w:p w14:paraId="696D53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 </w:t>
            </w:r>
          </w:p>
          <w:p w14:paraId="39288F35">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2、落实政府采购政策满足的资格要求：</w:t>
            </w:r>
            <w:r>
              <w:rPr>
                <w:rFonts w:hint="eastAsia" w:ascii="宋体" w:hAnsi="宋体" w:eastAsia="宋体" w:cs="宋体"/>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06C33B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3、本项目的特定资格要求</w:t>
            </w:r>
          </w:p>
          <w:p w14:paraId="34477918">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3.1具有有效的营业执照或电子营业执照（本项目接受分支机构投标，但需提供总公司的授权，同一保险公司的不同总、分（支）公司，不得同时参加本项目的投标）；</w:t>
            </w:r>
          </w:p>
          <w:p w14:paraId="25D393B9">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3.2具有国家金融监督管理总局（原中国银行保险监督管理委员会或原中国保险监督管理委员会）颁发的《保险许可证》；</w:t>
            </w:r>
          </w:p>
          <w:p w14:paraId="6760220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6E0AFDF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为贯彻落实《关于促进政府采购公平竞争优化营商环境的通知》（财库〔2</w:t>
            </w:r>
            <w:r>
              <w:rPr>
                <w:rFonts w:hint="eastAsia" w:ascii="宋体" w:hAnsi="宋体" w:eastAsia="宋体" w:cs="宋体"/>
                <w:sz w:val="21"/>
                <w:szCs w:val="21"/>
              </w:rPr>
              <w:t>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sz w:val="21"/>
                <w:szCs w:val="21"/>
                <w:lang w:val="en-US" w:eastAsia="zh-CN"/>
              </w:rPr>
              <w:t>提供</w:t>
            </w:r>
            <w:r>
              <w:rPr>
                <w:rFonts w:hint="eastAsia" w:ascii="宋体" w:hAnsi="宋体" w:eastAsia="宋体" w:cs="宋体"/>
                <w:sz w:val="21"/>
                <w:szCs w:val="21"/>
              </w:rPr>
              <w:t>政府采购供应商信用承诺书</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格式详见磋商文件</w:t>
            </w:r>
            <w:r>
              <w:rPr>
                <w:rFonts w:hint="eastAsia" w:ascii="宋体" w:hAnsi="宋体" w:eastAsia="宋体" w:cs="宋体"/>
                <w:sz w:val="21"/>
                <w:szCs w:val="21"/>
              </w:rPr>
              <w:t>），不再需要提供以下证明材料：</w:t>
            </w:r>
          </w:p>
          <w:p w14:paraId="007BD53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（1）具有良好的商业信誉的证明材料；</w:t>
            </w:r>
          </w:p>
          <w:p w14:paraId="78A2AB3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（2）符合国家相关规定的财务状况报告；</w:t>
            </w:r>
          </w:p>
          <w:p w14:paraId="76F92E1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（3）具备履行政府采购合同所必需的设备和专业技术能力的证明材料；</w:t>
            </w:r>
          </w:p>
          <w:p w14:paraId="7462AD9F">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（4）依法缴纳税收和社会保障资金的证明材料；</w:t>
            </w:r>
          </w:p>
          <w:p w14:paraId="38B17532">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（5）参加政府采购活动前三年内在经营活动中没有重大违法记录的证明材料；</w:t>
            </w:r>
          </w:p>
          <w:p w14:paraId="065072E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（6）未被列入失信被执行人、重大税收违法失信主体、政府采购严重违法失信行为记录名单的证明材料。</w:t>
            </w:r>
          </w:p>
          <w:p w14:paraId="52A5B63B">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sz w:val="21"/>
                <w:szCs w:val="21"/>
                <w:lang w:eastAsia="zh-CN"/>
              </w:rPr>
              <w:t>；</w:t>
            </w:r>
          </w:p>
          <w:p w14:paraId="48777A72">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5</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sz w:val="21"/>
                <w:szCs w:val="21"/>
                <w:lang w:eastAsia="zh-CN"/>
              </w:rPr>
              <w:t>；</w:t>
            </w:r>
          </w:p>
          <w:p w14:paraId="3E78B45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r>
              <w:rPr>
                <w:rFonts w:hint="eastAsia" w:ascii="宋体" w:hAnsi="宋体" w:eastAsia="宋体" w:cs="宋体"/>
                <w:sz w:val="21"/>
                <w:szCs w:val="21"/>
              </w:rPr>
              <w:t>本次采购采用资格后审，不接受联合体投标</w:t>
            </w:r>
            <w:r>
              <w:rPr>
                <w:rFonts w:hint="eastAsia" w:ascii="宋体" w:hAnsi="宋体" w:eastAsia="宋体" w:cs="宋体"/>
                <w:sz w:val="21"/>
                <w:szCs w:val="21"/>
                <w:lang w:eastAsia="zh-CN"/>
              </w:rPr>
              <w:t>。</w:t>
            </w:r>
          </w:p>
        </w:tc>
      </w:tr>
      <w:tr w14:paraId="2E42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36B86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1.4.2</w:t>
            </w:r>
          </w:p>
        </w:tc>
        <w:tc>
          <w:tcPr>
            <w:tcW w:w="766" w:type="pct"/>
            <w:gridSpan w:val="2"/>
            <w:vAlign w:val="center"/>
          </w:tcPr>
          <w:p w14:paraId="1D0BCF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是否接受联合体投标</w:t>
            </w:r>
          </w:p>
        </w:tc>
        <w:tc>
          <w:tcPr>
            <w:tcW w:w="3807" w:type="pct"/>
            <w:vAlign w:val="center"/>
          </w:tcPr>
          <w:p w14:paraId="14C970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不接受</w:t>
            </w:r>
          </w:p>
        </w:tc>
      </w:tr>
      <w:tr w14:paraId="71A8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500A5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1.9.1</w:t>
            </w:r>
          </w:p>
        </w:tc>
        <w:tc>
          <w:tcPr>
            <w:tcW w:w="766" w:type="pct"/>
            <w:gridSpan w:val="2"/>
            <w:vAlign w:val="center"/>
          </w:tcPr>
          <w:p w14:paraId="0D8D9B3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踏勘现场</w:t>
            </w:r>
          </w:p>
        </w:tc>
        <w:tc>
          <w:tcPr>
            <w:tcW w:w="3807" w:type="pct"/>
            <w:vAlign w:val="center"/>
          </w:tcPr>
          <w:p w14:paraId="3452DA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不组织，供应商自行踏勘现场。</w:t>
            </w:r>
          </w:p>
        </w:tc>
      </w:tr>
      <w:tr w14:paraId="7709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90469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1.10.1</w:t>
            </w:r>
          </w:p>
        </w:tc>
        <w:tc>
          <w:tcPr>
            <w:tcW w:w="766" w:type="pct"/>
            <w:gridSpan w:val="2"/>
            <w:vAlign w:val="center"/>
          </w:tcPr>
          <w:p w14:paraId="06BC708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投标预备会</w:t>
            </w:r>
          </w:p>
        </w:tc>
        <w:tc>
          <w:tcPr>
            <w:tcW w:w="3807" w:type="pct"/>
            <w:vAlign w:val="center"/>
          </w:tcPr>
          <w:p w14:paraId="5F90E0A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不召开</w:t>
            </w:r>
          </w:p>
        </w:tc>
      </w:tr>
      <w:tr w14:paraId="0A67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AF17E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1.10.2</w:t>
            </w:r>
          </w:p>
        </w:tc>
        <w:tc>
          <w:tcPr>
            <w:tcW w:w="766" w:type="pct"/>
            <w:gridSpan w:val="2"/>
            <w:vAlign w:val="center"/>
          </w:tcPr>
          <w:p w14:paraId="7004DD16">
            <w:pPr>
              <w:spacing w:line="360" w:lineRule="auto"/>
              <w:ind w:right="-122" w:rightChars="-51"/>
              <w:jc w:val="center"/>
              <w:rPr>
                <w:rFonts w:hint="eastAsia" w:ascii="宋体" w:hAnsi="宋体" w:eastAsia="宋体" w:cs="宋体"/>
                <w:sz w:val="21"/>
                <w:szCs w:val="21"/>
              </w:rPr>
            </w:pPr>
            <w:r>
              <w:rPr>
                <w:rFonts w:hint="eastAsia" w:ascii="宋体" w:hAnsi="宋体" w:eastAsia="宋体" w:cs="宋体"/>
                <w:sz w:val="21"/>
                <w:szCs w:val="21"/>
              </w:rPr>
              <w:t>供应商提出问题的截止时间</w:t>
            </w:r>
          </w:p>
        </w:tc>
        <w:tc>
          <w:tcPr>
            <w:tcW w:w="3807" w:type="pct"/>
            <w:vAlign w:val="center"/>
          </w:tcPr>
          <w:p w14:paraId="0D45E37A">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1BC4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EFB246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1.10.3</w:t>
            </w:r>
          </w:p>
        </w:tc>
        <w:tc>
          <w:tcPr>
            <w:tcW w:w="766" w:type="pct"/>
            <w:gridSpan w:val="2"/>
            <w:vAlign w:val="center"/>
          </w:tcPr>
          <w:p w14:paraId="2B23098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采购人书面澄清的时间</w:t>
            </w:r>
          </w:p>
        </w:tc>
        <w:tc>
          <w:tcPr>
            <w:tcW w:w="3807" w:type="pct"/>
            <w:vAlign w:val="center"/>
          </w:tcPr>
          <w:p w14:paraId="461D56BF">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5D52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998284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1.11</w:t>
            </w:r>
          </w:p>
        </w:tc>
        <w:tc>
          <w:tcPr>
            <w:tcW w:w="766" w:type="pct"/>
            <w:gridSpan w:val="2"/>
            <w:vAlign w:val="center"/>
          </w:tcPr>
          <w:p w14:paraId="2809C24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分  包</w:t>
            </w:r>
          </w:p>
        </w:tc>
        <w:tc>
          <w:tcPr>
            <w:tcW w:w="3807" w:type="pct"/>
            <w:vAlign w:val="center"/>
          </w:tcPr>
          <w:p w14:paraId="6D0240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6574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D4C293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15917C2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偏  离</w:t>
            </w:r>
          </w:p>
        </w:tc>
        <w:tc>
          <w:tcPr>
            <w:tcW w:w="3807" w:type="pct"/>
            <w:vAlign w:val="center"/>
          </w:tcPr>
          <w:p w14:paraId="1E8D3C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799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9A5821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766" w:type="pct"/>
            <w:gridSpan w:val="2"/>
            <w:vAlign w:val="center"/>
          </w:tcPr>
          <w:p w14:paraId="0803054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构成磋商文件的其他材料</w:t>
            </w:r>
          </w:p>
        </w:tc>
        <w:tc>
          <w:tcPr>
            <w:tcW w:w="3807" w:type="pct"/>
            <w:vAlign w:val="center"/>
          </w:tcPr>
          <w:p w14:paraId="47818C2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答疑、设计变更、磋商文件补充材料等。</w:t>
            </w:r>
          </w:p>
        </w:tc>
      </w:tr>
      <w:tr w14:paraId="4373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9BF2C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766" w:type="pct"/>
            <w:gridSpan w:val="2"/>
            <w:vAlign w:val="center"/>
          </w:tcPr>
          <w:p w14:paraId="179C641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供应商要求澄清磋商文件的截止时间</w:t>
            </w:r>
          </w:p>
        </w:tc>
        <w:tc>
          <w:tcPr>
            <w:tcW w:w="3807" w:type="pct"/>
            <w:vAlign w:val="center"/>
          </w:tcPr>
          <w:p w14:paraId="003A5FE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递交响应文件的截止之日5日前</w:t>
            </w:r>
          </w:p>
        </w:tc>
      </w:tr>
      <w:tr w14:paraId="54F1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E4E930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766" w:type="pct"/>
            <w:gridSpan w:val="2"/>
            <w:vAlign w:val="center"/>
          </w:tcPr>
          <w:p w14:paraId="4899563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投标截止时间</w:t>
            </w:r>
          </w:p>
        </w:tc>
        <w:tc>
          <w:tcPr>
            <w:tcW w:w="3807" w:type="pct"/>
            <w:vAlign w:val="center"/>
          </w:tcPr>
          <w:p w14:paraId="32199C7D">
            <w:pPr>
              <w:spacing w:line="360" w:lineRule="auto"/>
              <w:jc w:val="center"/>
              <w:rPr>
                <w:rFonts w:hint="eastAsia" w:ascii="宋体" w:hAnsi="宋体" w:eastAsia="宋体" w:cs="宋体"/>
                <w:color w:val="FF0000"/>
                <w:sz w:val="21"/>
                <w:szCs w:val="21"/>
              </w:rPr>
            </w:pP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tc>
      </w:tr>
      <w:tr w14:paraId="4C7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0470E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3.1.1</w:t>
            </w:r>
          </w:p>
        </w:tc>
        <w:tc>
          <w:tcPr>
            <w:tcW w:w="766" w:type="pct"/>
            <w:gridSpan w:val="2"/>
            <w:vAlign w:val="center"/>
          </w:tcPr>
          <w:p w14:paraId="2A1FD3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构成响应文件的其他材料</w:t>
            </w:r>
          </w:p>
        </w:tc>
        <w:tc>
          <w:tcPr>
            <w:tcW w:w="3807" w:type="pct"/>
            <w:vAlign w:val="center"/>
          </w:tcPr>
          <w:p w14:paraId="0D87453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无</w:t>
            </w:r>
          </w:p>
        </w:tc>
      </w:tr>
      <w:tr w14:paraId="6BF4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9A7A4B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3.3.1</w:t>
            </w:r>
          </w:p>
        </w:tc>
        <w:tc>
          <w:tcPr>
            <w:tcW w:w="766" w:type="pct"/>
            <w:gridSpan w:val="2"/>
            <w:vAlign w:val="center"/>
          </w:tcPr>
          <w:p w14:paraId="33C31AE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3807" w:type="pct"/>
            <w:vAlign w:val="center"/>
          </w:tcPr>
          <w:p w14:paraId="598E30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60日历天</w:t>
            </w:r>
          </w:p>
        </w:tc>
      </w:tr>
      <w:tr w14:paraId="1527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5437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766" w:type="pct"/>
            <w:gridSpan w:val="2"/>
            <w:vAlign w:val="center"/>
          </w:tcPr>
          <w:p w14:paraId="6101C81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是否允许递交备选投标方案</w:t>
            </w:r>
          </w:p>
        </w:tc>
        <w:tc>
          <w:tcPr>
            <w:tcW w:w="3807" w:type="pct"/>
            <w:vAlign w:val="center"/>
          </w:tcPr>
          <w:p w14:paraId="393DCED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5ED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F5A76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3.7.3</w:t>
            </w:r>
          </w:p>
        </w:tc>
        <w:tc>
          <w:tcPr>
            <w:tcW w:w="766" w:type="pct"/>
            <w:gridSpan w:val="2"/>
            <w:vAlign w:val="center"/>
          </w:tcPr>
          <w:p w14:paraId="414C96F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电子化响应文件的签章</w:t>
            </w:r>
          </w:p>
        </w:tc>
        <w:tc>
          <w:tcPr>
            <w:tcW w:w="3807" w:type="pct"/>
            <w:vAlign w:val="center"/>
          </w:tcPr>
          <w:p w14:paraId="00015DFF">
            <w:pPr>
              <w:spacing w:line="360" w:lineRule="auto"/>
              <w:jc w:val="left"/>
              <w:rPr>
                <w:rFonts w:hint="eastAsia" w:ascii="宋体" w:hAnsi="宋体" w:eastAsia="宋体" w:cs="宋体"/>
                <w:sz w:val="21"/>
                <w:szCs w:val="21"/>
              </w:rPr>
            </w:pPr>
            <w:r>
              <w:rPr>
                <w:rFonts w:hint="eastAsia" w:ascii="宋体" w:hAnsi="宋体" w:eastAsia="宋体" w:cs="宋体"/>
                <w:sz w:val="21"/>
                <w:szCs w:val="21"/>
              </w:rPr>
              <w:t>供应商在生成电子化响应文件后，应对电子化响应文件进行签章，未进行签章的视为无效投标。</w:t>
            </w:r>
          </w:p>
        </w:tc>
      </w:tr>
      <w:tr w14:paraId="7FA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8D637C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3.7.4</w:t>
            </w:r>
          </w:p>
        </w:tc>
        <w:tc>
          <w:tcPr>
            <w:tcW w:w="766" w:type="pct"/>
            <w:gridSpan w:val="2"/>
            <w:vAlign w:val="center"/>
          </w:tcPr>
          <w:p w14:paraId="13D404B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投标文件份数</w:t>
            </w:r>
          </w:p>
        </w:tc>
        <w:tc>
          <w:tcPr>
            <w:tcW w:w="3807" w:type="pct"/>
            <w:vAlign w:val="center"/>
          </w:tcPr>
          <w:p w14:paraId="0EA7B4BD">
            <w:pPr>
              <w:spacing w:line="360" w:lineRule="auto"/>
              <w:rPr>
                <w:rFonts w:hint="eastAsia" w:ascii="宋体" w:hAnsi="宋体" w:eastAsia="宋体" w:cs="宋体"/>
                <w:sz w:val="21"/>
                <w:szCs w:val="21"/>
              </w:rPr>
            </w:pPr>
            <w:r>
              <w:rPr>
                <w:rFonts w:hint="eastAsia" w:ascii="宋体" w:hAnsi="宋体" w:eastAsia="宋体" w:cs="宋体"/>
                <w:sz w:val="21"/>
                <w:szCs w:val="21"/>
              </w:rPr>
              <w:t>加密电子投标文件一份，加密电子投标文件应在招标文件规定的投标截止时间（开标时间）之前成功提交至《全国公共资源交易平台(河南省▪ 平顶山市) 》公共资源交易系统</w:t>
            </w:r>
          </w:p>
        </w:tc>
      </w:tr>
      <w:tr w14:paraId="71C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5EC6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4.1</w:t>
            </w:r>
          </w:p>
        </w:tc>
        <w:tc>
          <w:tcPr>
            <w:tcW w:w="766" w:type="pct"/>
            <w:gridSpan w:val="2"/>
            <w:vAlign w:val="center"/>
          </w:tcPr>
          <w:p w14:paraId="5974CE5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递交响应文件电子版地点</w:t>
            </w:r>
          </w:p>
        </w:tc>
        <w:tc>
          <w:tcPr>
            <w:tcW w:w="3807" w:type="pct"/>
            <w:vAlign w:val="center"/>
          </w:tcPr>
          <w:p w14:paraId="12FCC7D2">
            <w:pPr>
              <w:spacing w:before="163" w:beforeLines="50" w:line="360" w:lineRule="auto"/>
              <w:rPr>
                <w:rFonts w:hint="eastAsia" w:ascii="宋体" w:hAnsi="宋体" w:eastAsia="宋体" w:cs="宋体"/>
                <w:sz w:val="21"/>
                <w:szCs w:val="21"/>
              </w:rPr>
            </w:pPr>
            <w:r>
              <w:rPr>
                <w:rFonts w:hint="eastAsia" w:ascii="宋体" w:hAnsi="宋体" w:eastAsia="宋体" w:cs="宋体"/>
                <w:sz w:val="21"/>
                <w:szCs w:val="21"/>
              </w:rPr>
              <w:t>平顶山市公共资源交易中心网上开标大厅，未按要求上传加密电子响应文件的，采购人不予受理。</w:t>
            </w:r>
          </w:p>
        </w:tc>
      </w:tr>
      <w:tr w14:paraId="7218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085D5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5.1</w:t>
            </w:r>
          </w:p>
        </w:tc>
        <w:tc>
          <w:tcPr>
            <w:tcW w:w="766" w:type="pct"/>
            <w:gridSpan w:val="2"/>
            <w:vAlign w:val="center"/>
          </w:tcPr>
          <w:p w14:paraId="18E1E37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开标时间和地点</w:t>
            </w:r>
          </w:p>
        </w:tc>
        <w:tc>
          <w:tcPr>
            <w:tcW w:w="3807" w:type="pct"/>
            <w:vAlign w:val="center"/>
          </w:tcPr>
          <w:p w14:paraId="3ACB74B4">
            <w:pPr>
              <w:spacing w:line="360" w:lineRule="auto"/>
              <w:rPr>
                <w:rFonts w:hint="eastAsia" w:ascii="宋体" w:hAnsi="宋体" w:eastAsia="宋体" w:cs="宋体"/>
                <w:sz w:val="21"/>
                <w:szCs w:val="21"/>
              </w:rPr>
            </w:pPr>
            <w:r>
              <w:rPr>
                <w:rFonts w:hint="eastAsia" w:ascii="宋体" w:hAnsi="宋体" w:eastAsia="宋体" w:cs="宋体"/>
                <w:b/>
                <w:sz w:val="21"/>
                <w:szCs w:val="21"/>
              </w:rPr>
              <w:t>开标时间：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p w14:paraId="35DFC40F">
            <w:pPr>
              <w:spacing w:line="360" w:lineRule="auto"/>
              <w:rPr>
                <w:rFonts w:hint="eastAsia" w:ascii="宋体" w:hAnsi="宋体" w:eastAsia="宋体" w:cs="宋体"/>
                <w:sz w:val="21"/>
                <w:szCs w:val="21"/>
              </w:rPr>
            </w:pPr>
            <w:r>
              <w:rPr>
                <w:rFonts w:hint="eastAsia" w:ascii="宋体" w:hAnsi="宋体" w:eastAsia="宋体" w:cs="宋体"/>
                <w:b/>
                <w:sz w:val="21"/>
                <w:szCs w:val="21"/>
              </w:rPr>
              <w:t>开标地点：</w:t>
            </w:r>
            <w:r>
              <w:rPr>
                <w:rFonts w:hint="eastAsia" w:ascii="宋体" w:hAnsi="宋体" w:eastAsia="宋体" w:cs="宋体"/>
                <w:sz w:val="21"/>
                <w:szCs w:val="21"/>
              </w:rPr>
              <w:t>平顶山市公共资源交易中心网上开标大厅</w:t>
            </w:r>
          </w:p>
          <w:p w14:paraId="344D56A7">
            <w:pPr>
              <w:spacing w:line="360" w:lineRule="auto"/>
              <w:rPr>
                <w:rFonts w:hint="eastAsia" w:ascii="宋体" w:hAnsi="宋体" w:eastAsia="宋体" w:cs="宋体"/>
                <w:b/>
                <w:sz w:val="21"/>
                <w:szCs w:val="21"/>
              </w:rPr>
            </w:pP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p>
        </w:tc>
      </w:tr>
      <w:tr w14:paraId="02A0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46E4E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5.2</w:t>
            </w:r>
          </w:p>
        </w:tc>
        <w:tc>
          <w:tcPr>
            <w:tcW w:w="766" w:type="pct"/>
            <w:gridSpan w:val="2"/>
            <w:vAlign w:val="center"/>
          </w:tcPr>
          <w:p w14:paraId="4CC498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电子化项目开标、解密、唱标、评标</w:t>
            </w:r>
          </w:p>
        </w:tc>
        <w:tc>
          <w:tcPr>
            <w:tcW w:w="3807" w:type="pct"/>
            <w:vAlign w:val="center"/>
          </w:tcPr>
          <w:p w14:paraId="78A6C549">
            <w:pPr>
              <w:spacing w:line="360" w:lineRule="auto"/>
              <w:jc w:val="left"/>
              <w:rPr>
                <w:rFonts w:hint="eastAsia" w:ascii="宋体" w:hAnsi="宋体" w:eastAsia="宋体" w:cs="宋体"/>
                <w:sz w:val="21"/>
                <w:szCs w:val="21"/>
              </w:rPr>
            </w:pPr>
            <w:r>
              <w:rPr>
                <w:rFonts w:hint="eastAsia" w:ascii="宋体" w:hAnsi="宋体" w:eastAsia="宋体" w:cs="宋体"/>
                <w:sz w:val="21"/>
                <w:szCs w:val="21"/>
              </w:rPr>
              <w:t>（1）电子化响应文件采用双重加密方式。开标时，首先由供应商使用CA证书，在规定时间内对其电子化响应文件进行首次解密，供应商解密完成后，再由中介服务机构使用CA证书对响应文件进行再次解密。</w:t>
            </w:r>
          </w:p>
          <w:p w14:paraId="6C5B82E6">
            <w:pPr>
              <w:spacing w:line="360" w:lineRule="auto"/>
              <w:jc w:val="left"/>
              <w:rPr>
                <w:rFonts w:hint="eastAsia" w:ascii="宋体" w:hAnsi="宋体" w:eastAsia="宋体" w:cs="宋体"/>
                <w:sz w:val="21"/>
                <w:szCs w:val="21"/>
              </w:rPr>
            </w:pPr>
            <w:r>
              <w:rPr>
                <w:rFonts w:hint="eastAsia" w:ascii="宋体" w:hAnsi="宋体" w:eastAsia="宋体" w:cs="宋体"/>
                <w:sz w:val="21"/>
                <w:szCs w:val="21"/>
              </w:rPr>
              <w:t>（2）待所有投标人投标文件解密完成后，由中介服务机构操作，对所有已解密投标文件进行唱标。</w:t>
            </w:r>
          </w:p>
        </w:tc>
      </w:tr>
      <w:tr w14:paraId="7AAA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3ABFD8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6.1.1</w:t>
            </w:r>
          </w:p>
        </w:tc>
        <w:tc>
          <w:tcPr>
            <w:tcW w:w="766" w:type="pct"/>
            <w:gridSpan w:val="2"/>
            <w:vAlign w:val="center"/>
          </w:tcPr>
          <w:p w14:paraId="251EC37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磋商小组的组建</w:t>
            </w:r>
          </w:p>
        </w:tc>
        <w:tc>
          <w:tcPr>
            <w:tcW w:w="3807" w:type="pct"/>
            <w:vAlign w:val="center"/>
          </w:tcPr>
          <w:p w14:paraId="2F8F5F35">
            <w:pPr>
              <w:spacing w:line="360" w:lineRule="auto"/>
              <w:rPr>
                <w:rFonts w:hint="eastAsia" w:ascii="宋体" w:hAnsi="宋体" w:eastAsia="宋体" w:cs="宋体"/>
                <w:sz w:val="21"/>
                <w:szCs w:val="21"/>
              </w:rPr>
            </w:pPr>
            <w:r>
              <w:rPr>
                <w:rFonts w:hint="eastAsia" w:ascii="宋体" w:hAnsi="宋体" w:eastAsia="宋体" w:cs="宋体"/>
                <w:sz w:val="21"/>
                <w:szCs w:val="21"/>
              </w:rPr>
              <w:t>磋商小组由采购人代表和评审专家共3人以上单数组成，其中评审专家人数不得少于磋商小组成员总数的2/3，评审专家在相关专家库中随机抽取。</w:t>
            </w:r>
          </w:p>
          <w:p w14:paraId="572DA407">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tc>
      </w:tr>
      <w:tr w14:paraId="6281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514059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766" w:type="pct"/>
            <w:gridSpan w:val="2"/>
            <w:vAlign w:val="center"/>
          </w:tcPr>
          <w:p w14:paraId="75464CE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是否授权磋商小组确定成交人</w:t>
            </w:r>
          </w:p>
        </w:tc>
        <w:tc>
          <w:tcPr>
            <w:tcW w:w="3807" w:type="pct"/>
            <w:vAlign w:val="center"/>
          </w:tcPr>
          <w:p w14:paraId="57D0FD3D">
            <w:pPr>
              <w:spacing w:line="360" w:lineRule="auto"/>
              <w:rPr>
                <w:rFonts w:hint="eastAsia" w:ascii="宋体" w:hAnsi="宋体" w:eastAsia="宋体" w:cs="宋体"/>
                <w:sz w:val="21"/>
                <w:szCs w:val="21"/>
              </w:rPr>
            </w:pPr>
            <w:r>
              <w:rPr>
                <w:rFonts w:hint="eastAsia" w:ascii="宋体" w:hAnsi="宋体" w:eastAsia="宋体" w:cs="宋体"/>
                <w:sz w:val="21"/>
                <w:szCs w:val="21"/>
              </w:rPr>
              <w:t>否，推荐的成交候选人数：</w:t>
            </w:r>
            <w:r>
              <w:rPr>
                <w:rFonts w:hint="eastAsia" w:ascii="宋体" w:hAnsi="宋体" w:eastAsia="宋体" w:cs="宋体"/>
                <w:sz w:val="21"/>
                <w:szCs w:val="21"/>
                <w:u w:val="single"/>
              </w:rPr>
              <w:t xml:space="preserve">  3名    </w:t>
            </w:r>
          </w:p>
        </w:tc>
      </w:tr>
      <w:tr w14:paraId="5C1F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F99B3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7.3.1</w:t>
            </w:r>
          </w:p>
        </w:tc>
        <w:tc>
          <w:tcPr>
            <w:tcW w:w="766" w:type="pct"/>
            <w:gridSpan w:val="2"/>
            <w:vAlign w:val="center"/>
          </w:tcPr>
          <w:p w14:paraId="27CE81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履约担保</w:t>
            </w:r>
          </w:p>
        </w:tc>
        <w:tc>
          <w:tcPr>
            <w:tcW w:w="3807" w:type="pct"/>
            <w:vAlign w:val="center"/>
          </w:tcPr>
          <w:p w14:paraId="4AC9F638">
            <w:pPr>
              <w:spacing w:line="360" w:lineRule="auto"/>
              <w:rPr>
                <w:rFonts w:hint="eastAsia" w:ascii="宋体" w:hAnsi="宋体" w:eastAsia="宋体" w:cs="宋体"/>
                <w:sz w:val="21"/>
                <w:szCs w:val="21"/>
              </w:rPr>
            </w:pPr>
            <w:r>
              <w:rPr>
                <w:rFonts w:hint="eastAsia" w:ascii="宋体" w:hAnsi="宋体" w:eastAsia="宋体" w:cs="宋体"/>
                <w:sz w:val="21"/>
                <w:szCs w:val="21"/>
              </w:rPr>
              <w:t>履约担保的形式：/</w:t>
            </w:r>
          </w:p>
          <w:p w14:paraId="621F6FAD">
            <w:pPr>
              <w:pStyle w:val="20"/>
              <w:spacing w:line="360" w:lineRule="auto"/>
              <w:ind w:left="0" w:leftChars="0"/>
              <w:rPr>
                <w:rFonts w:hint="eastAsia" w:ascii="宋体" w:hAnsi="宋体" w:eastAsia="宋体" w:cs="宋体"/>
                <w:sz w:val="21"/>
                <w:szCs w:val="21"/>
              </w:rPr>
            </w:pPr>
            <w:r>
              <w:rPr>
                <w:rFonts w:hint="eastAsia" w:ascii="宋体" w:hAnsi="宋体" w:eastAsia="宋体" w:cs="宋体"/>
                <w:sz w:val="21"/>
                <w:szCs w:val="21"/>
              </w:rPr>
              <w:t>履约担保的金额：/</w:t>
            </w:r>
          </w:p>
        </w:tc>
      </w:tr>
      <w:tr w14:paraId="4391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100EADB6">
            <w:pPr>
              <w:spacing w:line="360" w:lineRule="auto"/>
              <w:rPr>
                <w:rFonts w:hint="eastAsia" w:ascii="宋体" w:hAnsi="宋体" w:eastAsia="宋体" w:cs="宋体"/>
                <w:sz w:val="21"/>
                <w:szCs w:val="21"/>
              </w:rPr>
            </w:pPr>
            <w:r>
              <w:rPr>
                <w:rFonts w:hint="eastAsia" w:ascii="宋体" w:hAnsi="宋体" w:eastAsia="宋体" w:cs="宋体"/>
                <w:sz w:val="21"/>
                <w:szCs w:val="21"/>
              </w:rPr>
              <w:t>10.  需要补充的其他内容</w:t>
            </w:r>
          </w:p>
        </w:tc>
      </w:tr>
      <w:tr w14:paraId="0D4B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4C9AC17E">
            <w:pPr>
              <w:spacing w:line="360" w:lineRule="auto"/>
              <w:rPr>
                <w:rFonts w:hint="eastAsia" w:ascii="宋体" w:hAnsi="宋体" w:eastAsia="宋体" w:cs="宋体"/>
                <w:sz w:val="21"/>
                <w:szCs w:val="21"/>
              </w:rPr>
            </w:pPr>
            <w:r>
              <w:rPr>
                <w:rFonts w:hint="eastAsia" w:ascii="宋体" w:hAnsi="宋体" w:eastAsia="宋体" w:cs="宋体"/>
                <w:sz w:val="21"/>
                <w:szCs w:val="21"/>
              </w:rPr>
              <w:t>10.1 词语定义</w:t>
            </w:r>
          </w:p>
        </w:tc>
      </w:tr>
      <w:tr w14:paraId="29E7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760C5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776714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类似项目</w:t>
            </w:r>
          </w:p>
        </w:tc>
        <w:tc>
          <w:tcPr>
            <w:tcW w:w="3877" w:type="pct"/>
            <w:gridSpan w:val="2"/>
            <w:vAlign w:val="center"/>
          </w:tcPr>
          <w:p w14:paraId="19ED11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1279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tcPr>
          <w:p w14:paraId="49A62DD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01EF97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不良行为记录</w:t>
            </w:r>
          </w:p>
        </w:tc>
        <w:tc>
          <w:tcPr>
            <w:tcW w:w="3877" w:type="pct"/>
            <w:gridSpan w:val="2"/>
            <w:vAlign w:val="center"/>
          </w:tcPr>
          <w:p w14:paraId="2492AF13">
            <w:pPr>
              <w:spacing w:line="360" w:lineRule="auto"/>
              <w:rPr>
                <w:rFonts w:hint="eastAsia" w:ascii="宋体" w:hAnsi="宋体" w:eastAsia="宋体" w:cs="宋体"/>
                <w:sz w:val="21"/>
                <w:szCs w:val="21"/>
              </w:rPr>
            </w:pPr>
            <w:r>
              <w:rPr>
                <w:rFonts w:hint="eastAsia" w:ascii="宋体" w:hAnsi="宋体" w:eastAsia="宋体" w:cs="宋体"/>
                <w:sz w:val="21"/>
                <w:szCs w:val="21"/>
              </w:rPr>
              <w:t>列入“信用中国”网站的“失信被执行人”和“重大税收违法案件当事人名单”，“ 中国政府采购网” 网站的“政府采购严重违法失信行为名单”。</w:t>
            </w:r>
          </w:p>
        </w:tc>
      </w:tr>
      <w:tr w14:paraId="6C40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3C73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10.2</w:t>
            </w:r>
          </w:p>
        </w:tc>
        <w:tc>
          <w:tcPr>
            <w:tcW w:w="697" w:type="pct"/>
            <w:vAlign w:val="center"/>
          </w:tcPr>
          <w:p w14:paraId="0BD2CDD3">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最高限价</w:t>
            </w:r>
          </w:p>
        </w:tc>
        <w:tc>
          <w:tcPr>
            <w:tcW w:w="3877" w:type="pct"/>
            <w:gridSpan w:val="2"/>
            <w:vAlign w:val="center"/>
          </w:tcPr>
          <w:p w14:paraId="189C4EE7">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本项目最高限价</w:t>
            </w:r>
            <w:r>
              <w:rPr>
                <w:rFonts w:hint="eastAsia" w:ascii="宋体" w:hAnsi="宋体" w:eastAsia="宋体" w:cs="宋体"/>
                <w:b/>
                <w:color w:val="auto"/>
                <w:sz w:val="21"/>
                <w:szCs w:val="21"/>
              </w:rPr>
              <w:t>为：</w:t>
            </w:r>
            <w:r>
              <w:rPr>
                <w:rFonts w:hint="eastAsia" w:ascii="宋体" w:hAnsi="宋体" w:eastAsia="宋体" w:cs="宋体"/>
                <w:b/>
                <w:color w:val="auto"/>
                <w:sz w:val="21"/>
                <w:szCs w:val="21"/>
                <w:lang w:val="en-US" w:eastAsia="zh-CN"/>
              </w:rPr>
              <w:t>1489900.00</w:t>
            </w:r>
            <w:r>
              <w:rPr>
                <w:rFonts w:hint="eastAsia" w:ascii="宋体" w:hAnsi="宋体" w:eastAsia="宋体" w:cs="宋体"/>
                <w:b/>
                <w:color w:val="auto"/>
                <w:sz w:val="21"/>
                <w:szCs w:val="21"/>
              </w:rPr>
              <w:t>元；</w:t>
            </w:r>
          </w:p>
          <w:p w14:paraId="324DE075">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其中二标段最高限价：810834.53元。</w:t>
            </w:r>
          </w:p>
          <w:p w14:paraId="4135E40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供应商的投标总报价不得高于</w:t>
            </w:r>
            <w:r>
              <w:rPr>
                <w:rFonts w:hint="eastAsia" w:ascii="宋体" w:hAnsi="宋体" w:eastAsia="宋体" w:cs="宋体"/>
                <w:color w:val="auto"/>
                <w:sz w:val="21"/>
                <w:szCs w:val="21"/>
                <w:lang w:val="en-US" w:eastAsia="zh-CN"/>
              </w:rPr>
              <w:t>最高限价</w:t>
            </w:r>
            <w:r>
              <w:rPr>
                <w:rFonts w:hint="eastAsia" w:ascii="宋体" w:hAnsi="宋体" w:eastAsia="宋体" w:cs="宋体"/>
                <w:color w:val="auto"/>
                <w:sz w:val="21"/>
                <w:szCs w:val="21"/>
              </w:rPr>
              <w:t>，否则按无效标处理；</w:t>
            </w:r>
          </w:p>
        </w:tc>
      </w:tr>
      <w:tr w14:paraId="465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65131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10.3</w:t>
            </w:r>
          </w:p>
        </w:tc>
        <w:tc>
          <w:tcPr>
            <w:tcW w:w="697" w:type="pct"/>
            <w:vAlign w:val="center"/>
          </w:tcPr>
          <w:p w14:paraId="7196416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供应商代表出席开标会议</w:t>
            </w:r>
          </w:p>
        </w:tc>
        <w:tc>
          <w:tcPr>
            <w:tcW w:w="3877" w:type="pct"/>
            <w:gridSpan w:val="2"/>
            <w:vAlign w:val="center"/>
          </w:tcPr>
          <w:p w14:paraId="146212C9">
            <w:pPr>
              <w:spacing w:line="360" w:lineRule="auto"/>
              <w:rPr>
                <w:rFonts w:hint="eastAsia" w:ascii="宋体" w:hAnsi="宋体" w:eastAsia="宋体" w:cs="宋体"/>
                <w:sz w:val="21"/>
                <w:szCs w:val="21"/>
              </w:rPr>
            </w:pPr>
            <w:r>
              <w:rPr>
                <w:rFonts w:hint="eastAsia" w:ascii="宋体" w:hAnsi="宋体" w:eastAsia="宋体" w:cs="宋体"/>
                <w:sz w:val="21"/>
                <w:szCs w:val="21"/>
              </w:rPr>
              <w:t>全面实行在线“不见面”开标，投标人远程在线解密投标文件，不再到开标现场。</w:t>
            </w:r>
          </w:p>
        </w:tc>
      </w:tr>
      <w:tr w14:paraId="159E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18D81A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697" w:type="pct"/>
            <w:vAlign w:val="center"/>
          </w:tcPr>
          <w:p w14:paraId="73438A4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成交结果公示</w:t>
            </w:r>
          </w:p>
        </w:tc>
        <w:tc>
          <w:tcPr>
            <w:tcW w:w="3877" w:type="pct"/>
            <w:gridSpan w:val="2"/>
            <w:vAlign w:val="center"/>
          </w:tcPr>
          <w:p w14:paraId="449D99B4">
            <w:pPr>
              <w:spacing w:line="360" w:lineRule="auto"/>
              <w:rPr>
                <w:rFonts w:hint="eastAsia" w:ascii="宋体" w:hAnsi="宋体" w:eastAsia="宋体" w:cs="宋体"/>
                <w:sz w:val="21"/>
                <w:szCs w:val="21"/>
              </w:rPr>
            </w:pPr>
            <w:r>
              <w:rPr>
                <w:rFonts w:hint="eastAsia" w:ascii="宋体" w:hAnsi="宋体" w:eastAsia="宋体" w:cs="宋体"/>
                <w:sz w:val="21"/>
                <w:szCs w:val="21"/>
              </w:rPr>
              <w:t>成交结果发布媒体同竞争性磋商公告发布媒体。</w:t>
            </w:r>
          </w:p>
        </w:tc>
      </w:tr>
      <w:tr w14:paraId="5627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FE39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697" w:type="pct"/>
            <w:vAlign w:val="center"/>
          </w:tcPr>
          <w:p w14:paraId="74AFE0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知识产权</w:t>
            </w:r>
          </w:p>
        </w:tc>
        <w:tc>
          <w:tcPr>
            <w:tcW w:w="3877" w:type="pct"/>
            <w:gridSpan w:val="2"/>
            <w:vAlign w:val="center"/>
          </w:tcPr>
          <w:p w14:paraId="7EF3C304">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tc>
      </w:tr>
      <w:tr w14:paraId="6E47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915A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10.6</w:t>
            </w:r>
          </w:p>
        </w:tc>
        <w:tc>
          <w:tcPr>
            <w:tcW w:w="697" w:type="pct"/>
            <w:vAlign w:val="center"/>
          </w:tcPr>
          <w:p w14:paraId="2CFA17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重新招标的其他情形</w:t>
            </w:r>
          </w:p>
        </w:tc>
        <w:tc>
          <w:tcPr>
            <w:tcW w:w="3877" w:type="pct"/>
            <w:gridSpan w:val="2"/>
            <w:vAlign w:val="center"/>
          </w:tcPr>
          <w:p w14:paraId="57D203E0">
            <w:pPr>
              <w:spacing w:line="360" w:lineRule="auto"/>
              <w:rPr>
                <w:rFonts w:hint="eastAsia" w:ascii="宋体" w:hAnsi="宋体" w:eastAsia="宋体" w:cs="宋体"/>
                <w:sz w:val="21"/>
                <w:szCs w:val="21"/>
              </w:rPr>
            </w:pPr>
            <w:r>
              <w:rPr>
                <w:rFonts w:hint="eastAsia" w:ascii="宋体" w:hAnsi="宋体" w:eastAsia="宋体" w:cs="宋体"/>
                <w:sz w:val="21"/>
                <w:szCs w:val="21"/>
              </w:rPr>
              <w:t>除供应商须知正文第8条规定的情形外，除非已经产生中标候选人，在投标有效期内同意延长投标有效期的供应商少于三个的，采购人应当依法重新招标。</w:t>
            </w:r>
          </w:p>
        </w:tc>
      </w:tr>
      <w:tr w14:paraId="31B1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B3656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10.7</w:t>
            </w:r>
          </w:p>
        </w:tc>
        <w:tc>
          <w:tcPr>
            <w:tcW w:w="697" w:type="pct"/>
            <w:vAlign w:val="center"/>
          </w:tcPr>
          <w:p w14:paraId="5CF2E85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解释权</w:t>
            </w:r>
          </w:p>
        </w:tc>
        <w:tc>
          <w:tcPr>
            <w:tcW w:w="3877" w:type="pct"/>
            <w:gridSpan w:val="2"/>
            <w:vAlign w:val="center"/>
          </w:tcPr>
          <w:p w14:paraId="7C174CC5">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48F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1D54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10.8</w:t>
            </w:r>
          </w:p>
        </w:tc>
        <w:tc>
          <w:tcPr>
            <w:tcW w:w="697" w:type="pct"/>
            <w:vAlign w:val="center"/>
          </w:tcPr>
          <w:p w14:paraId="2F7C0AB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代理服务费</w:t>
            </w:r>
          </w:p>
        </w:tc>
        <w:tc>
          <w:tcPr>
            <w:tcW w:w="3877" w:type="pct"/>
            <w:gridSpan w:val="2"/>
            <w:vAlign w:val="center"/>
          </w:tcPr>
          <w:p w14:paraId="56E844B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代理服务费参照豫招协【2023】002号文和发改价格【2015】299号</w:t>
            </w:r>
            <w:r>
              <w:rPr>
                <w:rFonts w:hint="eastAsia" w:ascii="宋体" w:hAnsi="宋体" w:eastAsia="宋体" w:cs="宋体"/>
                <w:color w:val="auto"/>
                <w:sz w:val="21"/>
                <w:szCs w:val="21"/>
                <w:lang w:val="en-US" w:eastAsia="zh-CN"/>
              </w:rPr>
              <w:t>文</w:t>
            </w:r>
            <w:r>
              <w:rPr>
                <w:rFonts w:hint="eastAsia" w:ascii="宋体" w:hAnsi="宋体" w:eastAsia="宋体" w:cs="宋体"/>
                <w:color w:val="auto"/>
                <w:sz w:val="21"/>
                <w:szCs w:val="21"/>
              </w:rPr>
              <w:t>规定</w:t>
            </w:r>
            <w:r>
              <w:rPr>
                <w:rFonts w:hint="eastAsia" w:ascii="宋体" w:hAnsi="宋体" w:eastAsia="宋体" w:cs="宋体"/>
                <w:color w:val="auto"/>
                <w:sz w:val="21"/>
                <w:szCs w:val="21"/>
                <w:lang w:val="en-US" w:eastAsia="zh-CN"/>
              </w:rPr>
              <w:t>收取</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二标段16541元。本项目招标代理服务费</w:t>
            </w:r>
            <w:r>
              <w:rPr>
                <w:rFonts w:hint="eastAsia" w:ascii="宋体" w:hAnsi="宋体" w:eastAsia="宋体" w:cs="宋体"/>
                <w:color w:val="auto"/>
                <w:sz w:val="21"/>
                <w:szCs w:val="21"/>
              </w:rPr>
              <w:t>由中标人或成交人在成交结果公示后向招标代理机构</w:t>
            </w:r>
            <w:r>
              <w:rPr>
                <w:rFonts w:hint="eastAsia" w:ascii="宋体" w:hAnsi="宋体" w:eastAsia="宋体" w:cs="宋体"/>
                <w:color w:val="auto"/>
                <w:sz w:val="21"/>
                <w:szCs w:val="21"/>
                <w:lang w:val="en-US" w:eastAsia="zh-CN"/>
              </w:rPr>
              <w:t>一次性</w:t>
            </w:r>
            <w:r>
              <w:rPr>
                <w:rFonts w:hint="eastAsia" w:ascii="宋体" w:hAnsi="宋体" w:eastAsia="宋体" w:cs="宋体"/>
                <w:color w:val="auto"/>
                <w:sz w:val="21"/>
                <w:szCs w:val="21"/>
              </w:rPr>
              <w:t>全额交纳，此项费用由投标人综合考虑到投标报价中，不单独列项报价。</w:t>
            </w:r>
          </w:p>
        </w:tc>
      </w:tr>
      <w:tr w14:paraId="10B4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DE10E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10.9</w:t>
            </w:r>
          </w:p>
        </w:tc>
        <w:tc>
          <w:tcPr>
            <w:tcW w:w="697" w:type="pct"/>
            <w:vAlign w:val="center"/>
          </w:tcPr>
          <w:p w14:paraId="130B483B">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接收质疑函的方式和联系方式</w:t>
            </w:r>
          </w:p>
        </w:tc>
        <w:tc>
          <w:tcPr>
            <w:tcW w:w="3877" w:type="pct"/>
            <w:gridSpan w:val="2"/>
          </w:tcPr>
          <w:p w14:paraId="1080D744">
            <w:pPr>
              <w:spacing w:line="360" w:lineRule="auto"/>
              <w:jc w:val="left"/>
              <w:rPr>
                <w:rFonts w:hint="eastAsia" w:ascii="宋体" w:hAnsi="宋体" w:eastAsia="宋体" w:cs="宋体"/>
                <w:sz w:val="21"/>
                <w:szCs w:val="21"/>
              </w:rPr>
            </w:pPr>
            <w:r>
              <w:rPr>
                <w:rFonts w:hint="eastAsia" w:ascii="宋体" w:hAnsi="宋体" w:eastAsia="宋体" w:cs="宋体"/>
                <w:sz w:val="21"/>
                <w:szCs w:val="21"/>
              </w:rPr>
              <w:t>（1）投标人认为采购文件、采购过程和中标或成交结果使自己的权益受到损害的,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65A1FC7A">
            <w:pPr>
              <w:spacing w:line="360" w:lineRule="auto"/>
              <w:jc w:val="left"/>
              <w:rPr>
                <w:rFonts w:hint="eastAsia" w:ascii="宋体" w:hAnsi="宋体" w:eastAsia="宋体" w:cs="宋体"/>
                <w:sz w:val="21"/>
                <w:szCs w:val="21"/>
              </w:rPr>
            </w:pPr>
            <w:r>
              <w:rPr>
                <w:rFonts w:hint="eastAsia" w:ascii="宋体" w:hAnsi="宋体" w:eastAsia="宋体" w:cs="宋体"/>
                <w:sz w:val="21"/>
                <w:szCs w:val="21"/>
              </w:rPr>
              <w:t>若有投诉，可按照相关规定以书面形式向监督部门进行投诉。</w:t>
            </w:r>
          </w:p>
          <w:p w14:paraId="29345724">
            <w:pPr>
              <w:spacing w:line="360" w:lineRule="auto"/>
              <w:jc w:val="left"/>
              <w:rPr>
                <w:rFonts w:hint="eastAsia" w:ascii="宋体" w:hAnsi="宋体" w:eastAsia="宋体" w:cs="宋体"/>
                <w:sz w:val="21"/>
                <w:szCs w:val="21"/>
              </w:rPr>
            </w:pPr>
            <w:r>
              <w:rPr>
                <w:rFonts w:hint="eastAsia" w:ascii="宋体" w:hAnsi="宋体" w:eastAsia="宋体" w:cs="宋体"/>
                <w:sz w:val="21"/>
                <w:szCs w:val="21"/>
              </w:rPr>
              <w:t>（2）质疑函的内容、格式：应符合《政府采购质疑和投诉办法》（财政部第94号令）相关规定和财政部门制定的《政府采购质疑函范本》格式。</w:t>
            </w:r>
          </w:p>
          <w:p w14:paraId="3FC1E835">
            <w:pPr>
              <w:spacing w:line="360" w:lineRule="auto"/>
              <w:jc w:val="left"/>
              <w:rPr>
                <w:rFonts w:hint="eastAsia" w:ascii="宋体" w:hAnsi="宋体" w:eastAsia="宋体" w:cs="宋体"/>
                <w:sz w:val="21"/>
                <w:szCs w:val="21"/>
              </w:rPr>
            </w:pPr>
            <w:r>
              <w:rPr>
                <w:rFonts w:hint="eastAsia" w:ascii="宋体" w:hAnsi="宋体" w:eastAsia="宋体" w:cs="宋体"/>
                <w:sz w:val="21"/>
                <w:szCs w:val="21"/>
              </w:rPr>
              <w:t>（3）投标人应在法定质疑期内一次性提出针对同一采购程序环节的质疑。</w:t>
            </w:r>
          </w:p>
          <w:p w14:paraId="636DA3AA">
            <w:pPr>
              <w:spacing w:line="360" w:lineRule="auto"/>
              <w:jc w:val="left"/>
              <w:rPr>
                <w:rFonts w:hint="eastAsia" w:ascii="宋体" w:hAnsi="宋体" w:eastAsia="宋体" w:cs="宋体"/>
                <w:sz w:val="21"/>
                <w:szCs w:val="21"/>
              </w:rPr>
            </w:pPr>
            <w:r>
              <w:rPr>
                <w:rFonts w:hint="eastAsia" w:ascii="宋体" w:hAnsi="宋体" w:eastAsia="宋体" w:cs="宋体"/>
                <w:sz w:val="21"/>
                <w:szCs w:val="21"/>
              </w:rPr>
              <w:t>（4）接收质疑函联系方式：</w:t>
            </w:r>
          </w:p>
          <w:p w14:paraId="4330121E">
            <w:pPr>
              <w:spacing w:line="360" w:lineRule="auto"/>
              <w:jc w:val="left"/>
              <w:rPr>
                <w:rFonts w:hint="eastAsia" w:ascii="宋体" w:hAnsi="宋体" w:eastAsia="宋体" w:cs="宋体"/>
                <w:sz w:val="21"/>
                <w:szCs w:val="21"/>
              </w:rPr>
            </w:pPr>
            <w:r>
              <w:rPr>
                <w:rFonts w:hint="eastAsia" w:ascii="宋体" w:hAnsi="宋体" w:eastAsia="宋体" w:cs="宋体"/>
                <w:b/>
                <w:bCs/>
                <w:sz w:val="21"/>
                <w:szCs w:val="21"/>
              </w:rPr>
              <w:t>采 购 人：</w:t>
            </w:r>
          </w:p>
          <w:p w14:paraId="1B6C5098">
            <w:pPr>
              <w:spacing w:line="500" w:lineRule="exact"/>
              <w:rPr>
                <w:rFonts w:hint="eastAsia" w:ascii="宋体" w:hAnsi="宋体" w:eastAsia="宋体" w:cs="宋体"/>
                <w:sz w:val="21"/>
                <w:szCs w:val="21"/>
              </w:rPr>
            </w:pPr>
            <w:r>
              <w:rPr>
                <w:rFonts w:hint="eastAsia" w:ascii="宋体" w:hAnsi="宋体" w:eastAsia="宋体" w:cs="宋体"/>
                <w:sz w:val="21"/>
                <w:szCs w:val="21"/>
              </w:rPr>
              <w:t>采购人：中共平顶山市新华区委政法委员会</w:t>
            </w:r>
          </w:p>
          <w:p w14:paraId="0AFC3B95">
            <w:pPr>
              <w:spacing w:line="500" w:lineRule="exact"/>
              <w:rPr>
                <w:rFonts w:hint="eastAsia" w:ascii="宋体" w:hAnsi="宋体" w:eastAsia="宋体" w:cs="宋体"/>
                <w:sz w:val="21"/>
                <w:szCs w:val="21"/>
              </w:rPr>
            </w:pPr>
            <w:r>
              <w:rPr>
                <w:rFonts w:hint="eastAsia" w:ascii="宋体" w:hAnsi="宋体" w:eastAsia="宋体" w:cs="宋体"/>
                <w:sz w:val="21"/>
                <w:szCs w:val="21"/>
              </w:rPr>
              <w:t>地址：平顶山市新华区建设路与迎宾路交叉口南100米路西</w:t>
            </w:r>
          </w:p>
          <w:p w14:paraId="3CCE21D2">
            <w:pPr>
              <w:spacing w:line="500" w:lineRule="exact"/>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C2CED01">
            <w:pPr>
              <w:spacing w:line="500" w:lineRule="exact"/>
              <w:rPr>
                <w:rFonts w:hint="default" w:ascii="宋体" w:hAnsi="宋体" w:eastAsia="宋体" w:cs="宋体"/>
                <w:color w:val="FF0000"/>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p w14:paraId="318E7634">
            <w:pPr>
              <w:spacing w:line="360" w:lineRule="auto"/>
              <w:jc w:val="left"/>
              <w:rPr>
                <w:rFonts w:hint="eastAsia" w:ascii="宋体" w:hAnsi="宋体" w:eastAsia="宋体" w:cs="宋体"/>
                <w:b/>
                <w:bCs/>
                <w:sz w:val="21"/>
                <w:szCs w:val="21"/>
              </w:rPr>
            </w:pPr>
            <w:r>
              <w:rPr>
                <w:rFonts w:hint="eastAsia" w:ascii="宋体" w:hAnsi="宋体" w:eastAsia="宋体" w:cs="宋体"/>
                <w:b/>
                <w:bCs/>
                <w:sz w:val="21"/>
                <w:szCs w:val="21"/>
              </w:rPr>
              <w:t>采购代理机构信息</w:t>
            </w:r>
          </w:p>
          <w:p w14:paraId="23BAE393">
            <w:pPr>
              <w:spacing w:line="360" w:lineRule="auto"/>
              <w:jc w:val="left"/>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2780FC8D">
            <w:pPr>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地  址：河南省平顶山市未来路中段中梁壹号院   </w:t>
            </w:r>
          </w:p>
          <w:p w14:paraId="43120AB6">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联系人：吴女士</w:t>
            </w:r>
          </w:p>
          <w:p w14:paraId="40EF4F11">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047008B6">
            <w:pPr>
              <w:pStyle w:val="12"/>
              <w:spacing w:line="360" w:lineRule="auto"/>
              <w:rPr>
                <w:rFonts w:hint="eastAsia" w:ascii="宋体" w:hAnsi="宋体" w:eastAsia="宋体" w:cs="宋体"/>
                <w:sz w:val="21"/>
                <w:szCs w:val="21"/>
              </w:rPr>
            </w:pPr>
            <w:r>
              <w:rPr>
                <w:rFonts w:hint="eastAsia" w:ascii="宋体" w:hAnsi="宋体" w:eastAsia="宋体" w:cs="宋体"/>
                <w:sz w:val="21"/>
                <w:szCs w:val="21"/>
              </w:rPr>
              <w:t>对供应商提出的质疑，采购人、采购代理机构应当依法及时答复和处理，不得推诿扯皮故意刁难，须进行实质性回应。</w:t>
            </w:r>
          </w:p>
        </w:tc>
      </w:tr>
      <w:tr w14:paraId="41A3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E1AD3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10.10</w:t>
            </w:r>
          </w:p>
        </w:tc>
        <w:tc>
          <w:tcPr>
            <w:tcW w:w="697" w:type="pct"/>
            <w:vAlign w:val="center"/>
          </w:tcPr>
          <w:p w14:paraId="5CD3D64A">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落实政策</w:t>
            </w:r>
          </w:p>
        </w:tc>
        <w:tc>
          <w:tcPr>
            <w:tcW w:w="3877" w:type="pct"/>
            <w:gridSpan w:val="2"/>
            <w:vAlign w:val="center"/>
          </w:tcPr>
          <w:p w14:paraId="05C987AB">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一、落实四个“一日办”精神：</w:t>
            </w:r>
          </w:p>
          <w:p w14:paraId="35023A8A">
            <w:pPr>
              <w:spacing w:line="360" w:lineRule="auto"/>
              <w:jc w:val="left"/>
              <w:rPr>
                <w:rFonts w:hint="eastAsia" w:ascii="宋体" w:hAnsi="宋体" w:eastAsia="宋体" w:cs="宋体"/>
                <w:sz w:val="21"/>
                <w:szCs w:val="21"/>
              </w:rPr>
            </w:pPr>
            <w:r>
              <w:rPr>
                <w:rFonts w:hint="eastAsia" w:ascii="宋体" w:hAnsi="宋体" w:eastAsia="宋体" w:cs="宋体"/>
                <w:sz w:val="21"/>
                <w:szCs w:val="21"/>
              </w:rPr>
              <w:t>按照《平顶山市财政局关于压减政府采购各环节时限进一步优化政府采购营商环境的通知》（平财购〔2021〕34号）通知，落实四个“一日办”精神：</w:t>
            </w:r>
          </w:p>
          <w:p w14:paraId="23C42D11">
            <w:pPr>
              <w:spacing w:line="360" w:lineRule="auto"/>
              <w:jc w:val="left"/>
              <w:rPr>
                <w:rFonts w:hint="eastAsia" w:ascii="宋体" w:hAnsi="宋体" w:eastAsia="宋体" w:cs="宋体"/>
                <w:sz w:val="21"/>
                <w:szCs w:val="21"/>
              </w:rPr>
            </w:pPr>
            <w:r>
              <w:rPr>
                <w:rFonts w:hint="eastAsia" w:ascii="宋体" w:hAnsi="宋体" w:eastAsia="宋体" w:cs="宋体"/>
                <w:sz w:val="21"/>
                <w:szCs w:val="21"/>
              </w:rPr>
              <w:t>（1）在评审结束后1日内确定采购结果，同时对中标单位发出中标或成交通知书，并在网上进行公告；</w:t>
            </w:r>
          </w:p>
          <w:p w14:paraId="6CDB17A4">
            <w:pPr>
              <w:spacing w:line="360" w:lineRule="auto"/>
              <w:jc w:val="left"/>
              <w:rPr>
                <w:rFonts w:hint="eastAsia" w:ascii="宋体" w:hAnsi="宋体" w:eastAsia="宋体" w:cs="宋体"/>
                <w:sz w:val="21"/>
                <w:szCs w:val="21"/>
              </w:rPr>
            </w:pPr>
            <w:r>
              <w:rPr>
                <w:rFonts w:hint="eastAsia" w:ascii="宋体" w:hAnsi="宋体" w:eastAsia="宋体" w:cs="宋体"/>
                <w:sz w:val="21"/>
                <w:szCs w:val="21"/>
              </w:rPr>
              <w:t>（2）中标或成交通知书发出后，1日内与中标或成交供应商签订合同，合同签订当日完成合同备案工作；</w:t>
            </w:r>
          </w:p>
          <w:p w14:paraId="3C729BB9">
            <w:pPr>
              <w:spacing w:line="360" w:lineRule="auto"/>
              <w:jc w:val="left"/>
              <w:rPr>
                <w:rFonts w:hint="eastAsia" w:ascii="宋体" w:hAnsi="宋体" w:eastAsia="宋体" w:cs="宋体"/>
                <w:sz w:val="21"/>
                <w:szCs w:val="21"/>
              </w:rPr>
            </w:pPr>
            <w:r>
              <w:rPr>
                <w:rFonts w:hint="eastAsia" w:ascii="宋体" w:hAnsi="宋体" w:eastAsia="宋体" w:cs="宋体"/>
                <w:sz w:val="21"/>
                <w:szCs w:val="21"/>
              </w:rPr>
              <w:t>（3）政府采购项目供应商履约完成后，采购人应在供应商提出验收申请1个工作日内完成验收，同时在政府采购网发布验收结果公告；</w:t>
            </w:r>
          </w:p>
          <w:p w14:paraId="161BA916">
            <w:pPr>
              <w:spacing w:line="360" w:lineRule="auto"/>
              <w:jc w:val="left"/>
              <w:rPr>
                <w:rFonts w:hint="eastAsia" w:ascii="宋体" w:hAnsi="宋体" w:eastAsia="宋体" w:cs="宋体"/>
                <w:sz w:val="21"/>
                <w:szCs w:val="21"/>
              </w:rPr>
            </w:pPr>
            <w:r>
              <w:rPr>
                <w:rFonts w:hint="eastAsia" w:ascii="宋体" w:hAnsi="宋体" w:eastAsia="宋体" w:cs="宋体"/>
                <w:sz w:val="21"/>
                <w:szCs w:val="21"/>
              </w:rPr>
              <w:t>（4）验收合格具备付款条件的项目，采购人要在1个工作日内按照合同约定支付项目资金。</w:t>
            </w:r>
          </w:p>
          <w:p w14:paraId="03EBCAAE">
            <w:pPr>
              <w:spacing w:line="360" w:lineRule="auto"/>
              <w:jc w:val="left"/>
              <w:rPr>
                <w:rFonts w:hint="eastAsia" w:ascii="宋体" w:hAnsi="宋体" w:eastAsia="宋体" w:cs="宋体"/>
                <w:sz w:val="21"/>
                <w:szCs w:val="21"/>
              </w:rPr>
            </w:pPr>
            <w:r>
              <w:rPr>
                <w:rFonts w:hint="eastAsia" w:ascii="宋体" w:hAnsi="宋体" w:eastAsia="宋体" w:cs="宋体"/>
                <w:sz w:val="21"/>
                <w:szCs w:val="21"/>
              </w:rPr>
              <w:t>注：签合同需法定代表人携带本人身份证（如为授权委托人，则携带法定代表人授权委托书及本人身份证）、单位公章、合同纸质版本一式六份及合同电子版。</w:t>
            </w:r>
          </w:p>
          <w:p w14:paraId="43682AA2">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二、维护企业在政府采购活动中的知情权</w:t>
            </w:r>
          </w:p>
          <w:p w14:paraId="7CE7475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4CE1852">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三、提供中小企业声明函格式</w:t>
            </w:r>
          </w:p>
          <w:p w14:paraId="68A15B0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6255C0D5">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四、推广政府采购合同融资</w:t>
            </w:r>
          </w:p>
          <w:p w14:paraId="149D481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33BDE8A3">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五、落实预留采购份额</w:t>
            </w:r>
          </w:p>
          <w:p w14:paraId="49F97CC7">
            <w:pPr>
              <w:spacing w:line="360" w:lineRule="auto"/>
              <w:ind w:firstLine="420" w:firstLineChars="200"/>
              <w:jc w:val="left"/>
              <w:rPr>
                <w:rFonts w:hint="eastAsia" w:ascii="宋体" w:hAnsi="宋体" w:eastAsia="宋体" w:cs="宋体"/>
                <w:b/>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部印发的《政府采购促进中小企业发展管理办法》的通知精神（财库〔2020〕46号）提供中小企业声明函格式。详见“政府采购政策：中小企业声明函”。</w:t>
            </w:r>
          </w:p>
          <w:p w14:paraId="402483CB">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六、落实价格评审优惠政策</w:t>
            </w:r>
          </w:p>
          <w:p w14:paraId="72450C76">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宋体" w:hAnsi="宋体" w:eastAsia="宋体" w:cs="宋体"/>
                <w:b/>
                <w:color w:val="FF0000"/>
                <w:sz w:val="21"/>
                <w:szCs w:val="21"/>
              </w:rPr>
              <w:t>本项目执行价格评审优惠政策，对小型和微型企业给予20%的价格扣除，用扣除后的价格参与报价评审。</w:t>
            </w:r>
          </w:p>
          <w:p w14:paraId="2F70EC50">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7610827E">
            <w:pPr>
              <w:spacing w:line="360" w:lineRule="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rPr>
              <w:t>投标人属于残疾人福利性单位的，按照招标文件格式提供《残疾人福利性单位声明函》。</w:t>
            </w:r>
          </w:p>
          <w:p w14:paraId="53D1BDBF">
            <w:pPr>
              <w:spacing w:line="360" w:lineRule="auto"/>
              <w:jc w:val="left"/>
              <w:rPr>
                <w:rFonts w:hint="eastAsia" w:ascii="宋体" w:hAnsi="宋体" w:eastAsia="宋体" w:cs="宋体"/>
                <w:sz w:val="21"/>
                <w:szCs w:val="21"/>
              </w:rPr>
            </w:pPr>
            <w:r>
              <w:rPr>
                <w:rFonts w:hint="eastAsia" w:ascii="宋体" w:hAnsi="宋体" w:eastAsia="宋体" w:cs="宋体"/>
                <w:b/>
                <w:sz w:val="21"/>
                <w:szCs w:val="21"/>
              </w:rPr>
              <w:t>说明：不符合上述适用情形的投标人无须提供上述声明函件。</w:t>
            </w:r>
          </w:p>
        </w:tc>
      </w:tr>
      <w:tr w14:paraId="28B8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A6EC1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52861B2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付款方式</w:t>
            </w:r>
          </w:p>
        </w:tc>
        <w:tc>
          <w:tcPr>
            <w:tcW w:w="3877" w:type="pct"/>
            <w:gridSpan w:val="2"/>
          </w:tcPr>
          <w:p w14:paraId="6650FE8D">
            <w:pPr>
              <w:spacing w:line="360" w:lineRule="auto"/>
              <w:rPr>
                <w:rFonts w:hint="eastAsia" w:ascii="宋体" w:hAnsi="宋体" w:eastAsia="宋体" w:cs="宋体"/>
                <w:color w:val="auto"/>
                <w:sz w:val="18"/>
                <w:szCs w:val="18"/>
                <w:lang w:val="en-US"/>
              </w:rPr>
            </w:pPr>
            <w:r>
              <w:rPr>
                <w:rFonts w:hint="eastAsia" w:ascii="宋体" w:hAnsi="宋体" w:eastAsia="宋体" w:cs="宋体"/>
                <w:color w:val="auto"/>
                <w:sz w:val="21"/>
                <w:szCs w:val="21"/>
                <w:lang w:val="en-US" w:eastAsia="zh-CN"/>
              </w:rPr>
              <w:t>详见合同条款</w:t>
            </w:r>
          </w:p>
        </w:tc>
      </w:tr>
      <w:tr w14:paraId="7B86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2310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68682F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3877" w:type="pct"/>
            <w:gridSpan w:val="2"/>
            <w:vAlign w:val="center"/>
          </w:tcPr>
          <w:p w14:paraId="611BD819">
            <w:pPr>
              <w:spacing w:line="360" w:lineRule="auto"/>
              <w:jc w:val="left"/>
              <w:rPr>
                <w:rFonts w:hint="eastAsia" w:ascii="宋体" w:hAnsi="宋体" w:eastAsia="宋体" w:cs="宋体"/>
                <w:sz w:val="21"/>
                <w:szCs w:val="21"/>
              </w:rPr>
            </w:pPr>
            <w:r>
              <w:rPr>
                <w:rFonts w:hint="eastAsia" w:ascii="宋体" w:hAnsi="宋体" w:eastAsia="宋体" w:cs="宋体"/>
                <w:sz w:val="21"/>
                <w:szCs w:val="21"/>
              </w:rPr>
              <w:t>根据河南省财政厅关于优化政府采购营商环境有关问题的通知（豫财购【2019】4号文），落实其文件精神，降低供应商参与政府采购活动交易成本，本项目不收取履约保证金。</w:t>
            </w:r>
          </w:p>
        </w:tc>
      </w:tr>
      <w:tr w14:paraId="1628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DB153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10.13</w:t>
            </w:r>
          </w:p>
        </w:tc>
        <w:tc>
          <w:tcPr>
            <w:tcW w:w="697" w:type="pct"/>
            <w:vAlign w:val="center"/>
          </w:tcPr>
          <w:p w14:paraId="5DFDDD61">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磋商文件费</w:t>
            </w:r>
          </w:p>
        </w:tc>
        <w:tc>
          <w:tcPr>
            <w:tcW w:w="3877" w:type="pct"/>
            <w:gridSpan w:val="2"/>
            <w:vAlign w:val="center"/>
          </w:tcPr>
          <w:p w14:paraId="6F51E4B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6896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01361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5A8BDCE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磋商保证金</w:t>
            </w:r>
          </w:p>
        </w:tc>
        <w:tc>
          <w:tcPr>
            <w:tcW w:w="3877" w:type="pct"/>
            <w:gridSpan w:val="2"/>
            <w:vAlign w:val="center"/>
          </w:tcPr>
          <w:p w14:paraId="27282247">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5D0F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99889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0B68B2A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质保金</w:t>
            </w:r>
          </w:p>
        </w:tc>
        <w:tc>
          <w:tcPr>
            <w:tcW w:w="3877" w:type="pct"/>
            <w:gridSpan w:val="2"/>
            <w:vAlign w:val="center"/>
          </w:tcPr>
          <w:p w14:paraId="4515502E">
            <w:pPr>
              <w:spacing w:line="400" w:lineRule="exact"/>
              <w:jc w:val="center"/>
              <w:rPr>
                <w:rFonts w:hint="eastAsia" w:ascii="宋体" w:hAnsi="宋体" w:eastAsia="宋体" w:cs="宋体"/>
                <w:b/>
                <w:color w:val="auto"/>
                <w:sz w:val="21"/>
                <w:szCs w:val="21"/>
              </w:rPr>
            </w:pPr>
            <w:r>
              <w:rPr>
                <w:rFonts w:hint="eastAsia" w:ascii="宋体" w:hAnsi="宋体" w:eastAsia="宋体" w:cs="宋体"/>
                <w:color w:val="auto"/>
                <w:sz w:val="21"/>
                <w:szCs w:val="21"/>
              </w:rPr>
              <w:t>不收取</w:t>
            </w:r>
          </w:p>
        </w:tc>
      </w:tr>
      <w:tr w14:paraId="37AF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2907E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10.15</w:t>
            </w:r>
          </w:p>
        </w:tc>
        <w:tc>
          <w:tcPr>
            <w:tcW w:w="697" w:type="pct"/>
            <w:vAlign w:val="center"/>
          </w:tcPr>
          <w:p w14:paraId="3CFDEC6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本项目所属行业</w:t>
            </w:r>
          </w:p>
        </w:tc>
        <w:tc>
          <w:tcPr>
            <w:tcW w:w="3877" w:type="pct"/>
            <w:gridSpan w:val="2"/>
            <w:vAlign w:val="center"/>
          </w:tcPr>
          <w:p w14:paraId="69E7CA4D">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所属行业：租赁和商务服务业。</w:t>
            </w:r>
          </w:p>
          <w:p w14:paraId="36EDA0C8">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划定标准为：中小微企业划分按照《国家统计局关于印发&lt;统计上大中小微型企业划分办法（2017）&gt;的通知》国统字【2017】213号文件及《工业和信息化部、国家统计局、国家发展和改革委员会、财政部关于印发&lt;中小企业划型标准规定&gt;（工信部联企业〔2011〕300号）规定的划分标准为依据。（见附件）</w:t>
            </w:r>
          </w:p>
        </w:tc>
      </w:tr>
      <w:tr w14:paraId="4369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5028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10.16</w:t>
            </w:r>
          </w:p>
        </w:tc>
        <w:tc>
          <w:tcPr>
            <w:tcW w:w="697" w:type="pct"/>
            <w:vAlign w:val="center"/>
          </w:tcPr>
          <w:p w14:paraId="32461B4B">
            <w:pPr>
              <w:spacing w:line="360" w:lineRule="auto"/>
              <w:jc w:val="center"/>
              <w:rPr>
                <w:rFonts w:hint="eastAsia" w:ascii="宋体" w:hAnsi="宋体" w:eastAsia="宋体" w:cs="宋体"/>
                <w:sz w:val="21"/>
                <w:szCs w:val="21"/>
              </w:rPr>
            </w:pPr>
            <w:r>
              <w:rPr>
                <w:rFonts w:hint="eastAsia" w:ascii="宋体" w:hAnsi="宋体" w:eastAsia="宋体" w:cs="宋体"/>
                <w:b/>
                <w:sz w:val="21"/>
                <w:szCs w:val="21"/>
              </w:rPr>
              <w:t>四方评价</w:t>
            </w:r>
          </w:p>
        </w:tc>
        <w:tc>
          <w:tcPr>
            <w:tcW w:w="3877" w:type="pct"/>
            <w:gridSpan w:val="2"/>
            <w:vAlign w:val="center"/>
          </w:tcPr>
          <w:p w14:paraId="2AA4D1B6">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352BDE3B">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各相关单位及个人须按照下表时间节点，及时在政府采购网上进行评价：</w:t>
            </w:r>
          </w:p>
          <w:tbl>
            <w:tblPr>
              <w:tblStyle w:val="34"/>
              <w:tblW w:w="7820" w:type="dxa"/>
              <w:tblInd w:w="0" w:type="dxa"/>
              <w:tblLayout w:type="fixed"/>
              <w:tblCellMar>
                <w:top w:w="0" w:type="dxa"/>
                <w:left w:w="108" w:type="dxa"/>
                <w:bottom w:w="0" w:type="dxa"/>
                <w:right w:w="108" w:type="dxa"/>
              </w:tblCellMar>
            </w:tblPr>
            <w:tblGrid>
              <w:gridCol w:w="1741"/>
              <w:gridCol w:w="2167"/>
              <w:gridCol w:w="1741"/>
              <w:gridCol w:w="2171"/>
            </w:tblGrid>
            <w:tr w14:paraId="7D85A45B">
              <w:tblPrEx>
                <w:tblCellMar>
                  <w:top w:w="0" w:type="dxa"/>
                  <w:left w:w="108" w:type="dxa"/>
                  <w:bottom w:w="0" w:type="dxa"/>
                  <w:right w:w="108" w:type="dxa"/>
                </w:tblCellMar>
              </w:tblPrEx>
              <w:trPr>
                <w:trHeight w:val="567" w:hRule="atLeast"/>
              </w:trPr>
              <w:tc>
                <w:tcPr>
                  <w:tcW w:w="7820" w:type="dxa"/>
                  <w:gridSpan w:val="4"/>
                  <w:tcBorders>
                    <w:top w:val="nil"/>
                    <w:left w:val="nil"/>
                    <w:bottom w:val="single" w:color="auto" w:sz="4" w:space="0"/>
                    <w:right w:val="nil"/>
                  </w:tcBorders>
                  <w:noWrap/>
                  <w:vAlign w:val="center"/>
                </w:tcPr>
                <w:p w14:paraId="450C63D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四方评价时间节点</w:t>
                  </w:r>
                </w:p>
              </w:tc>
            </w:tr>
            <w:tr w14:paraId="2702232D">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468FCE2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评价主体</w:t>
                  </w:r>
                </w:p>
              </w:tc>
              <w:tc>
                <w:tcPr>
                  <w:tcW w:w="2167" w:type="dxa"/>
                  <w:tcBorders>
                    <w:top w:val="nil"/>
                    <w:left w:val="nil"/>
                    <w:bottom w:val="single" w:color="auto" w:sz="4" w:space="0"/>
                    <w:right w:val="single" w:color="auto" w:sz="4" w:space="0"/>
                  </w:tcBorders>
                  <w:noWrap/>
                  <w:vAlign w:val="center"/>
                </w:tcPr>
                <w:p w14:paraId="1DF1236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被评价主体</w:t>
                  </w:r>
                </w:p>
              </w:tc>
              <w:tc>
                <w:tcPr>
                  <w:tcW w:w="1741" w:type="dxa"/>
                  <w:tcBorders>
                    <w:top w:val="nil"/>
                    <w:left w:val="nil"/>
                    <w:bottom w:val="single" w:color="auto" w:sz="4" w:space="0"/>
                    <w:right w:val="single" w:color="auto" w:sz="4" w:space="0"/>
                  </w:tcBorders>
                  <w:noWrap/>
                  <w:vAlign w:val="center"/>
                </w:tcPr>
                <w:p w14:paraId="20A9748E">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评价环节</w:t>
                  </w:r>
                </w:p>
              </w:tc>
              <w:tc>
                <w:tcPr>
                  <w:tcW w:w="2171" w:type="dxa"/>
                  <w:tcBorders>
                    <w:top w:val="nil"/>
                    <w:left w:val="nil"/>
                    <w:bottom w:val="single" w:color="auto" w:sz="4" w:space="0"/>
                    <w:right w:val="single" w:color="auto" w:sz="4" w:space="0"/>
                  </w:tcBorders>
                  <w:noWrap/>
                  <w:vAlign w:val="center"/>
                </w:tcPr>
                <w:p w14:paraId="1CEAFF73">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评价节点</w:t>
                  </w:r>
                </w:p>
              </w:tc>
            </w:tr>
            <w:tr w14:paraId="7366EE7D">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17A547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2167" w:type="dxa"/>
                  <w:tcBorders>
                    <w:top w:val="nil"/>
                    <w:left w:val="nil"/>
                    <w:bottom w:val="single" w:color="auto" w:sz="4" w:space="0"/>
                    <w:right w:val="single" w:color="auto" w:sz="4" w:space="0"/>
                  </w:tcBorders>
                  <w:noWrap/>
                  <w:vAlign w:val="center"/>
                </w:tcPr>
                <w:p w14:paraId="4016D3A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1741" w:type="dxa"/>
                  <w:tcBorders>
                    <w:top w:val="nil"/>
                    <w:left w:val="nil"/>
                    <w:bottom w:val="single" w:color="auto" w:sz="4" w:space="0"/>
                    <w:right w:val="single" w:color="auto" w:sz="4" w:space="0"/>
                  </w:tcBorders>
                  <w:noWrap/>
                  <w:vAlign w:val="center"/>
                </w:tcPr>
                <w:p w14:paraId="14052B5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69586D2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7DF1B315">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7F1A81A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262C28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1A0C2DF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1EC80B7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4F7A81BF">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2322D26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6FE566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5B98E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3990640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BE747AE">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67F5BB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2167" w:type="dxa"/>
                  <w:tcBorders>
                    <w:top w:val="nil"/>
                    <w:left w:val="nil"/>
                    <w:bottom w:val="single" w:color="auto" w:sz="4" w:space="0"/>
                    <w:right w:val="single" w:color="auto" w:sz="4" w:space="0"/>
                  </w:tcBorders>
                  <w:noWrap/>
                  <w:vAlign w:val="center"/>
                </w:tcPr>
                <w:p w14:paraId="0E76DE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1741" w:type="dxa"/>
                  <w:tcBorders>
                    <w:top w:val="nil"/>
                    <w:left w:val="nil"/>
                    <w:bottom w:val="single" w:color="auto" w:sz="4" w:space="0"/>
                    <w:right w:val="single" w:color="auto" w:sz="4" w:space="0"/>
                  </w:tcBorders>
                  <w:noWrap/>
                  <w:vAlign w:val="center"/>
                </w:tcPr>
                <w:p w14:paraId="6EC4E64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26D5F7A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01BB185B">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3D173510">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43EC290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738D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00D7B6E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EF16D44">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590C476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2167" w:type="dxa"/>
                  <w:tcBorders>
                    <w:top w:val="nil"/>
                    <w:left w:val="nil"/>
                    <w:bottom w:val="single" w:color="auto" w:sz="4" w:space="0"/>
                    <w:right w:val="single" w:color="auto" w:sz="4" w:space="0"/>
                  </w:tcBorders>
                  <w:noWrap/>
                  <w:vAlign w:val="center"/>
                </w:tcPr>
                <w:p w14:paraId="0C21BD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2F5219C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7FEEAA4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28B74859">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25F3981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2167" w:type="dxa"/>
                  <w:tcBorders>
                    <w:top w:val="nil"/>
                    <w:left w:val="nil"/>
                    <w:bottom w:val="single" w:color="auto" w:sz="4" w:space="0"/>
                    <w:right w:val="single" w:color="auto" w:sz="4" w:space="0"/>
                  </w:tcBorders>
                  <w:noWrap/>
                  <w:vAlign w:val="center"/>
                </w:tcPr>
                <w:p w14:paraId="02FB92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09B39F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2CCF135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bl>
          <w:p w14:paraId="616AC51D">
            <w:pPr>
              <w:pStyle w:val="73"/>
              <w:rPr>
                <w:rFonts w:hint="eastAsia" w:ascii="宋体" w:hAnsi="宋体" w:eastAsia="宋体" w:cs="宋体"/>
                <w:sz w:val="21"/>
                <w:szCs w:val="21"/>
              </w:rPr>
            </w:pPr>
          </w:p>
        </w:tc>
      </w:tr>
      <w:tr w14:paraId="0A3C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847" w:type="dxa"/>
            <w:vAlign w:val="center"/>
          </w:tcPr>
          <w:p w14:paraId="1553E21E">
            <w:pPr>
              <w:spacing w:line="360" w:lineRule="auto"/>
              <w:jc w:val="center"/>
              <w:rPr>
                <w:rFonts w:hint="eastAsia" w:ascii="宋体" w:hAnsi="宋体" w:eastAsia="宋体" w:cs="宋体"/>
                <w:sz w:val="21"/>
                <w:szCs w:val="21"/>
              </w:rPr>
            </w:pPr>
            <w:bookmarkStart w:id="7" w:name="_Toc152042305"/>
            <w:bookmarkStart w:id="8" w:name="_Toc152045529"/>
            <w:bookmarkStart w:id="9" w:name="_Toc144974497"/>
            <w:bookmarkStart w:id="10" w:name="_Toc382903902"/>
            <w:bookmarkStart w:id="11" w:name="_Toc179632546"/>
            <w:bookmarkStart w:id="12" w:name="_Toc23464"/>
            <w:r>
              <w:rPr>
                <w:rFonts w:hint="eastAsia" w:ascii="宋体" w:hAnsi="宋体" w:eastAsia="宋体" w:cs="宋体"/>
                <w:sz w:val="21"/>
                <w:szCs w:val="21"/>
                <w:lang w:val="en-US" w:eastAsia="zh-CN"/>
              </w:rPr>
              <w:t>10.17</w:t>
            </w:r>
          </w:p>
        </w:tc>
        <w:tc>
          <w:tcPr>
            <w:tcW w:w="1389" w:type="dxa"/>
            <w:vAlign w:val="center"/>
          </w:tcPr>
          <w:p w14:paraId="223214E6">
            <w:pPr>
              <w:pStyle w:val="17"/>
              <w:jc w:val="center"/>
              <w:rPr>
                <w:rFonts w:hint="eastAsia" w:ascii="宋体" w:hAnsi="宋体" w:eastAsia="宋体" w:cs="宋体"/>
                <w:b/>
                <w:sz w:val="21"/>
                <w:szCs w:val="21"/>
              </w:rPr>
            </w:pPr>
            <w:r>
              <w:rPr>
                <w:rFonts w:hint="eastAsia" w:ascii="宋体" w:hAnsi="宋体" w:eastAsia="宋体" w:cs="宋体"/>
                <w:b/>
                <w:color w:val="000000"/>
                <w:sz w:val="24"/>
                <w:szCs w:val="24"/>
              </w:rPr>
              <w:t>其他说明</w:t>
            </w:r>
          </w:p>
        </w:tc>
        <w:tc>
          <w:tcPr>
            <w:tcW w:w="7726" w:type="dxa"/>
            <w:gridSpan w:val="2"/>
            <w:vAlign w:val="center"/>
          </w:tcPr>
          <w:p w14:paraId="1A7FDB14">
            <w:pPr>
              <w:snapToGrid w:val="0"/>
              <w:spacing w:line="300" w:lineRule="exact"/>
              <w:ind w:firstLine="482" w:firstLineChars="200"/>
              <w:jc w:val="left"/>
              <w:rPr>
                <w:rFonts w:hint="eastAsia" w:ascii="宋体" w:hAnsi="宋体" w:eastAsia="宋体" w:cs="宋体"/>
                <w:sz w:val="21"/>
                <w:szCs w:val="21"/>
              </w:rPr>
            </w:pPr>
            <w:r>
              <w:rPr>
                <w:rFonts w:hint="eastAsia" w:ascii="宋体" w:hAnsi="宋体" w:eastAsia="宋体" w:cs="宋体"/>
                <w:b/>
                <w:color w:val="000000"/>
                <w:sz w:val="24"/>
              </w:rPr>
              <w:t>各供应商应在</w:t>
            </w:r>
            <w:r>
              <w:rPr>
                <w:rFonts w:hint="eastAsia" w:ascii="宋体" w:hAnsi="宋体" w:eastAsia="宋体" w:cs="宋体"/>
                <w:b/>
                <w:color w:val="000000"/>
                <w:sz w:val="24"/>
                <w:lang w:val="en-US" w:eastAsia="zh-CN"/>
              </w:rPr>
              <w:t>采购</w:t>
            </w:r>
            <w:r>
              <w:rPr>
                <w:rFonts w:hint="eastAsia" w:ascii="宋体" w:hAnsi="宋体" w:eastAsia="宋体" w:cs="宋体"/>
                <w:b/>
                <w:color w:val="000000"/>
                <w:sz w:val="24"/>
              </w:rPr>
              <w:t>文件规定的投标文件截止时间之前在《河南省政府采购网》上完成注册信息。</w:t>
            </w:r>
          </w:p>
        </w:tc>
      </w:tr>
    </w:tbl>
    <w:p w14:paraId="11323C28">
      <w:pPr>
        <w:widowControl/>
        <w:jc w:val="left"/>
        <w:rPr>
          <w:rFonts w:hint="eastAsia" w:ascii="宋体" w:hAnsi="宋体" w:eastAsia="宋体" w:cs="宋体"/>
          <w:b/>
          <w:bCs/>
          <w:sz w:val="21"/>
          <w:szCs w:val="21"/>
        </w:rPr>
      </w:pPr>
      <w:r>
        <w:rPr>
          <w:rFonts w:hint="eastAsia" w:ascii="宋体" w:hAnsi="宋体" w:eastAsia="宋体" w:cs="宋体"/>
          <w:b/>
          <w:bCs/>
          <w:sz w:val="21"/>
          <w:szCs w:val="21"/>
        </w:rPr>
        <w:br w:type="page"/>
      </w:r>
    </w:p>
    <w:p w14:paraId="1E052413">
      <w:pPr>
        <w:pStyle w:val="59"/>
        <w:spacing w:line="360" w:lineRule="auto"/>
        <w:rPr>
          <w:rFonts w:hint="eastAsia" w:ascii="宋体" w:hAnsi="宋体" w:eastAsia="宋体" w:cs="宋体"/>
          <w:b/>
          <w:bCs/>
          <w:sz w:val="21"/>
          <w:szCs w:val="21"/>
        </w:rPr>
      </w:pPr>
      <w:bookmarkStart w:id="13" w:name="_Toc20133"/>
      <w:bookmarkStart w:id="14" w:name="_Toc45177803"/>
      <w:r>
        <w:rPr>
          <w:rFonts w:hint="eastAsia" w:ascii="宋体" w:hAnsi="宋体" w:eastAsia="宋体" w:cs="宋体"/>
          <w:b/>
          <w:bCs/>
          <w:sz w:val="21"/>
          <w:szCs w:val="21"/>
        </w:rPr>
        <w:t>1</w:t>
      </w:r>
      <w:bookmarkEnd w:id="7"/>
      <w:bookmarkEnd w:id="8"/>
      <w:bookmarkEnd w:id="9"/>
      <w:bookmarkEnd w:id="10"/>
      <w:bookmarkEnd w:id="11"/>
      <w:r>
        <w:rPr>
          <w:rFonts w:hint="eastAsia" w:ascii="宋体" w:hAnsi="宋体" w:eastAsia="宋体" w:cs="宋体"/>
          <w:b/>
          <w:bCs/>
          <w:sz w:val="21"/>
          <w:szCs w:val="21"/>
        </w:rPr>
        <w:t>. 总则</w:t>
      </w:r>
      <w:bookmarkEnd w:id="12"/>
      <w:bookmarkEnd w:id="13"/>
      <w:bookmarkEnd w:id="14"/>
    </w:p>
    <w:p w14:paraId="6DFCB6C0">
      <w:pPr>
        <w:pStyle w:val="60"/>
        <w:spacing w:line="360" w:lineRule="auto"/>
        <w:rPr>
          <w:rFonts w:hint="eastAsia" w:ascii="宋体" w:hAnsi="宋体" w:eastAsia="宋体" w:cs="宋体"/>
          <w:sz w:val="21"/>
          <w:szCs w:val="21"/>
        </w:rPr>
      </w:pPr>
      <w:bookmarkStart w:id="15" w:name="_Toc179632547"/>
      <w:bookmarkStart w:id="16" w:name="_Toc22909"/>
      <w:bookmarkStart w:id="17" w:name="_Toc152045530"/>
      <w:bookmarkStart w:id="18" w:name="_Toc45177804"/>
      <w:bookmarkStart w:id="19" w:name="_Toc144974498"/>
      <w:bookmarkStart w:id="20" w:name="_Toc152042306"/>
      <w:r>
        <w:rPr>
          <w:rFonts w:hint="eastAsia" w:ascii="宋体" w:hAnsi="宋体" w:eastAsia="宋体" w:cs="宋体"/>
          <w:sz w:val="21"/>
          <w:szCs w:val="21"/>
        </w:rPr>
        <w:t>1.1 项目概况</w:t>
      </w:r>
      <w:bookmarkEnd w:id="15"/>
      <w:bookmarkEnd w:id="16"/>
      <w:bookmarkEnd w:id="17"/>
      <w:bookmarkEnd w:id="18"/>
      <w:bookmarkEnd w:id="19"/>
      <w:bookmarkEnd w:id="20"/>
    </w:p>
    <w:p w14:paraId="294FE7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1.1.1根据有关法律、法规和规章的规定，本招标项目已具备招标条件，现对本项目进行招标。</w:t>
      </w:r>
    </w:p>
    <w:p w14:paraId="2C93BD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1.1.2 本招标项目采购人：见供应商须知前附表。</w:t>
      </w:r>
    </w:p>
    <w:p w14:paraId="7DD0D8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1.1.3 本招标项目采购代理机构：见供应商须知前附表。</w:t>
      </w:r>
    </w:p>
    <w:p w14:paraId="085F42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1.1.4 本招标项目名称：见供应商须知前附表。</w:t>
      </w:r>
    </w:p>
    <w:p w14:paraId="507CFC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1.1.5 本项目项目地点：见供应商须知前附表。</w:t>
      </w:r>
    </w:p>
    <w:p w14:paraId="00338258">
      <w:pPr>
        <w:pStyle w:val="60"/>
        <w:spacing w:line="360" w:lineRule="auto"/>
        <w:rPr>
          <w:rFonts w:hint="eastAsia" w:ascii="宋体" w:hAnsi="宋体" w:eastAsia="宋体" w:cs="宋体"/>
          <w:sz w:val="21"/>
          <w:szCs w:val="21"/>
        </w:rPr>
      </w:pPr>
      <w:bookmarkStart w:id="21" w:name="_Toc179632548"/>
      <w:bookmarkStart w:id="22" w:name="_Toc45177805"/>
      <w:bookmarkStart w:id="23" w:name="_Toc19789"/>
      <w:bookmarkStart w:id="24" w:name="_Toc152042307"/>
      <w:bookmarkStart w:id="25" w:name="_Toc152045531"/>
      <w:bookmarkStart w:id="26" w:name="_Toc144974499"/>
      <w:r>
        <w:rPr>
          <w:rFonts w:hint="eastAsia" w:ascii="宋体" w:hAnsi="宋体" w:eastAsia="宋体" w:cs="宋体"/>
          <w:sz w:val="21"/>
          <w:szCs w:val="21"/>
        </w:rPr>
        <w:t>1.2 资金来源和落实情况</w:t>
      </w:r>
      <w:bookmarkEnd w:id="21"/>
      <w:bookmarkEnd w:id="22"/>
      <w:bookmarkEnd w:id="23"/>
      <w:bookmarkEnd w:id="24"/>
      <w:bookmarkEnd w:id="25"/>
      <w:bookmarkEnd w:id="26"/>
    </w:p>
    <w:p w14:paraId="4E15608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1.2.1 本招标项目的资金来源：见供应商须知前附表。</w:t>
      </w:r>
    </w:p>
    <w:p w14:paraId="10850D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1.2.2 本招标项目的出资比例：见供应商须知前附表。</w:t>
      </w:r>
    </w:p>
    <w:p w14:paraId="19C227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1.2.3 本招标项目的资金落实情况：见供应商须知前附表。</w:t>
      </w:r>
    </w:p>
    <w:p w14:paraId="353C484E">
      <w:pPr>
        <w:pStyle w:val="60"/>
        <w:spacing w:line="360" w:lineRule="auto"/>
        <w:rPr>
          <w:rFonts w:hint="eastAsia" w:ascii="宋体" w:hAnsi="宋体" w:eastAsia="宋体" w:cs="宋体"/>
          <w:sz w:val="21"/>
          <w:szCs w:val="21"/>
        </w:rPr>
      </w:pPr>
      <w:bookmarkStart w:id="27" w:name="_Toc152045532"/>
      <w:bookmarkStart w:id="28" w:name="_Toc45177806"/>
      <w:bookmarkStart w:id="29" w:name="_Toc144974500"/>
      <w:bookmarkStart w:id="30" w:name="_Toc152042308"/>
      <w:bookmarkStart w:id="31" w:name="_Toc179632549"/>
      <w:bookmarkStart w:id="32" w:name="_Toc29441"/>
      <w:r>
        <w:rPr>
          <w:rFonts w:hint="eastAsia" w:ascii="宋体" w:hAnsi="宋体" w:eastAsia="宋体" w:cs="宋体"/>
          <w:sz w:val="21"/>
          <w:szCs w:val="21"/>
        </w:rPr>
        <w:t>1.3 招标范围、服务期限和质量要求</w:t>
      </w:r>
      <w:bookmarkEnd w:id="27"/>
      <w:bookmarkEnd w:id="28"/>
      <w:bookmarkEnd w:id="29"/>
      <w:bookmarkEnd w:id="30"/>
      <w:bookmarkEnd w:id="31"/>
      <w:bookmarkEnd w:id="32"/>
    </w:p>
    <w:p w14:paraId="493414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1.3.1 本次招标范围：见供应商须知前附表。</w:t>
      </w:r>
    </w:p>
    <w:p w14:paraId="103F6D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1.3.2 本项目的服务期限：见供应商须知前附表。</w:t>
      </w:r>
    </w:p>
    <w:p w14:paraId="6FC2F8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1.3.3 本项目的质量要求：见供应商须知前附表。</w:t>
      </w:r>
    </w:p>
    <w:p w14:paraId="1CF678BA">
      <w:pPr>
        <w:pStyle w:val="60"/>
        <w:spacing w:line="360" w:lineRule="auto"/>
        <w:rPr>
          <w:rFonts w:hint="eastAsia" w:ascii="宋体" w:hAnsi="宋体" w:eastAsia="宋体" w:cs="宋体"/>
          <w:sz w:val="21"/>
          <w:szCs w:val="21"/>
        </w:rPr>
      </w:pPr>
      <w:bookmarkStart w:id="33" w:name="_Toc1004"/>
      <w:bookmarkStart w:id="34" w:name="_Toc179632551"/>
      <w:bookmarkStart w:id="35" w:name="_Toc45177807"/>
      <w:bookmarkStart w:id="36" w:name="_Toc144974502"/>
      <w:bookmarkStart w:id="37" w:name="_Toc152045534"/>
      <w:bookmarkStart w:id="38" w:name="_Toc152042310"/>
      <w:r>
        <w:rPr>
          <w:rFonts w:hint="eastAsia" w:ascii="宋体" w:hAnsi="宋体" w:eastAsia="宋体" w:cs="宋体"/>
          <w:sz w:val="21"/>
          <w:szCs w:val="21"/>
        </w:rPr>
        <w:t>1.4 供应商资格要求</w:t>
      </w:r>
      <w:bookmarkEnd w:id="33"/>
      <w:bookmarkEnd w:id="34"/>
      <w:bookmarkEnd w:id="35"/>
      <w:bookmarkEnd w:id="36"/>
      <w:bookmarkEnd w:id="37"/>
      <w:bookmarkEnd w:id="38"/>
    </w:p>
    <w:p w14:paraId="098924BE">
      <w:pPr>
        <w:spacing w:line="360" w:lineRule="auto"/>
        <w:ind w:firstLine="420" w:firstLineChars="200"/>
        <w:rPr>
          <w:rFonts w:hint="eastAsia" w:ascii="宋体" w:hAnsi="宋体" w:eastAsia="宋体" w:cs="宋体"/>
          <w:sz w:val="21"/>
          <w:szCs w:val="21"/>
        </w:rPr>
      </w:pPr>
      <w:bookmarkStart w:id="39" w:name="_Toc179632552"/>
      <w:bookmarkStart w:id="40" w:name="_Toc152045535"/>
      <w:bookmarkStart w:id="41" w:name="_Toc144974503"/>
      <w:bookmarkStart w:id="42" w:name="_Toc152042311"/>
      <w:bookmarkStart w:id="43" w:name="_Toc45177808"/>
      <w:r>
        <w:rPr>
          <w:rFonts w:hint="eastAsia" w:ascii="宋体" w:hAnsi="宋体" w:eastAsia="宋体" w:cs="宋体"/>
          <w:sz w:val="21"/>
          <w:szCs w:val="21"/>
        </w:rPr>
        <w:t>见供应商须知前附表</w:t>
      </w:r>
    </w:p>
    <w:p w14:paraId="4068854C">
      <w:pPr>
        <w:pStyle w:val="60"/>
        <w:spacing w:line="360" w:lineRule="auto"/>
        <w:rPr>
          <w:rFonts w:hint="eastAsia" w:ascii="宋体" w:hAnsi="宋体" w:eastAsia="宋体" w:cs="宋体"/>
          <w:sz w:val="21"/>
          <w:szCs w:val="21"/>
        </w:rPr>
      </w:pPr>
      <w:bookmarkStart w:id="44" w:name="_Toc31429"/>
      <w:r>
        <w:rPr>
          <w:rFonts w:hint="eastAsia" w:ascii="宋体" w:hAnsi="宋体" w:eastAsia="宋体" w:cs="宋体"/>
          <w:sz w:val="21"/>
          <w:szCs w:val="21"/>
        </w:rPr>
        <w:t>1.5 费用承担</w:t>
      </w:r>
      <w:bookmarkEnd w:id="39"/>
      <w:bookmarkEnd w:id="40"/>
      <w:bookmarkEnd w:id="41"/>
      <w:bookmarkEnd w:id="42"/>
      <w:bookmarkEnd w:id="43"/>
      <w:bookmarkEnd w:id="44"/>
    </w:p>
    <w:p w14:paraId="737371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供应商准备和参加投标活动发生的费用自理。</w:t>
      </w:r>
    </w:p>
    <w:p w14:paraId="78C3DB51">
      <w:pPr>
        <w:pStyle w:val="60"/>
        <w:spacing w:line="360" w:lineRule="auto"/>
        <w:rPr>
          <w:rFonts w:hint="eastAsia" w:ascii="宋体" w:hAnsi="宋体" w:eastAsia="宋体" w:cs="宋体"/>
          <w:sz w:val="21"/>
          <w:szCs w:val="21"/>
        </w:rPr>
      </w:pPr>
      <w:bookmarkStart w:id="45" w:name="_Toc45177809"/>
      <w:bookmarkStart w:id="46" w:name="_Toc144974504"/>
      <w:bookmarkStart w:id="47" w:name="_Toc179632553"/>
      <w:bookmarkStart w:id="48" w:name="_Toc152045536"/>
      <w:bookmarkStart w:id="49" w:name="_Toc152042312"/>
      <w:bookmarkStart w:id="50" w:name="_Toc19043"/>
      <w:r>
        <w:rPr>
          <w:rFonts w:hint="eastAsia" w:ascii="宋体" w:hAnsi="宋体" w:eastAsia="宋体" w:cs="宋体"/>
          <w:sz w:val="21"/>
          <w:szCs w:val="21"/>
        </w:rPr>
        <w:t>1.6 保密</w:t>
      </w:r>
      <w:bookmarkEnd w:id="45"/>
      <w:bookmarkEnd w:id="46"/>
      <w:bookmarkEnd w:id="47"/>
      <w:bookmarkEnd w:id="48"/>
      <w:bookmarkEnd w:id="49"/>
      <w:bookmarkEnd w:id="50"/>
    </w:p>
    <w:p w14:paraId="469A0B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参与招标投标活动的各方应对磋商文件和响应文件中的商业和技术等秘密保密，违者应对由此造成的后果承担法律责任。 </w:t>
      </w:r>
    </w:p>
    <w:p w14:paraId="2196845C">
      <w:pPr>
        <w:pStyle w:val="60"/>
        <w:spacing w:line="360" w:lineRule="auto"/>
        <w:rPr>
          <w:rFonts w:hint="eastAsia" w:ascii="宋体" w:hAnsi="宋体" w:eastAsia="宋体" w:cs="宋体"/>
          <w:sz w:val="21"/>
          <w:szCs w:val="21"/>
        </w:rPr>
      </w:pPr>
      <w:bookmarkStart w:id="51" w:name="_Toc144974505"/>
      <w:bookmarkStart w:id="52" w:name="_Toc152045537"/>
      <w:bookmarkStart w:id="53" w:name="_Toc179632554"/>
      <w:bookmarkStart w:id="54" w:name="_Toc27707"/>
      <w:bookmarkStart w:id="55" w:name="_Toc152042313"/>
      <w:bookmarkStart w:id="56" w:name="_Toc45177810"/>
      <w:r>
        <w:rPr>
          <w:rFonts w:hint="eastAsia" w:ascii="宋体" w:hAnsi="宋体" w:eastAsia="宋体" w:cs="宋体"/>
          <w:sz w:val="21"/>
          <w:szCs w:val="21"/>
        </w:rPr>
        <w:t>1.7 语言</w:t>
      </w:r>
      <w:bookmarkEnd w:id="51"/>
      <w:r>
        <w:rPr>
          <w:rFonts w:hint="eastAsia" w:ascii="宋体" w:hAnsi="宋体" w:eastAsia="宋体" w:cs="宋体"/>
          <w:sz w:val="21"/>
          <w:szCs w:val="21"/>
        </w:rPr>
        <w:t>文字</w:t>
      </w:r>
      <w:bookmarkEnd w:id="52"/>
      <w:bookmarkEnd w:id="53"/>
      <w:bookmarkEnd w:id="54"/>
      <w:bookmarkEnd w:id="55"/>
      <w:bookmarkEnd w:id="56"/>
    </w:p>
    <w:p w14:paraId="7616CC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除专用术语外，与招标投标有关的语言均使用中文。必要时专用术语应附有中文注释。</w:t>
      </w:r>
    </w:p>
    <w:p w14:paraId="3D581A9D">
      <w:pPr>
        <w:pStyle w:val="60"/>
        <w:spacing w:line="360" w:lineRule="auto"/>
        <w:rPr>
          <w:rFonts w:hint="eastAsia" w:ascii="宋体" w:hAnsi="宋体" w:eastAsia="宋体" w:cs="宋体"/>
          <w:sz w:val="21"/>
          <w:szCs w:val="21"/>
        </w:rPr>
      </w:pPr>
      <w:bookmarkStart w:id="57" w:name="_Toc152045538"/>
      <w:bookmarkStart w:id="58" w:name="_Toc3337"/>
      <w:bookmarkStart w:id="59" w:name="_Toc144974506"/>
      <w:bookmarkStart w:id="60" w:name="_Toc152042314"/>
      <w:bookmarkStart w:id="61" w:name="_Toc179632555"/>
      <w:bookmarkStart w:id="62" w:name="_Toc45177811"/>
      <w:r>
        <w:rPr>
          <w:rFonts w:hint="eastAsia" w:ascii="宋体" w:hAnsi="宋体" w:eastAsia="宋体" w:cs="宋体"/>
          <w:sz w:val="21"/>
          <w:szCs w:val="21"/>
        </w:rPr>
        <w:t>1.8 计量单位</w:t>
      </w:r>
      <w:bookmarkEnd w:id="57"/>
      <w:bookmarkEnd w:id="58"/>
      <w:bookmarkEnd w:id="59"/>
      <w:bookmarkEnd w:id="60"/>
      <w:bookmarkEnd w:id="61"/>
      <w:bookmarkEnd w:id="62"/>
    </w:p>
    <w:p w14:paraId="7C4FB9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所有计量均采用中华人民共和国法定计量单位。</w:t>
      </w:r>
    </w:p>
    <w:p w14:paraId="3940EB89">
      <w:pPr>
        <w:pStyle w:val="60"/>
        <w:spacing w:line="360" w:lineRule="auto"/>
        <w:rPr>
          <w:rFonts w:hint="eastAsia" w:ascii="宋体" w:hAnsi="宋体" w:eastAsia="宋体" w:cs="宋体"/>
          <w:sz w:val="21"/>
          <w:szCs w:val="21"/>
        </w:rPr>
      </w:pPr>
      <w:bookmarkStart w:id="63" w:name="_Toc152042315"/>
      <w:bookmarkStart w:id="64" w:name="_Toc152045539"/>
      <w:bookmarkStart w:id="65" w:name="_Toc45177812"/>
      <w:bookmarkStart w:id="66" w:name="_Toc144974507"/>
      <w:bookmarkStart w:id="67" w:name="_Toc179632556"/>
      <w:bookmarkStart w:id="68" w:name="_Toc11853"/>
      <w:r>
        <w:rPr>
          <w:rFonts w:hint="eastAsia" w:ascii="宋体" w:hAnsi="宋体" w:eastAsia="宋体" w:cs="宋体"/>
          <w:sz w:val="21"/>
          <w:szCs w:val="21"/>
        </w:rPr>
        <w:t>1.9 踏勘现场</w:t>
      </w:r>
      <w:bookmarkEnd w:id="63"/>
      <w:bookmarkEnd w:id="64"/>
      <w:bookmarkEnd w:id="65"/>
      <w:bookmarkEnd w:id="66"/>
      <w:bookmarkEnd w:id="67"/>
      <w:r>
        <w:rPr>
          <w:rFonts w:hint="eastAsia" w:ascii="宋体" w:hAnsi="宋体" w:eastAsia="宋体" w:cs="宋体"/>
          <w:sz w:val="21"/>
          <w:szCs w:val="21"/>
        </w:rPr>
        <w:t>(本项目不适用)</w:t>
      </w:r>
      <w:bookmarkEnd w:id="68"/>
    </w:p>
    <w:p w14:paraId="3244B3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1.9.1 供应商须知前附表规定组织踏勘现场的，采购人按供应商须知前附表规定的时间、地点组织供应商踏勘项目现场。 </w:t>
      </w:r>
    </w:p>
    <w:p w14:paraId="12EBB3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1.9.2 供应商踏勘现场发生的费用自理。</w:t>
      </w:r>
    </w:p>
    <w:p w14:paraId="5D0CB6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1.9.3 除采购人的原因外，供应商自行负责在踏勘现场中所发生的人员伤亡和财产损失。</w:t>
      </w:r>
    </w:p>
    <w:p w14:paraId="0D25B5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1.9.4 采购人在踏勘现场中介绍的工程场地和相关的周边环境情况，供供应商在编制响应文件时参考，采购人不对供应商据此作出的判断和决策负责。</w:t>
      </w:r>
    </w:p>
    <w:p w14:paraId="3B65F0EA">
      <w:pPr>
        <w:pStyle w:val="60"/>
        <w:spacing w:line="360" w:lineRule="auto"/>
        <w:rPr>
          <w:rFonts w:hint="eastAsia" w:ascii="宋体" w:hAnsi="宋体" w:eastAsia="宋体" w:cs="宋体"/>
          <w:sz w:val="21"/>
          <w:szCs w:val="21"/>
        </w:rPr>
      </w:pPr>
      <w:bookmarkStart w:id="69" w:name="_Toc152045540"/>
      <w:bookmarkStart w:id="70" w:name="_Toc152042316"/>
      <w:bookmarkStart w:id="71" w:name="_Toc179632557"/>
      <w:bookmarkStart w:id="72" w:name="_Toc144974508"/>
      <w:bookmarkStart w:id="73" w:name="_Toc45177813"/>
      <w:bookmarkStart w:id="74" w:name="_Toc15208"/>
      <w:r>
        <w:rPr>
          <w:rFonts w:hint="eastAsia" w:ascii="宋体" w:hAnsi="宋体" w:eastAsia="宋体" w:cs="宋体"/>
          <w:sz w:val="21"/>
          <w:szCs w:val="21"/>
        </w:rPr>
        <w:t>1.10 投标预备会</w:t>
      </w:r>
      <w:bookmarkEnd w:id="69"/>
      <w:bookmarkEnd w:id="70"/>
      <w:bookmarkEnd w:id="71"/>
      <w:bookmarkEnd w:id="72"/>
      <w:r>
        <w:rPr>
          <w:rFonts w:hint="eastAsia" w:ascii="宋体" w:hAnsi="宋体" w:eastAsia="宋体" w:cs="宋体"/>
          <w:b/>
          <w:sz w:val="21"/>
          <w:szCs w:val="21"/>
        </w:rPr>
        <w:t>(本项目不适用)</w:t>
      </w:r>
      <w:bookmarkEnd w:id="73"/>
      <w:bookmarkEnd w:id="74"/>
    </w:p>
    <w:p w14:paraId="12544E9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1.10.1 供应商须知前附表规定召开投标预备会的，采购人按供应商须知前附表规定的时间和地点召开投标预备会，澄清供应商提出的问题。</w:t>
      </w:r>
    </w:p>
    <w:p w14:paraId="0EBAE5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1.10.2 供应商应在供应商须知前附表规定的时间前，以书面形式将提出的问题送达采购人，以便采购人在会议期间澄清。</w:t>
      </w:r>
    </w:p>
    <w:p w14:paraId="5626B8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1.10.3 投标预备会后，采购人在供应商须知前附表规定的时间内，将对供应商所提问题的澄清，以书面方式通知所有购买磋商文件的供应商。该澄清内容为磋商文件的组成部分。</w:t>
      </w:r>
    </w:p>
    <w:p w14:paraId="28B0689A">
      <w:pPr>
        <w:pStyle w:val="60"/>
        <w:spacing w:line="360" w:lineRule="auto"/>
        <w:rPr>
          <w:rFonts w:hint="eastAsia" w:ascii="宋体" w:hAnsi="宋体" w:eastAsia="宋体" w:cs="宋体"/>
          <w:sz w:val="21"/>
          <w:szCs w:val="21"/>
        </w:rPr>
      </w:pPr>
      <w:bookmarkStart w:id="75" w:name="_Toc152042317"/>
      <w:bookmarkStart w:id="76" w:name="_Toc3479"/>
      <w:bookmarkStart w:id="77" w:name="_Toc152045541"/>
      <w:bookmarkStart w:id="78" w:name="_Toc144974509"/>
      <w:bookmarkStart w:id="79" w:name="_Toc45177814"/>
      <w:bookmarkStart w:id="80" w:name="_Toc179632558"/>
      <w:r>
        <w:rPr>
          <w:rFonts w:hint="eastAsia" w:ascii="宋体" w:hAnsi="宋体" w:eastAsia="宋体" w:cs="宋体"/>
          <w:sz w:val="21"/>
          <w:szCs w:val="21"/>
        </w:rPr>
        <w:t>1.11 分包</w:t>
      </w:r>
      <w:bookmarkEnd w:id="75"/>
      <w:bookmarkEnd w:id="76"/>
      <w:bookmarkEnd w:id="77"/>
      <w:bookmarkEnd w:id="78"/>
      <w:bookmarkEnd w:id="79"/>
      <w:bookmarkEnd w:id="80"/>
    </w:p>
    <w:p w14:paraId="159E7541">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成交人应按照合同约定履行义务完成中标项目，不得分包、转包，否则采购人有权取消其中标资格。</w:t>
      </w:r>
    </w:p>
    <w:p w14:paraId="1A7CDA5E">
      <w:pPr>
        <w:pStyle w:val="60"/>
        <w:spacing w:line="360" w:lineRule="auto"/>
        <w:rPr>
          <w:rFonts w:hint="eastAsia" w:ascii="宋体" w:hAnsi="宋体" w:eastAsia="宋体" w:cs="宋体"/>
          <w:sz w:val="21"/>
          <w:szCs w:val="21"/>
        </w:rPr>
      </w:pPr>
      <w:bookmarkStart w:id="81" w:name="_Toc1528"/>
      <w:bookmarkStart w:id="82" w:name="_Toc45177815"/>
      <w:bookmarkStart w:id="83" w:name="_Toc179632559"/>
      <w:r>
        <w:rPr>
          <w:rFonts w:hint="eastAsia" w:ascii="宋体" w:hAnsi="宋体" w:eastAsia="宋体" w:cs="宋体"/>
          <w:sz w:val="21"/>
          <w:szCs w:val="21"/>
        </w:rPr>
        <w:t>1.12 偏离</w:t>
      </w:r>
      <w:bookmarkEnd w:id="81"/>
      <w:bookmarkEnd w:id="82"/>
      <w:bookmarkEnd w:id="83"/>
    </w:p>
    <w:p w14:paraId="0C8339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供应商须知前附表允许响应文件偏离磋商文件某些要求的，偏离应当符合磋商文件规定的偏离范围和幅度。</w:t>
      </w:r>
    </w:p>
    <w:p w14:paraId="082E6E41">
      <w:pPr>
        <w:pStyle w:val="59"/>
        <w:spacing w:line="360" w:lineRule="auto"/>
        <w:rPr>
          <w:rFonts w:hint="eastAsia" w:ascii="宋体" w:hAnsi="宋体" w:eastAsia="宋体" w:cs="宋体"/>
          <w:b/>
          <w:bCs/>
          <w:sz w:val="21"/>
          <w:szCs w:val="21"/>
        </w:rPr>
      </w:pPr>
      <w:bookmarkStart w:id="84" w:name="_Toc20024"/>
      <w:bookmarkStart w:id="85" w:name="_Toc179632560"/>
      <w:bookmarkStart w:id="86" w:name="_Toc45177816"/>
      <w:bookmarkStart w:id="87" w:name="_Toc152042318"/>
      <w:bookmarkStart w:id="88" w:name="_Toc144974510"/>
      <w:bookmarkStart w:id="89" w:name="_Toc32183"/>
      <w:bookmarkStart w:id="90" w:name="_Toc152045542"/>
      <w:r>
        <w:rPr>
          <w:rFonts w:hint="eastAsia" w:ascii="宋体" w:hAnsi="宋体" w:eastAsia="宋体" w:cs="宋体"/>
          <w:b/>
          <w:bCs/>
          <w:sz w:val="21"/>
          <w:szCs w:val="21"/>
        </w:rPr>
        <w:t>2. 磋商文件</w:t>
      </w:r>
      <w:bookmarkEnd w:id="84"/>
      <w:bookmarkEnd w:id="85"/>
      <w:bookmarkEnd w:id="86"/>
      <w:bookmarkEnd w:id="87"/>
      <w:bookmarkEnd w:id="88"/>
      <w:bookmarkEnd w:id="89"/>
      <w:bookmarkEnd w:id="90"/>
    </w:p>
    <w:p w14:paraId="74C49D86">
      <w:pPr>
        <w:pStyle w:val="60"/>
        <w:spacing w:line="360" w:lineRule="auto"/>
        <w:rPr>
          <w:rFonts w:hint="eastAsia" w:ascii="宋体" w:hAnsi="宋体" w:eastAsia="宋体" w:cs="宋体"/>
          <w:sz w:val="21"/>
          <w:szCs w:val="21"/>
        </w:rPr>
      </w:pPr>
      <w:bookmarkStart w:id="91" w:name="_Toc45177817"/>
      <w:bookmarkStart w:id="92" w:name="_Toc179632561"/>
      <w:bookmarkStart w:id="93" w:name="_Toc144974511"/>
      <w:bookmarkStart w:id="94" w:name="_Toc10949"/>
      <w:bookmarkStart w:id="95" w:name="_Toc152042319"/>
      <w:bookmarkStart w:id="96" w:name="_Toc152045543"/>
      <w:r>
        <w:rPr>
          <w:rFonts w:hint="eastAsia" w:ascii="宋体" w:hAnsi="宋体" w:eastAsia="宋体" w:cs="宋体"/>
          <w:sz w:val="21"/>
          <w:szCs w:val="21"/>
        </w:rPr>
        <w:t>2.1 磋商文件的组成</w:t>
      </w:r>
      <w:bookmarkEnd w:id="91"/>
      <w:bookmarkEnd w:id="92"/>
      <w:bookmarkEnd w:id="93"/>
      <w:bookmarkEnd w:id="94"/>
      <w:bookmarkEnd w:id="95"/>
      <w:bookmarkEnd w:id="96"/>
    </w:p>
    <w:p w14:paraId="27BDDFF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本磋商文件包括：</w:t>
      </w:r>
    </w:p>
    <w:p w14:paraId="4E5609D9">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（1）磋商公告；</w:t>
      </w:r>
    </w:p>
    <w:p w14:paraId="70E865E0">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（2）供应商须知；</w:t>
      </w:r>
    </w:p>
    <w:p w14:paraId="2991F556">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（3）评标办法；</w:t>
      </w:r>
    </w:p>
    <w:p w14:paraId="058EBD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（4）合同条款及格式；</w:t>
      </w:r>
    </w:p>
    <w:p w14:paraId="3EA91C78">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（6）响应文件格式；</w:t>
      </w:r>
    </w:p>
    <w:p w14:paraId="6CC722B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根据本章第1.10款、第2.2款和第2.3款对磋商文件所作的澄清、修改，构成磋商文件的组成部分。</w:t>
      </w:r>
    </w:p>
    <w:p w14:paraId="247DA0A5">
      <w:pPr>
        <w:pStyle w:val="60"/>
        <w:spacing w:line="360" w:lineRule="auto"/>
        <w:rPr>
          <w:rFonts w:hint="eastAsia" w:ascii="宋体" w:hAnsi="宋体" w:eastAsia="宋体" w:cs="宋体"/>
          <w:sz w:val="21"/>
          <w:szCs w:val="21"/>
        </w:rPr>
      </w:pPr>
      <w:bookmarkStart w:id="97" w:name="_Toc45177818"/>
      <w:bookmarkStart w:id="98" w:name="_Toc152045544"/>
      <w:bookmarkStart w:id="99" w:name="_Toc152042320"/>
      <w:bookmarkStart w:id="100" w:name="_Toc485"/>
      <w:bookmarkStart w:id="101" w:name="_Toc144974512"/>
      <w:bookmarkStart w:id="102" w:name="_Toc179632562"/>
      <w:r>
        <w:rPr>
          <w:rFonts w:hint="eastAsia" w:ascii="宋体" w:hAnsi="宋体" w:eastAsia="宋体" w:cs="宋体"/>
          <w:sz w:val="21"/>
          <w:szCs w:val="21"/>
        </w:rPr>
        <w:t>2.2 磋商文件的澄清</w:t>
      </w:r>
      <w:bookmarkEnd w:id="97"/>
      <w:bookmarkEnd w:id="98"/>
      <w:bookmarkEnd w:id="99"/>
      <w:bookmarkEnd w:id="100"/>
      <w:bookmarkEnd w:id="101"/>
      <w:bookmarkEnd w:id="102"/>
    </w:p>
    <w:p w14:paraId="6FE9627B">
      <w:pPr>
        <w:spacing w:line="360" w:lineRule="auto"/>
        <w:ind w:firstLine="420" w:firstLineChars="200"/>
        <w:rPr>
          <w:rFonts w:hint="eastAsia" w:ascii="宋体" w:hAnsi="宋体" w:eastAsia="宋体" w:cs="宋体"/>
          <w:sz w:val="21"/>
          <w:szCs w:val="21"/>
        </w:rPr>
      </w:pPr>
      <w:bookmarkStart w:id="103" w:name="_Toc152045545"/>
      <w:bookmarkStart w:id="104" w:name="_Toc179632563"/>
      <w:bookmarkStart w:id="105" w:name="_Toc144974513"/>
      <w:bookmarkStart w:id="106" w:name="_Toc152042321"/>
      <w:r>
        <w:rPr>
          <w:rFonts w:hint="eastAsia" w:ascii="宋体" w:hAnsi="宋体" w:eastAsia="宋体" w:cs="宋体"/>
          <w:sz w:val="21"/>
          <w:szCs w:val="21"/>
        </w:rPr>
        <w:t>2.2.1供应商应仔细阅读和检查磋商文件的全部内容。如发现缺页或附件不全，应及时向采购人提出，以便补齐。如有疑问，应在供应商须知前附表规定的时间前通过平顶山市公共资源交易中心电子交易系统，要求采购人对磋商文件予以澄清。</w:t>
      </w:r>
    </w:p>
    <w:p w14:paraId="3AD740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磋商文件的澄清将在供应商须知前附表规定的投标截止时间5天前通过平顶山市公共资源交易中心电子交易系统发给所有购买磋商文件的供应商，但不指明澄清问题的来源。如果澄清发出的时间距投标截止时间不足5天，相应延长投标截止时间。</w:t>
      </w:r>
    </w:p>
    <w:p w14:paraId="120541E0">
      <w:pPr>
        <w:pStyle w:val="60"/>
        <w:spacing w:line="360" w:lineRule="auto"/>
        <w:rPr>
          <w:rFonts w:hint="eastAsia" w:ascii="宋体" w:hAnsi="宋体" w:eastAsia="宋体" w:cs="宋体"/>
          <w:sz w:val="21"/>
          <w:szCs w:val="21"/>
        </w:rPr>
      </w:pPr>
      <w:bookmarkStart w:id="107" w:name="_Toc20508"/>
      <w:bookmarkStart w:id="108" w:name="_Toc45177819"/>
      <w:r>
        <w:rPr>
          <w:rFonts w:hint="eastAsia" w:ascii="宋体" w:hAnsi="宋体" w:eastAsia="宋体" w:cs="宋体"/>
          <w:sz w:val="21"/>
          <w:szCs w:val="21"/>
        </w:rPr>
        <w:t>2.3 磋商文件的修改</w:t>
      </w:r>
      <w:bookmarkEnd w:id="103"/>
      <w:bookmarkEnd w:id="104"/>
      <w:bookmarkEnd w:id="105"/>
      <w:bookmarkEnd w:id="106"/>
      <w:bookmarkEnd w:id="107"/>
      <w:bookmarkEnd w:id="108"/>
    </w:p>
    <w:p w14:paraId="2D9571A1">
      <w:pPr>
        <w:spacing w:line="360" w:lineRule="auto"/>
        <w:ind w:firstLine="420" w:firstLineChars="200"/>
        <w:rPr>
          <w:rFonts w:hint="eastAsia" w:ascii="宋体" w:hAnsi="宋体" w:eastAsia="宋体" w:cs="宋体"/>
          <w:sz w:val="21"/>
          <w:szCs w:val="21"/>
        </w:rPr>
      </w:pPr>
      <w:bookmarkStart w:id="109" w:name="_Toc152042322"/>
      <w:bookmarkStart w:id="110" w:name="_Toc179632564"/>
      <w:bookmarkStart w:id="111" w:name="_Toc144974514"/>
      <w:bookmarkStart w:id="112" w:name="_Toc152045546"/>
      <w:r>
        <w:rPr>
          <w:rFonts w:hint="eastAsia" w:ascii="宋体" w:hAnsi="宋体" w:eastAsia="宋体" w:cs="宋体"/>
          <w:sz w:val="21"/>
          <w:szCs w:val="21"/>
        </w:rPr>
        <w:t xml:space="preserve">2.3.1 在投标截止时间5天前，采购人可以通过平顶山市公共资源交易中心电子交易系统修改磋商文件，并通知所有已购买磋商文件的供应商。如果修改磋商文件的时间距投标截止时间不足5天，相应延长投标截止时间。 </w:t>
      </w:r>
    </w:p>
    <w:p w14:paraId="4A657CFE">
      <w:pPr>
        <w:pStyle w:val="59"/>
        <w:spacing w:line="360" w:lineRule="auto"/>
        <w:rPr>
          <w:rFonts w:hint="eastAsia" w:ascii="宋体" w:hAnsi="宋体" w:eastAsia="宋体" w:cs="宋体"/>
          <w:b/>
          <w:bCs/>
          <w:sz w:val="21"/>
          <w:szCs w:val="21"/>
        </w:rPr>
      </w:pPr>
      <w:bookmarkStart w:id="113" w:name="_Toc24420"/>
      <w:bookmarkStart w:id="114" w:name="_Toc45177820"/>
      <w:bookmarkStart w:id="115" w:name="_Toc1185"/>
      <w:r>
        <w:rPr>
          <w:rFonts w:hint="eastAsia" w:ascii="宋体" w:hAnsi="宋体" w:eastAsia="宋体" w:cs="宋体"/>
          <w:b/>
          <w:bCs/>
          <w:sz w:val="21"/>
          <w:szCs w:val="21"/>
        </w:rPr>
        <w:t>3. 响应文件</w:t>
      </w:r>
      <w:bookmarkEnd w:id="109"/>
      <w:bookmarkEnd w:id="110"/>
      <w:bookmarkEnd w:id="111"/>
      <w:bookmarkEnd w:id="112"/>
      <w:bookmarkEnd w:id="113"/>
      <w:bookmarkEnd w:id="114"/>
      <w:bookmarkEnd w:id="115"/>
    </w:p>
    <w:p w14:paraId="1C4DF4C3">
      <w:pPr>
        <w:pStyle w:val="60"/>
        <w:spacing w:line="360" w:lineRule="auto"/>
        <w:rPr>
          <w:rFonts w:hint="eastAsia" w:ascii="宋体" w:hAnsi="宋体" w:eastAsia="宋体" w:cs="宋体"/>
          <w:sz w:val="21"/>
          <w:szCs w:val="21"/>
        </w:rPr>
      </w:pPr>
      <w:bookmarkStart w:id="116" w:name="_Toc152042323"/>
      <w:bookmarkStart w:id="117" w:name="_Toc45177821"/>
      <w:bookmarkStart w:id="118" w:name="_Toc179632565"/>
      <w:bookmarkStart w:id="119" w:name="_Toc144974515"/>
      <w:bookmarkStart w:id="120" w:name="_Toc9645"/>
      <w:bookmarkStart w:id="121" w:name="_Toc152045547"/>
      <w:r>
        <w:rPr>
          <w:rFonts w:hint="eastAsia" w:ascii="宋体" w:hAnsi="宋体" w:eastAsia="宋体" w:cs="宋体"/>
          <w:sz w:val="21"/>
          <w:szCs w:val="21"/>
        </w:rPr>
        <w:t>3.1 响应文件的组成</w:t>
      </w:r>
      <w:bookmarkEnd w:id="116"/>
      <w:bookmarkEnd w:id="117"/>
      <w:bookmarkEnd w:id="118"/>
      <w:bookmarkEnd w:id="119"/>
      <w:bookmarkEnd w:id="120"/>
      <w:bookmarkEnd w:id="121"/>
    </w:p>
    <w:p w14:paraId="441EC9B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3.1.1响应文件应包括下列内容：</w:t>
      </w:r>
    </w:p>
    <w:p w14:paraId="6A9A13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（1）磋商承诺书；</w:t>
      </w:r>
    </w:p>
    <w:p w14:paraId="5FFEF0B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（2）报价表；</w:t>
      </w:r>
    </w:p>
    <w:p w14:paraId="5DB3A0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（3）法定代表人身份证明；</w:t>
      </w:r>
    </w:p>
    <w:p w14:paraId="53643E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（4）法定代表人授权委托书；</w:t>
      </w:r>
    </w:p>
    <w:p w14:paraId="42E8D17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（5）资格审查资料；</w:t>
      </w:r>
    </w:p>
    <w:p w14:paraId="7DFC29E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（6）技术部分；</w:t>
      </w:r>
    </w:p>
    <w:p w14:paraId="4CA7AE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（7）其他材料。</w:t>
      </w:r>
    </w:p>
    <w:p w14:paraId="3100B3F3">
      <w:pPr>
        <w:spacing w:line="360" w:lineRule="auto"/>
        <w:ind w:firstLine="420" w:firstLineChars="200"/>
        <w:rPr>
          <w:rFonts w:hint="eastAsia" w:ascii="宋体" w:hAnsi="宋体" w:eastAsia="宋体" w:cs="宋体"/>
          <w:sz w:val="21"/>
          <w:szCs w:val="21"/>
        </w:rPr>
      </w:pPr>
      <w:bookmarkStart w:id="122" w:name="_Toc152042324"/>
      <w:bookmarkStart w:id="123" w:name="_Toc152045548"/>
      <w:bookmarkStart w:id="124" w:name="_Toc179632566"/>
      <w:bookmarkStart w:id="125" w:name="_Toc144974516"/>
      <w:r>
        <w:rPr>
          <w:rFonts w:hint="eastAsia" w:ascii="宋体" w:hAnsi="宋体" w:eastAsia="宋体" w:cs="宋体"/>
          <w:sz w:val="21"/>
          <w:szCs w:val="21"/>
        </w:rPr>
        <w:t>磋商供应商须对本项目要求的服务期限、质量、响应文件有效期作出实质性响应，必须保证其提供的相关资质证明文件的真实性、合法性、时效性，否则，磋商小组将不予推荐。报价部分是指磋商供应商响应采购项目要求而作出的书面报价明细。</w:t>
      </w:r>
    </w:p>
    <w:p w14:paraId="645797B8">
      <w:pPr>
        <w:pStyle w:val="60"/>
        <w:spacing w:line="360" w:lineRule="auto"/>
        <w:rPr>
          <w:rFonts w:hint="eastAsia" w:ascii="宋体" w:hAnsi="宋体" w:eastAsia="宋体" w:cs="宋体"/>
          <w:sz w:val="21"/>
          <w:szCs w:val="21"/>
        </w:rPr>
      </w:pPr>
      <w:bookmarkStart w:id="126" w:name="_Toc45177822"/>
      <w:bookmarkStart w:id="127" w:name="_Toc4257"/>
      <w:r>
        <w:rPr>
          <w:rFonts w:hint="eastAsia" w:ascii="宋体" w:hAnsi="宋体" w:eastAsia="宋体" w:cs="宋体"/>
          <w:sz w:val="21"/>
          <w:szCs w:val="21"/>
        </w:rPr>
        <w:t>3.2 投标报价</w:t>
      </w:r>
      <w:bookmarkEnd w:id="122"/>
      <w:bookmarkEnd w:id="123"/>
      <w:bookmarkEnd w:id="124"/>
      <w:bookmarkEnd w:id="125"/>
      <w:bookmarkEnd w:id="126"/>
      <w:bookmarkEnd w:id="127"/>
    </w:p>
    <w:p w14:paraId="54EFE145">
      <w:pPr>
        <w:spacing w:line="360" w:lineRule="auto"/>
        <w:ind w:firstLine="420" w:firstLineChars="200"/>
        <w:rPr>
          <w:rFonts w:hint="eastAsia" w:ascii="宋体" w:hAnsi="宋体" w:eastAsia="宋体" w:cs="宋体"/>
          <w:sz w:val="21"/>
          <w:szCs w:val="21"/>
        </w:rPr>
      </w:pPr>
      <w:bookmarkStart w:id="128" w:name="_Toc45177823"/>
      <w:bookmarkStart w:id="129" w:name="_Toc179632567"/>
      <w:bookmarkStart w:id="130" w:name="_Toc144974517"/>
      <w:bookmarkStart w:id="131" w:name="_Toc152045549"/>
      <w:bookmarkStart w:id="132" w:name="_Toc152042325"/>
      <w:r>
        <w:rPr>
          <w:rFonts w:hint="eastAsia" w:ascii="宋体" w:hAnsi="宋体" w:eastAsia="宋体" w:cs="宋体"/>
          <w:sz w:val="21"/>
          <w:szCs w:val="21"/>
        </w:rPr>
        <w:t>3.2.1本项目投标报价为完成采购内容的全部费用，本项目的投标报价为综合价格，所有招标文件中列出的及隐含的为完成合同所需要的一切责任和义务等费用都应在内，不再有报价以外的任何附加费用。未列入或者没有填写的项目费用视为已在相关项目的价格中。报价内容包括本次招标项目的所有成本、利润、税金、人员工资、食宿、交通、工具办公费、各种国家规定的保险费以及有关规定等一切相关费用。</w:t>
      </w:r>
    </w:p>
    <w:p w14:paraId="1374C7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3.2.2供应商所报的最终报价在合同执行过程中是固定不变的，不得以任何理由予以变更。任何包含价格调整的要求的投标，将被认为是非响应性投标而被拒绝。</w:t>
      </w:r>
    </w:p>
    <w:p w14:paraId="4AA626D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3.2.3供应商不得以低于成本的报价竞标，最低报价不作为中标的保证。</w:t>
      </w:r>
    </w:p>
    <w:p w14:paraId="3F09575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代理服务费：参照河南省招标投标协会关于印发《河南省招标代理服务收费指导意见》的通知豫招协[2023]002号文件为依据收取向中标人收取，由中标人在领取中标通知书时以现金或转账方式向采购代理机构缴纳。</w:t>
      </w:r>
    </w:p>
    <w:p w14:paraId="66FE9D49">
      <w:pPr>
        <w:pStyle w:val="60"/>
        <w:spacing w:line="360" w:lineRule="auto"/>
        <w:rPr>
          <w:rFonts w:hint="eastAsia" w:ascii="宋体" w:hAnsi="宋体" w:eastAsia="宋体" w:cs="宋体"/>
          <w:sz w:val="21"/>
          <w:szCs w:val="21"/>
        </w:rPr>
      </w:pPr>
      <w:bookmarkStart w:id="133" w:name="_Toc1996"/>
      <w:r>
        <w:rPr>
          <w:rFonts w:hint="eastAsia" w:ascii="宋体" w:hAnsi="宋体" w:eastAsia="宋体" w:cs="宋体"/>
          <w:sz w:val="21"/>
          <w:szCs w:val="21"/>
        </w:rPr>
        <w:t>3.3 投标有效期</w:t>
      </w:r>
      <w:bookmarkEnd w:id="128"/>
      <w:bookmarkEnd w:id="129"/>
      <w:bookmarkEnd w:id="130"/>
      <w:bookmarkEnd w:id="131"/>
      <w:bookmarkEnd w:id="132"/>
      <w:bookmarkEnd w:id="133"/>
    </w:p>
    <w:p w14:paraId="44CC14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 在供应商须知前附表规定的投标有效期内，供应商不得要求撤销或修改其响应文件。</w:t>
      </w:r>
    </w:p>
    <w:p w14:paraId="31A719A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3.3.2出现特殊情况需要延长投标有效期的，采购人以书面形式通知所有供应商延长投标有效期。供应商同意延长的，应相应延长其投标保证金的有效期，但不得要求或被允许修改或撤销其响应文件；供应商拒绝延长的，其投标失效，但供应商有权收回其投标保证金。 </w:t>
      </w:r>
    </w:p>
    <w:p w14:paraId="0EE65C54">
      <w:pPr>
        <w:pStyle w:val="60"/>
        <w:spacing w:line="360" w:lineRule="auto"/>
        <w:rPr>
          <w:rFonts w:hint="eastAsia" w:ascii="宋体" w:hAnsi="宋体" w:eastAsia="宋体" w:cs="宋体"/>
          <w:sz w:val="21"/>
          <w:szCs w:val="21"/>
        </w:rPr>
      </w:pPr>
      <w:bookmarkStart w:id="134" w:name="_Toc144974518"/>
      <w:bookmarkStart w:id="135" w:name="_Toc152042326"/>
      <w:bookmarkStart w:id="136" w:name="_Toc152045550"/>
      <w:bookmarkStart w:id="137" w:name="_Toc179632568"/>
      <w:bookmarkStart w:id="138" w:name="_Toc26086"/>
      <w:bookmarkStart w:id="139" w:name="_Toc45177824"/>
      <w:r>
        <w:rPr>
          <w:rFonts w:hint="eastAsia" w:ascii="宋体" w:hAnsi="宋体" w:eastAsia="宋体" w:cs="宋体"/>
          <w:sz w:val="21"/>
          <w:szCs w:val="21"/>
        </w:rPr>
        <w:t>3.4 投标保证金</w:t>
      </w:r>
      <w:bookmarkEnd w:id="134"/>
      <w:bookmarkEnd w:id="135"/>
      <w:bookmarkEnd w:id="136"/>
      <w:bookmarkEnd w:id="137"/>
      <w:r>
        <w:rPr>
          <w:rFonts w:hint="eastAsia" w:ascii="宋体" w:hAnsi="宋体" w:eastAsia="宋体" w:cs="宋体"/>
          <w:b/>
          <w:bCs/>
          <w:sz w:val="21"/>
          <w:szCs w:val="21"/>
        </w:rPr>
        <w:t>（本项目不适用）</w:t>
      </w:r>
      <w:bookmarkEnd w:id="138"/>
      <w:bookmarkEnd w:id="139"/>
    </w:p>
    <w:p w14:paraId="71DE6CE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本项目不收取。</w:t>
      </w:r>
    </w:p>
    <w:p w14:paraId="2215EF7D">
      <w:pPr>
        <w:pStyle w:val="60"/>
        <w:spacing w:line="360" w:lineRule="auto"/>
        <w:rPr>
          <w:rFonts w:hint="eastAsia" w:ascii="宋体" w:hAnsi="宋体" w:eastAsia="宋体" w:cs="宋体"/>
          <w:sz w:val="21"/>
          <w:szCs w:val="21"/>
        </w:rPr>
      </w:pPr>
      <w:bookmarkStart w:id="140" w:name="_Toc179632570"/>
      <w:bookmarkStart w:id="141" w:name="_Toc45177825"/>
      <w:bookmarkStart w:id="142" w:name="_Toc32184"/>
      <w:bookmarkStart w:id="143" w:name="_Toc152042328"/>
      <w:bookmarkStart w:id="144" w:name="_Toc144974520"/>
      <w:bookmarkStart w:id="145" w:name="_Toc152045552"/>
      <w:r>
        <w:rPr>
          <w:rFonts w:hint="eastAsia" w:ascii="宋体" w:hAnsi="宋体" w:eastAsia="宋体" w:cs="宋体"/>
          <w:sz w:val="21"/>
          <w:szCs w:val="21"/>
        </w:rPr>
        <w:t>3.5 资格审查资料</w:t>
      </w:r>
      <w:bookmarkEnd w:id="140"/>
      <w:bookmarkEnd w:id="141"/>
      <w:bookmarkEnd w:id="142"/>
      <w:bookmarkEnd w:id="143"/>
      <w:bookmarkEnd w:id="144"/>
      <w:bookmarkEnd w:id="145"/>
    </w:p>
    <w:p w14:paraId="6632F607">
      <w:pPr>
        <w:spacing w:line="360" w:lineRule="auto"/>
        <w:ind w:firstLine="420" w:firstLineChars="200"/>
        <w:rPr>
          <w:rFonts w:hint="eastAsia" w:ascii="宋体" w:hAnsi="宋体" w:eastAsia="宋体" w:cs="宋体"/>
          <w:sz w:val="21"/>
          <w:szCs w:val="21"/>
        </w:rPr>
      </w:pPr>
      <w:bookmarkStart w:id="146" w:name="_Toc144974521"/>
      <w:bookmarkStart w:id="147" w:name="_Toc152042329"/>
      <w:bookmarkStart w:id="148" w:name="_Toc179632571"/>
      <w:bookmarkStart w:id="149" w:name="_Toc152045553"/>
      <w:bookmarkStart w:id="150" w:name="_Toc45177826"/>
      <w:r>
        <w:rPr>
          <w:rFonts w:hint="eastAsia" w:ascii="宋体" w:hAnsi="宋体" w:eastAsia="宋体" w:cs="宋体"/>
          <w:sz w:val="21"/>
          <w:szCs w:val="21"/>
        </w:rPr>
        <w:t>见供应商须知前附表</w:t>
      </w:r>
    </w:p>
    <w:p w14:paraId="39E16D7C">
      <w:pPr>
        <w:pStyle w:val="60"/>
        <w:spacing w:line="360" w:lineRule="auto"/>
        <w:rPr>
          <w:rFonts w:hint="eastAsia" w:ascii="宋体" w:hAnsi="宋体" w:eastAsia="宋体" w:cs="宋体"/>
          <w:sz w:val="21"/>
          <w:szCs w:val="21"/>
        </w:rPr>
      </w:pPr>
      <w:bookmarkStart w:id="151" w:name="_Toc26896"/>
      <w:r>
        <w:rPr>
          <w:rFonts w:hint="eastAsia" w:ascii="宋体" w:hAnsi="宋体" w:eastAsia="宋体" w:cs="宋体"/>
          <w:sz w:val="21"/>
          <w:szCs w:val="21"/>
        </w:rPr>
        <w:t>3.6 备选投标方案</w:t>
      </w:r>
      <w:bookmarkEnd w:id="146"/>
      <w:bookmarkEnd w:id="147"/>
      <w:bookmarkEnd w:id="148"/>
      <w:bookmarkEnd w:id="149"/>
      <w:r>
        <w:rPr>
          <w:rFonts w:hint="eastAsia" w:ascii="宋体" w:hAnsi="宋体" w:eastAsia="宋体" w:cs="宋体"/>
          <w:b/>
          <w:sz w:val="21"/>
          <w:szCs w:val="21"/>
        </w:rPr>
        <w:t>（本项目不适用）</w:t>
      </w:r>
      <w:bookmarkEnd w:id="150"/>
      <w:bookmarkEnd w:id="151"/>
    </w:p>
    <w:p w14:paraId="1B3ACE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68ED474E">
      <w:pPr>
        <w:pStyle w:val="60"/>
        <w:spacing w:line="360" w:lineRule="auto"/>
        <w:outlineLvl w:val="9"/>
        <w:rPr>
          <w:rFonts w:hint="eastAsia" w:ascii="宋体" w:hAnsi="宋体" w:eastAsia="宋体" w:cs="宋体"/>
          <w:sz w:val="21"/>
          <w:szCs w:val="21"/>
        </w:rPr>
      </w:pPr>
      <w:bookmarkStart w:id="152" w:name="_Toc152045554"/>
      <w:bookmarkStart w:id="153" w:name="_Toc144974522"/>
      <w:bookmarkStart w:id="154" w:name="_Toc152042330"/>
      <w:bookmarkStart w:id="155" w:name="_Toc179632572"/>
      <w:bookmarkStart w:id="156" w:name="_Toc45177827"/>
      <w:r>
        <w:rPr>
          <w:rFonts w:hint="eastAsia" w:ascii="宋体" w:hAnsi="宋体" w:eastAsia="宋体" w:cs="宋体"/>
          <w:sz w:val="21"/>
          <w:szCs w:val="21"/>
        </w:rPr>
        <w:t>3.7 响应文件的编制</w:t>
      </w:r>
      <w:bookmarkEnd w:id="152"/>
      <w:bookmarkEnd w:id="153"/>
      <w:bookmarkEnd w:id="154"/>
      <w:bookmarkEnd w:id="155"/>
      <w:bookmarkEnd w:id="156"/>
    </w:p>
    <w:p w14:paraId="41503B4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3.7.1响应文件应按第六章“响应文件格式”进行编写，如有必要，可以增加附页，作为响应文件的组成部分。其中，投标函附录在满足磋商文件实质性要求的基础上，可以提出比磋商文件要求更有利于采购人的承诺。</w:t>
      </w:r>
    </w:p>
    <w:p w14:paraId="26474F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3.7.2 响应文件应当对磋商文件有关</w:t>
      </w:r>
      <w:r>
        <w:rPr>
          <w:rFonts w:hint="eastAsia" w:ascii="宋体" w:hAnsi="宋体" w:eastAsia="宋体" w:cs="宋体"/>
          <w:sz w:val="21"/>
          <w:szCs w:val="21"/>
          <w:lang w:val="en-US" w:eastAsia="zh-CN"/>
        </w:rPr>
        <w:t>服务期</w:t>
      </w:r>
      <w:r>
        <w:rPr>
          <w:rFonts w:hint="eastAsia" w:ascii="宋体" w:hAnsi="宋体" w:eastAsia="宋体" w:cs="宋体"/>
          <w:sz w:val="21"/>
          <w:szCs w:val="21"/>
        </w:rPr>
        <w:t>、投标有效期、质量要求等实质性内容作出响应，否则按无效标处理。</w:t>
      </w:r>
    </w:p>
    <w:p w14:paraId="20A14A32">
      <w:pPr>
        <w:spacing w:line="360" w:lineRule="auto"/>
        <w:ind w:firstLine="420" w:firstLineChars="200"/>
        <w:rPr>
          <w:rFonts w:hint="eastAsia" w:ascii="宋体" w:hAnsi="宋体" w:eastAsia="宋体" w:cs="宋体"/>
          <w:sz w:val="21"/>
          <w:szCs w:val="21"/>
        </w:rPr>
      </w:pPr>
      <w:bookmarkStart w:id="157" w:name="_Toc152042331"/>
      <w:bookmarkStart w:id="158" w:name="_Toc144974523"/>
      <w:bookmarkStart w:id="159" w:name="_Toc152045555"/>
      <w:bookmarkStart w:id="160" w:name="_Toc179632573"/>
      <w:r>
        <w:rPr>
          <w:rFonts w:hint="eastAsia" w:ascii="宋体" w:hAnsi="宋体" w:eastAsia="宋体" w:cs="宋体"/>
          <w:sz w:val="21"/>
          <w:szCs w:val="21"/>
        </w:rPr>
        <w:t>3.7.3供应商所上传的电子化响应文件，应是通过中心响应文件制作系统制作的，经过签章和加密后生成的电子版响应文件。生成的电子版响应文件包含用于响应文件上传的主文件（项目文件格式为：xxx公司_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项目名称.bin），备份文件主要用于电子化开标出现技术问题后的补救，请供应商随身携带。</w:t>
      </w:r>
    </w:p>
    <w:p w14:paraId="1E92EF97">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sz w:val="21"/>
          <w:szCs w:val="21"/>
        </w:rPr>
        <w:t>注：（1）供应商投报多个标段的，根据标段制作各个标段的响应文件后上传。</w:t>
      </w:r>
      <w:r>
        <w:rPr>
          <w:rFonts w:hint="eastAsia" w:ascii="宋体" w:hAnsi="宋体" w:eastAsia="宋体" w:cs="宋体"/>
          <w:b/>
          <w:bCs/>
          <w:sz w:val="21"/>
          <w:szCs w:val="21"/>
        </w:rPr>
        <w:t>（本项目不适用）</w:t>
      </w:r>
    </w:p>
    <w:p w14:paraId="15654934">
      <w:pPr>
        <w:pStyle w:val="59"/>
        <w:spacing w:line="360" w:lineRule="auto"/>
        <w:rPr>
          <w:rFonts w:hint="eastAsia" w:ascii="宋体" w:hAnsi="宋体" w:eastAsia="宋体" w:cs="宋体"/>
          <w:b/>
          <w:bCs/>
          <w:sz w:val="21"/>
          <w:szCs w:val="21"/>
        </w:rPr>
      </w:pPr>
      <w:bookmarkStart w:id="161" w:name="_Toc29454"/>
      <w:bookmarkStart w:id="162" w:name="_Toc4617"/>
      <w:bookmarkStart w:id="163" w:name="_Toc45177828"/>
      <w:r>
        <w:rPr>
          <w:rFonts w:hint="eastAsia" w:ascii="宋体" w:hAnsi="宋体" w:eastAsia="宋体" w:cs="宋体"/>
          <w:b/>
          <w:bCs/>
          <w:sz w:val="21"/>
          <w:szCs w:val="21"/>
        </w:rPr>
        <w:t>4. 投标</w:t>
      </w:r>
      <w:bookmarkEnd w:id="157"/>
      <w:bookmarkEnd w:id="158"/>
      <w:bookmarkEnd w:id="159"/>
      <w:bookmarkEnd w:id="160"/>
      <w:bookmarkEnd w:id="161"/>
      <w:bookmarkEnd w:id="162"/>
      <w:bookmarkEnd w:id="163"/>
    </w:p>
    <w:p w14:paraId="29C50718">
      <w:pPr>
        <w:pStyle w:val="60"/>
        <w:spacing w:line="360" w:lineRule="auto"/>
        <w:rPr>
          <w:rFonts w:hint="eastAsia" w:ascii="宋体" w:hAnsi="宋体" w:eastAsia="宋体" w:cs="宋体"/>
          <w:sz w:val="21"/>
          <w:szCs w:val="21"/>
        </w:rPr>
      </w:pPr>
      <w:bookmarkStart w:id="164" w:name="_Toc152045556"/>
      <w:bookmarkStart w:id="165" w:name="_Toc152042332"/>
      <w:bookmarkStart w:id="166" w:name="_Toc179632574"/>
      <w:bookmarkStart w:id="167" w:name="_Toc144974524"/>
      <w:bookmarkStart w:id="168" w:name="_Toc948"/>
      <w:bookmarkStart w:id="169" w:name="_Toc45177829"/>
      <w:r>
        <w:rPr>
          <w:rFonts w:hint="eastAsia" w:ascii="宋体" w:hAnsi="宋体" w:eastAsia="宋体" w:cs="宋体"/>
          <w:sz w:val="21"/>
          <w:szCs w:val="21"/>
        </w:rPr>
        <w:t>4.1 响应文件的</w:t>
      </w:r>
      <w:bookmarkEnd w:id="164"/>
      <w:bookmarkEnd w:id="165"/>
      <w:bookmarkEnd w:id="166"/>
      <w:bookmarkEnd w:id="167"/>
      <w:r>
        <w:rPr>
          <w:rFonts w:hint="eastAsia" w:ascii="宋体" w:hAnsi="宋体" w:eastAsia="宋体" w:cs="宋体"/>
          <w:sz w:val="21"/>
          <w:szCs w:val="21"/>
        </w:rPr>
        <w:t>递交</w:t>
      </w:r>
      <w:bookmarkEnd w:id="168"/>
      <w:bookmarkEnd w:id="169"/>
    </w:p>
    <w:p w14:paraId="4290C366">
      <w:pPr>
        <w:spacing w:line="360" w:lineRule="auto"/>
        <w:ind w:firstLine="420" w:firstLineChars="200"/>
        <w:rPr>
          <w:rFonts w:hint="eastAsia" w:ascii="宋体" w:hAnsi="宋体" w:eastAsia="宋体" w:cs="宋体"/>
          <w:sz w:val="21"/>
          <w:szCs w:val="21"/>
        </w:rPr>
      </w:pPr>
      <w:bookmarkStart w:id="170" w:name="_Toc144974525"/>
      <w:bookmarkStart w:id="171" w:name="_Toc247527583"/>
      <w:bookmarkStart w:id="172" w:name="_Toc152042333"/>
      <w:bookmarkStart w:id="173" w:name="_Toc247513982"/>
      <w:bookmarkStart w:id="174" w:name="_Toc300834979"/>
      <w:bookmarkStart w:id="175" w:name="_Toc152045557"/>
      <w:bookmarkStart w:id="176" w:name="_Toc179632575"/>
      <w:r>
        <w:rPr>
          <w:rFonts w:hint="eastAsia" w:ascii="宋体" w:hAnsi="宋体" w:eastAsia="宋体" w:cs="宋体"/>
          <w:sz w:val="21"/>
          <w:szCs w:val="21"/>
        </w:rPr>
        <w:t>电子化响应文件应在投标截止时间前成功上传至平顶山市公共资源电子化交易系统。至投标截止时间止，仍未上传成功的电子化响应文件将不予接收。</w:t>
      </w:r>
    </w:p>
    <w:p w14:paraId="059810E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bookmarkEnd w:id="170"/>
    <w:bookmarkEnd w:id="171"/>
    <w:bookmarkEnd w:id="172"/>
    <w:bookmarkEnd w:id="173"/>
    <w:bookmarkEnd w:id="174"/>
    <w:bookmarkEnd w:id="175"/>
    <w:bookmarkEnd w:id="176"/>
    <w:p w14:paraId="33E38B63">
      <w:pPr>
        <w:pStyle w:val="59"/>
        <w:spacing w:line="360" w:lineRule="auto"/>
        <w:rPr>
          <w:rFonts w:hint="eastAsia" w:ascii="宋体" w:hAnsi="宋体" w:eastAsia="宋体" w:cs="宋体"/>
          <w:b/>
          <w:bCs/>
          <w:sz w:val="21"/>
          <w:szCs w:val="21"/>
        </w:rPr>
      </w:pPr>
      <w:bookmarkStart w:id="177" w:name="_Toc179632577"/>
      <w:bookmarkStart w:id="178" w:name="_Toc152042335"/>
      <w:bookmarkStart w:id="179" w:name="_Toc1819"/>
      <w:bookmarkStart w:id="180" w:name="_Toc144974527"/>
      <w:bookmarkStart w:id="181" w:name="_Toc19918"/>
      <w:bookmarkStart w:id="182" w:name="_Toc152045559"/>
      <w:bookmarkStart w:id="183" w:name="_Toc45177830"/>
      <w:r>
        <w:rPr>
          <w:rFonts w:hint="eastAsia" w:ascii="宋体" w:hAnsi="宋体" w:eastAsia="宋体" w:cs="宋体"/>
          <w:b/>
          <w:bCs/>
          <w:sz w:val="21"/>
          <w:szCs w:val="21"/>
        </w:rPr>
        <w:t>5. 开标</w:t>
      </w:r>
      <w:bookmarkEnd w:id="177"/>
      <w:bookmarkEnd w:id="178"/>
      <w:bookmarkEnd w:id="179"/>
      <w:bookmarkEnd w:id="180"/>
      <w:bookmarkEnd w:id="181"/>
      <w:bookmarkEnd w:id="182"/>
      <w:bookmarkEnd w:id="183"/>
    </w:p>
    <w:p w14:paraId="13B8D2E9">
      <w:pPr>
        <w:pStyle w:val="60"/>
        <w:spacing w:line="360" w:lineRule="auto"/>
        <w:rPr>
          <w:rFonts w:hint="eastAsia" w:ascii="宋体" w:hAnsi="宋体" w:eastAsia="宋体" w:cs="宋体"/>
          <w:sz w:val="21"/>
          <w:szCs w:val="21"/>
        </w:rPr>
      </w:pPr>
      <w:bookmarkStart w:id="184" w:name="_Toc152045560"/>
      <w:bookmarkStart w:id="185" w:name="_Toc179632578"/>
      <w:bookmarkStart w:id="186" w:name="_Toc9100"/>
      <w:bookmarkStart w:id="187" w:name="_Toc144974528"/>
      <w:bookmarkStart w:id="188" w:name="_Toc152042336"/>
      <w:bookmarkStart w:id="189" w:name="_Toc45177831"/>
      <w:r>
        <w:rPr>
          <w:rFonts w:hint="eastAsia" w:ascii="宋体" w:hAnsi="宋体" w:eastAsia="宋体" w:cs="宋体"/>
          <w:sz w:val="21"/>
          <w:szCs w:val="21"/>
        </w:rPr>
        <w:t>5.1 开标时间和地点</w:t>
      </w:r>
      <w:bookmarkEnd w:id="184"/>
      <w:bookmarkEnd w:id="185"/>
      <w:bookmarkEnd w:id="186"/>
      <w:bookmarkEnd w:id="187"/>
      <w:bookmarkEnd w:id="188"/>
      <w:bookmarkEnd w:id="189"/>
    </w:p>
    <w:p w14:paraId="42DA0B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采购人在本章前附表第2.2.2项规定的投标截止时间（开标时间）和供应商须知前附表规定的地点开标。（</w:t>
      </w: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r>
        <w:rPr>
          <w:rFonts w:hint="eastAsia" w:ascii="宋体" w:hAnsi="宋体" w:eastAsia="宋体" w:cs="宋体"/>
          <w:sz w:val="21"/>
          <w:szCs w:val="21"/>
        </w:rPr>
        <w:t>）</w:t>
      </w:r>
    </w:p>
    <w:p w14:paraId="6DA49519">
      <w:pPr>
        <w:pStyle w:val="60"/>
        <w:spacing w:line="360" w:lineRule="auto"/>
        <w:rPr>
          <w:rFonts w:hint="eastAsia" w:ascii="宋体" w:hAnsi="宋体" w:eastAsia="宋体" w:cs="宋体"/>
          <w:sz w:val="21"/>
          <w:szCs w:val="21"/>
        </w:rPr>
      </w:pPr>
      <w:bookmarkStart w:id="190" w:name="_Toc152045561"/>
      <w:bookmarkStart w:id="191" w:name="_Toc152042337"/>
      <w:bookmarkStart w:id="192" w:name="_Toc179632579"/>
      <w:bookmarkStart w:id="193" w:name="_Toc45177832"/>
      <w:bookmarkStart w:id="194" w:name="_Toc144974529"/>
      <w:bookmarkStart w:id="195" w:name="_Toc19874"/>
      <w:r>
        <w:rPr>
          <w:rFonts w:hint="eastAsia" w:ascii="宋体" w:hAnsi="宋体" w:eastAsia="宋体" w:cs="宋体"/>
          <w:sz w:val="21"/>
          <w:szCs w:val="21"/>
        </w:rPr>
        <w:t>5.2 开标程序</w:t>
      </w:r>
      <w:bookmarkEnd w:id="190"/>
      <w:bookmarkEnd w:id="191"/>
      <w:bookmarkEnd w:id="192"/>
      <w:bookmarkEnd w:id="193"/>
      <w:bookmarkEnd w:id="194"/>
      <w:bookmarkEnd w:id="195"/>
    </w:p>
    <w:p w14:paraId="0EF53B77">
      <w:pPr>
        <w:spacing w:line="360" w:lineRule="auto"/>
        <w:ind w:firstLine="420" w:firstLineChars="200"/>
        <w:rPr>
          <w:rFonts w:hint="eastAsia" w:ascii="宋体" w:hAnsi="宋体" w:eastAsia="宋体" w:cs="宋体"/>
          <w:sz w:val="21"/>
          <w:szCs w:val="21"/>
        </w:rPr>
      </w:pPr>
      <w:bookmarkStart w:id="196" w:name="_Toc179632580"/>
      <w:bookmarkStart w:id="197" w:name="_Toc152042338"/>
      <w:bookmarkStart w:id="198" w:name="_Toc152045562"/>
      <w:bookmarkStart w:id="199" w:name="_Toc144974530"/>
      <w:r>
        <w:rPr>
          <w:rFonts w:hint="eastAsia" w:ascii="宋体" w:hAnsi="宋体" w:eastAsia="宋体" w:cs="宋体"/>
          <w:sz w:val="21"/>
          <w:szCs w:val="21"/>
        </w:rPr>
        <w:t>电子化项目开标、解密、唱标、评标</w:t>
      </w:r>
    </w:p>
    <w:p w14:paraId="270A5D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5.2.1电子化响应文件采用双重加密方式。开标时，首先由供应商使用CA证书，在规定时间内对其电子化响应文件进行首次解密，供应商解密完成后，再由中介服务机构使用CA证书对响应文件进行再次解密。</w:t>
      </w:r>
    </w:p>
    <w:p w14:paraId="53DEF7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5.2.2电子化响应文件解密异常的处理</w:t>
      </w:r>
    </w:p>
    <w:p w14:paraId="7879298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如出现供应商的电子响应文件无法解密的情况，供应商应及时联系中介服务机构说明。响应文件解密异常，按以下步骤进行处理：</w:t>
      </w:r>
    </w:p>
    <w:p w14:paraId="1749121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（1）首先由技术人员进行问题排查。</w:t>
      </w:r>
    </w:p>
    <w:p w14:paraId="714175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（2）经技术人员排查后，是供应商文件自身问题导致响应文件无法解密的，该响应文件将不予接收、解密和唱标，开标会议继续进行。</w:t>
      </w:r>
    </w:p>
    <w:p w14:paraId="490538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2BD4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5.2.3待所有供应商响应文件解密完成后，由中介服务机构操作，对所有已解密响应文件进行唱标。</w:t>
      </w:r>
    </w:p>
    <w:p w14:paraId="2723E84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5.2.4评标时，磋商小组对电子化响应文件有质疑的，将通过电子化交易系统对供应商发起质疑。质疑回复内容确认后，供应商的回复文件必须以经过供应商和其法定代表人签章的PDF格式文件为准，并通过电子化交易系统提交至磋商小组。</w:t>
      </w:r>
    </w:p>
    <w:p w14:paraId="11E191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5.2.5如磋商小组对需要回复的供应商回复内容有异议的，经过几次回复仍不清楚的，需在监督下进行免提电话进行质疑。</w:t>
      </w:r>
    </w:p>
    <w:p w14:paraId="20F987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5.2.6评标时如因系统异常、停电、电脑病毒、网络堵塞等原因无法正常进行的，由技术人员排查解决，短时间无法解决的，经监督部门同意后，暂停评标活动，待问题解决后继续评标。</w:t>
      </w:r>
    </w:p>
    <w:p w14:paraId="337E4EBE">
      <w:pPr>
        <w:pStyle w:val="59"/>
        <w:spacing w:line="360" w:lineRule="auto"/>
        <w:rPr>
          <w:rFonts w:hint="eastAsia" w:ascii="宋体" w:hAnsi="宋体" w:eastAsia="宋体" w:cs="宋体"/>
          <w:b/>
          <w:bCs/>
          <w:sz w:val="21"/>
          <w:szCs w:val="21"/>
        </w:rPr>
      </w:pPr>
      <w:bookmarkStart w:id="200" w:name="_Toc45177833"/>
      <w:bookmarkStart w:id="201" w:name="_Toc629"/>
      <w:bookmarkStart w:id="202" w:name="_Toc14114"/>
      <w:r>
        <w:rPr>
          <w:rFonts w:hint="eastAsia" w:ascii="宋体" w:hAnsi="宋体" w:eastAsia="宋体" w:cs="宋体"/>
          <w:b/>
          <w:bCs/>
          <w:sz w:val="21"/>
          <w:szCs w:val="21"/>
        </w:rPr>
        <w:t>6. 评标</w:t>
      </w:r>
      <w:bookmarkEnd w:id="196"/>
      <w:bookmarkEnd w:id="197"/>
      <w:bookmarkEnd w:id="198"/>
      <w:bookmarkEnd w:id="199"/>
      <w:bookmarkEnd w:id="200"/>
      <w:bookmarkEnd w:id="201"/>
      <w:bookmarkEnd w:id="202"/>
    </w:p>
    <w:p w14:paraId="29A8F7B5">
      <w:pPr>
        <w:pStyle w:val="60"/>
        <w:spacing w:line="360" w:lineRule="auto"/>
        <w:rPr>
          <w:rFonts w:hint="eastAsia" w:ascii="宋体" w:hAnsi="宋体" w:eastAsia="宋体" w:cs="宋体"/>
          <w:sz w:val="21"/>
          <w:szCs w:val="21"/>
        </w:rPr>
      </w:pPr>
      <w:bookmarkStart w:id="203" w:name="_Toc179632581"/>
      <w:bookmarkStart w:id="204" w:name="_Toc144974531"/>
      <w:bookmarkStart w:id="205" w:name="_Toc152042339"/>
      <w:bookmarkStart w:id="206" w:name="_Toc17991"/>
      <w:bookmarkStart w:id="207" w:name="_Toc152045563"/>
      <w:bookmarkStart w:id="208" w:name="_Toc45177834"/>
      <w:r>
        <w:rPr>
          <w:rFonts w:hint="eastAsia" w:ascii="宋体" w:hAnsi="宋体" w:eastAsia="宋体" w:cs="宋体"/>
          <w:sz w:val="21"/>
          <w:szCs w:val="21"/>
        </w:rPr>
        <w:t>6.1 磋商小组</w:t>
      </w:r>
      <w:bookmarkEnd w:id="203"/>
      <w:bookmarkEnd w:id="204"/>
      <w:bookmarkEnd w:id="205"/>
      <w:bookmarkEnd w:id="206"/>
      <w:bookmarkEnd w:id="207"/>
      <w:bookmarkEnd w:id="208"/>
    </w:p>
    <w:p w14:paraId="46C45E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6.1.1磋商小组由采购人代表和评审专家共3人以上单数组成，其中评审专家人数不得少于磋商小组成员总数的2/3，评审专家在相关专家库中随机抽取。（</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p w14:paraId="491ECD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6.1.2 磋商小组成员有下列情形之一的，应当回避：</w:t>
      </w:r>
    </w:p>
    <w:p w14:paraId="2727644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（1）采购人或供应商的主要负责人的近亲属；</w:t>
      </w:r>
    </w:p>
    <w:p w14:paraId="6AA0D7C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（2）项目主管部门或者行政监督部门的人员；</w:t>
      </w:r>
    </w:p>
    <w:p w14:paraId="15DE2474">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（3）与供应商有经济利益关系，可能影响对投标公正评审的；</w:t>
      </w:r>
    </w:p>
    <w:p w14:paraId="70DEFCE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（4）曾因在招标、评标以及其他与招标投标有关活动中从事违法行为而受过行政处罚或刑事处罚的。</w:t>
      </w:r>
    </w:p>
    <w:p w14:paraId="6F3459E5">
      <w:pPr>
        <w:pStyle w:val="60"/>
        <w:tabs>
          <w:tab w:val="left" w:pos="2620"/>
        </w:tabs>
        <w:spacing w:line="360" w:lineRule="auto"/>
        <w:rPr>
          <w:rFonts w:hint="eastAsia" w:ascii="宋体" w:hAnsi="宋体" w:eastAsia="宋体" w:cs="宋体"/>
          <w:sz w:val="21"/>
          <w:szCs w:val="21"/>
        </w:rPr>
      </w:pPr>
      <w:bookmarkStart w:id="209" w:name="_Toc144974532"/>
      <w:bookmarkStart w:id="210" w:name="_Toc27931"/>
      <w:bookmarkStart w:id="211" w:name="_Toc152045564"/>
      <w:bookmarkStart w:id="212" w:name="_Toc45177835"/>
      <w:bookmarkStart w:id="213" w:name="_Toc179632582"/>
      <w:bookmarkStart w:id="214" w:name="_Toc152042340"/>
      <w:r>
        <w:rPr>
          <w:rFonts w:hint="eastAsia" w:ascii="宋体" w:hAnsi="宋体" w:eastAsia="宋体" w:cs="宋体"/>
          <w:sz w:val="21"/>
          <w:szCs w:val="21"/>
        </w:rPr>
        <w:t>6.2 磋商原则</w:t>
      </w:r>
      <w:bookmarkEnd w:id="209"/>
      <w:bookmarkEnd w:id="210"/>
      <w:bookmarkEnd w:id="211"/>
      <w:bookmarkEnd w:id="212"/>
      <w:bookmarkEnd w:id="213"/>
      <w:bookmarkEnd w:id="214"/>
      <w:r>
        <w:rPr>
          <w:rFonts w:hint="eastAsia" w:ascii="宋体" w:hAnsi="宋体" w:eastAsia="宋体" w:cs="宋体"/>
          <w:sz w:val="21"/>
          <w:szCs w:val="21"/>
        </w:rPr>
        <w:tab/>
      </w:r>
    </w:p>
    <w:p w14:paraId="3DA264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6.2.1统一性原则：磋商小组将按照统一的磋商程序和磋商方法，用同一标准进行磋商；</w:t>
      </w:r>
    </w:p>
    <w:p w14:paraId="65443D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6.2.2独立性原则：磋商工作在磋商小组内部独立进行，不受外界任何因素的干扰和影响。磋商小组成员对出具的评审意见承担个人责任；</w:t>
      </w:r>
    </w:p>
    <w:p w14:paraId="197B55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6.2.3综合性原则：磋商小组将综合分析、评审磋商供应商的各项指标，磋商小组按照竞争性磋商文件规定的磋商办法和标准对各供应商进行综合评定；</w:t>
      </w:r>
    </w:p>
    <w:p w14:paraId="7953EAF4">
      <w:pPr>
        <w:spacing w:line="360" w:lineRule="auto"/>
        <w:ind w:firstLine="420" w:firstLineChars="200"/>
        <w:rPr>
          <w:rStyle w:val="81"/>
          <w:rFonts w:hint="eastAsia" w:ascii="宋体" w:hAnsi="宋体" w:eastAsia="宋体" w:cs="宋体"/>
          <w:sz w:val="21"/>
          <w:szCs w:val="21"/>
        </w:rPr>
      </w:pPr>
      <w:r>
        <w:rPr>
          <w:rFonts w:hint="eastAsia" w:ascii="宋体" w:hAnsi="宋体" w:eastAsia="宋体" w:cs="宋体"/>
          <w:sz w:val="21"/>
          <w:szCs w:val="21"/>
        </w:rPr>
        <w:t>6.2.4保密性原则：采购人或采</w:t>
      </w:r>
      <w:r>
        <w:rPr>
          <w:rStyle w:val="81"/>
          <w:rFonts w:hint="eastAsia" w:ascii="宋体" w:hAnsi="宋体" w:eastAsia="宋体" w:cs="宋体"/>
          <w:sz w:val="21"/>
          <w:szCs w:val="21"/>
        </w:rPr>
        <w:t>购代理机构将采取必要的措施，保证磋商在严格保密的情况下进行。</w:t>
      </w:r>
    </w:p>
    <w:p w14:paraId="48F69241">
      <w:pPr>
        <w:spacing w:line="360" w:lineRule="auto"/>
        <w:ind w:firstLine="420" w:firstLineChars="200"/>
        <w:rPr>
          <w:rStyle w:val="81"/>
          <w:rFonts w:hint="eastAsia" w:ascii="宋体" w:hAnsi="宋体" w:eastAsia="宋体" w:cs="宋体"/>
          <w:sz w:val="21"/>
          <w:szCs w:val="21"/>
        </w:rPr>
      </w:pPr>
      <w:r>
        <w:rPr>
          <w:rStyle w:val="81"/>
          <w:rFonts w:hint="eastAsia" w:ascii="宋体" w:hAnsi="宋体" w:eastAsia="宋体" w:cs="宋体"/>
          <w:sz w:val="21"/>
          <w:szCs w:val="21"/>
        </w:rPr>
        <w:t>6.2.5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2B980ACE">
      <w:pPr>
        <w:spacing w:line="360" w:lineRule="auto"/>
        <w:rPr>
          <w:rFonts w:hint="eastAsia" w:ascii="宋体" w:hAnsi="宋体" w:eastAsia="宋体" w:cs="宋体"/>
          <w:b/>
          <w:bCs/>
          <w:sz w:val="21"/>
          <w:szCs w:val="21"/>
        </w:rPr>
      </w:pPr>
      <w:bookmarkStart w:id="215" w:name="bookmark25"/>
      <w:r>
        <w:rPr>
          <w:rStyle w:val="83"/>
          <w:rFonts w:hint="eastAsia" w:ascii="宋体" w:hAnsi="宋体" w:eastAsia="宋体" w:cs="宋体"/>
          <w:b w:val="0"/>
          <w:bCs w:val="0"/>
          <w:sz w:val="21"/>
          <w:szCs w:val="21"/>
        </w:rPr>
        <w:t>6.3磋商程序、内容</w:t>
      </w:r>
      <w:bookmarkEnd w:id="215"/>
    </w:p>
    <w:p w14:paraId="2312291C">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6.3.1</w:t>
      </w:r>
      <w:r>
        <w:rPr>
          <w:rFonts w:hint="eastAsia" w:ascii="宋体" w:hAnsi="宋体" w:eastAsia="宋体" w:cs="宋体"/>
          <w:sz w:val="21"/>
          <w:szCs w:val="21"/>
          <w:lang w:val="en-US" w:eastAsia="zh-CN"/>
        </w:rPr>
        <w:t>二次磋商报价为网络报价，无需到达开标现场</w:t>
      </w:r>
      <w:r>
        <w:rPr>
          <w:rFonts w:hint="eastAsia" w:ascii="宋体" w:hAnsi="宋体" w:eastAsia="宋体" w:cs="宋体"/>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二次报价即为最终报价</w:t>
      </w:r>
      <w:r>
        <w:rPr>
          <w:rFonts w:hint="eastAsia" w:ascii="宋体" w:hAnsi="宋体" w:eastAsia="宋体" w:cs="宋体"/>
          <w:b/>
          <w:bCs/>
          <w:color w:val="auto"/>
          <w:sz w:val="21"/>
          <w:szCs w:val="21"/>
          <w:lang w:eastAsia="zh-CN"/>
        </w:rPr>
        <w:t>）</w:t>
      </w:r>
    </w:p>
    <w:p w14:paraId="09E4CB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6.3.2首次报价即响应文件中报价结束后，磋商小组要对各供应商的资格性、递交的响应文件的符合性进行审阅，以判定各供应商资格、响应文件的有效性，审阅结束后，确定进入最终报价磋商阶段的供应商名单；</w:t>
      </w:r>
    </w:p>
    <w:p w14:paraId="64AA839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F78A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w:t>
      </w:r>
    </w:p>
    <w:p w14:paraId="44247B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6.3.3磋商小组所有成员应当集中与单一供应商分别进行磋商，并给予所有参加磋商的供应商平等的磋商机会；</w:t>
      </w:r>
    </w:p>
    <w:p w14:paraId="4ACC0AB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14:paraId="450D1E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6.3.5磋商结束后，磋商小组应当要求所有实质性响应的供应商在规定时间内提交最后报价，提交最后报价的供应商不得少于3家，最后报价是供应商响应文件的有效组成部分;</w:t>
      </w:r>
    </w:p>
    <w:p w14:paraId="409EE4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6.3.6已提交响应文件的供应商，在提交最后报价之前，可以根据磋商情况退出磋商。采购人、采购代理机构应当退还退出磋商的供应商的磋商保证金；</w:t>
      </w:r>
    </w:p>
    <w:p w14:paraId="61752F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6.3.7经磋商确定最终采购需求和提交最后报价的供应商后，由磋商小组采用综合评分法对提交最后报价的供应商的响应文件和最后报价进行综合评分；</w:t>
      </w:r>
    </w:p>
    <w:p w14:paraId="083489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6.3.8磋商小组根据综合评分情况，按照评审得分由高到低顺序推荐3名成交候选供应商，并编写评审报告。评审得分相同的，按照最后报价由低到高的顺序推荐。评审得分且最后报价相同的，按照服务方案优劣顺序推荐；</w:t>
      </w:r>
    </w:p>
    <w:p w14:paraId="18AC9A2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6.3.9由采购人向成交方签发成交结果通知书；</w:t>
      </w:r>
    </w:p>
    <w:p w14:paraId="699817A2">
      <w:pPr>
        <w:pStyle w:val="33"/>
        <w:spacing w:line="360" w:lineRule="auto"/>
        <w:ind w:left="0" w:leftChars="0"/>
        <w:rPr>
          <w:rFonts w:hint="eastAsia" w:ascii="宋体" w:hAnsi="宋体" w:eastAsia="宋体" w:cs="宋体"/>
          <w:szCs w:val="21"/>
        </w:rPr>
      </w:pPr>
      <w:r>
        <w:rPr>
          <w:rFonts w:hint="eastAsia" w:ascii="宋体" w:hAnsi="宋体" w:eastAsia="宋体" w:cs="宋体"/>
          <w:szCs w:val="21"/>
        </w:rPr>
        <w:t>6.3.10供需双方签订服务合同。</w:t>
      </w:r>
    </w:p>
    <w:p w14:paraId="255A1845">
      <w:pPr>
        <w:pStyle w:val="59"/>
        <w:spacing w:line="360" w:lineRule="auto"/>
        <w:rPr>
          <w:rFonts w:hint="eastAsia" w:ascii="宋体" w:hAnsi="宋体" w:eastAsia="宋体" w:cs="宋体"/>
          <w:b/>
          <w:bCs/>
          <w:sz w:val="21"/>
          <w:szCs w:val="21"/>
        </w:rPr>
      </w:pPr>
      <w:bookmarkStart w:id="216" w:name="_Toc152045566"/>
      <w:bookmarkStart w:id="217" w:name="_Toc152042342"/>
      <w:bookmarkStart w:id="218" w:name="_Toc45177836"/>
      <w:bookmarkStart w:id="219" w:name="_Toc144974534"/>
      <w:bookmarkStart w:id="220" w:name="_Toc179632584"/>
      <w:bookmarkStart w:id="221" w:name="_Toc5699"/>
      <w:bookmarkStart w:id="222" w:name="_Toc10592"/>
      <w:r>
        <w:rPr>
          <w:rFonts w:hint="eastAsia" w:ascii="宋体" w:hAnsi="宋体" w:eastAsia="宋体" w:cs="宋体"/>
          <w:b/>
          <w:bCs/>
          <w:sz w:val="21"/>
          <w:szCs w:val="21"/>
        </w:rPr>
        <w:t>7. 合同授予</w:t>
      </w:r>
      <w:bookmarkEnd w:id="216"/>
      <w:bookmarkEnd w:id="217"/>
      <w:bookmarkEnd w:id="218"/>
      <w:bookmarkEnd w:id="219"/>
      <w:bookmarkEnd w:id="220"/>
      <w:bookmarkEnd w:id="221"/>
      <w:bookmarkEnd w:id="222"/>
    </w:p>
    <w:p w14:paraId="4E720F3C">
      <w:pPr>
        <w:pStyle w:val="60"/>
        <w:spacing w:line="360" w:lineRule="auto"/>
        <w:rPr>
          <w:rFonts w:hint="eastAsia" w:ascii="宋体" w:hAnsi="宋体" w:eastAsia="宋体" w:cs="宋体"/>
          <w:sz w:val="21"/>
          <w:szCs w:val="21"/>
        </w:rPr>
      </w:pPr>
      <w:bookmarkStart w:id="223" w:name="_Toc152042343"/>
      <w:bookmarkStart w:id="224" w:name="_Toc12944"/>
      <w:bookmarkStart w:id="225" w:name="_Toc152045567"/>
      <w:bookmarkStart w:id="226" w:name="_Toc45177837"/>
      <w:bookmarkStart w:id="227" w:name="_Toc144974535"/>
      <w:bookmarkStart w:id="228" w:name="_Toc179632585"/>
      <w:r>
        <w:rPr>
          <w:rFonts w:hint="eastAsia" w:ascii="宋体" w:hAnsi="宋体" w:eastAsia="宋体" w:cs="宋体"/>
          <w:sz w:val="21"/>
          <w:szCs w:val="21"/>
        </w:rPr>
        <w:t>7.1 定标方式</w:t>
      </w:r>
      <w:bookmarkEnd w:id="223"/>
      <w:bookmarkEnd w:id="224"/>
      <w:bookmarkEnd w:id="225"/>
      <w:bookmarkEnd w:id="226"/>
      <w:bookmarkEnd w:id="227"/>
      <w:bookmarkEnd w:id="228"/>
    </w:p>
    <w:p w14:paraId="7D18CB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除供应商须知前附表规定磋商小组直接确定成交人外，采购人依据磋商小组推荐的成交候选人确定成交人，磋商小组推荐成交候选人的人数见供应商须知前附表。</w:t>
      </w:r>
    </w:p>
    <w:p w14:paraId="438E330E">
      <w:pPr>
        <w:pStyle w:val="60"/>
        <w:spacing w:line="360" w:lineRule="auto"/>
        <w:rPr>
          <w:rFonts w:hint="eastAsia" w:ascii="宋体" w:hAnsi="宋体" w:eastAsia="宋体" w:cs="宋体"/>
          <w:sz w:val="21"/>
          <w:szCs w:val="21"/>
        </w:rPr>
      </w:pPr>
      <w:bookmarkStart w:id="229" w:name="_Toc1104"/>
      <w:bookmarkStart w:id="230" w:name="_Toc144974536"/>
      <w:bookmarkStart w:id="231" w:name="_Toc152042344"/>
      <w:bookmarkStart w:id="232" w:name="_Toc152045568"/>
      <w:bookmarkStart w:id="233" w:name="_Toc45177838"/>
      <w:bookmarkStart w:id="234" w:name="_Toc179632586"/>
      <w:r>
        <w:rPr>
          <w:rFonts w:hint="eastAsia" w:ascii="宋体" w:hAnsi="宋体" w:eastAsia="宋体" w:cs="宋体"/>
          <w:sz w:val="21"/>
          <w:szCs w:val="21"/>
        </w:rPr>
        <w:t>7.2 中标通知</w:t>
      </w:r>
      <w:bookmarkEnd w:id="229"/>
      <w:bookmarkEnd w:id="230"/>
      <w:bookmarkEnd w:id="231"/>
      <w:bookmarkEnd w:id="232"/>
      <w:bookmarkEnd w:id="233"/>
      <w:bookmarkEnd w:id="234"/>
    </w:p>
    <w:p w14:paraId="2A7D30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在本章第3.3款规定的投标有效期内，采购人以书面形式向成交人发出成交通知书，同时将成交结果通知未中标的供应商。</w:t>
      </w:r>
    </w:p>
    <w:p w14:paraId="59EAB670">
      <w:pPr>
        <w:pStyle w:val="60"/>
        <w:spacing w:line="360" w:lineRule="auto"/>
        <w:rPr>
          <w:rFonts w:hint="eastAsia" w:ascii="宋体" w:hAnsi="宋体" w:eastAsia="宋体" w:cs="宋体"/>
          <w:sz w:val="21"/>
          <w:szCs w:val="21"/>
        </w:rPr>
      </w:pPr>
      <w:bookmarkStart w:id="235" w:name="_Toc152042345"/>
      <w:bookmarkStart w:id="236" w:name="_Toc179632587"/>
      <w:bookmarkStart w:id="237" w:name="_Toc152045569"/>
      <w:bookmarkStart w:id="238" w:name="_Toc144974537"/>
      <w:bookmarkStart w:id="239" w:name="_Toc45177839"/>
      <w:bookmarkStart w:id="240" w:name="_Toc4423"/>
      <w:r>
        <w:rPr>
          <w:rFonts w:hint="eastAsia" w:ascii="宋体" w:hAnsi="宋体" w:eastAsia="宋体" w:cs="宋体"/>
          <w:sz w:val="21"/>
          <w:szCs w:val="21"/>
        </w:rPr>
        <w:t>7.3 履约担保</w:t>
      </w:r>
      <w:bookmarkEnd w:id="235"/>
      <w:bookmarkEnd w:id="236"/>
      <w:bookmarkEnd w:id="237"/>
      <w:bookmarkEnd w:id="238"/>
      <w:r>
        <w:rPr>
          <w:rFonts w:hint="eastAsia" w:ascii="宋体" w:hAnsi="宋体" w:eastAsia="宋体" w:cs="宋体"/>
          <w:b/>
          <w:sz w:val="21"/>
          <w:szCs w:val="21"/>
        </w:rPr>
        <w:t>（本项目不适用）</w:t>
      </w:r>
      <w:bookmarkEnd w:id="239"/>
      <w:bookmarkEnd w:id="240"/>
    </w:p>
    <w:p w14:paraId="799F16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7.3.1在签订合同前，成交人应按供应商须知前附表规定的金额、担保形式和磋商文件第四章“合同条款及格式”规定的履约担保格式向采购人提交履约担保，工程竣工后如无拖欠农民工工资情况即行退还。</w:t>
      </w:r>
    </w:p>
    <w:p w14:paraId="22DCAC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7.3.2 成交人不能按本章第7.3.1项要求提交履约担保的，视为放弃中标，其投标保证金不予退还。</w:t>
      </w:r>
    </w:p>
    <w:p w14:paraId="18A80BC8">
      <w:pPr>
        <w:pStyle w:val="60"/>
        <w:spacing w:line="360" w:lineRule="auto"/>
        <w:rPr>
          <w:rFonts w:hint="eastAsia" w:ascii="宋体" w:hAnsi="宋体" w:eastAsia="宋体" w:cs="宋体"/>
          <w:sz w:val="21"/>
          <w:szCs w:val="21"/>
        </w:rPr>
      </w:pPr>
      <w:bookmarkStart w:id="241" w:name="_Toc16681"/>
      <w:bookmarkStart w:id="242" w:name="_Toc45177840"/>
      <w:bookmarkStart w:id="243" w:name="_Toc144974538"/>
      <w:bookmarkStart w:id="244" w:name="_Toc179632588"/>
      <w:bookmarkStart w:id="245" w:name="_Toc152042346"/>
      <w:bookmarkStart w:id="246" w:name="_Toc152045570"/>
      <w:r>
        <w:rPr>
          <w:rFonts w:hint="eastAsia" w:ascii="宋体" w:hAnsi="宋体" w:eastAsia="宋体" w:cs="宋体"/>
          <w:sz w:val="21"/>
          <w:szCs w:val="21"/>
        </w:rPr>
        <w:t>7.4 签订合同</w:t>
      </w:r>
      <w:bookmarkEnd w:id="241"/>
      <w:bookmarkEnd w:id="242"/>
      <w:bookmarkEnd w:id="243"/>
      <w:bookmarkEnd w:id="244"/>
      <w:bookmarkEnd w:id="245"/>
      <w:bookmarkEnd w:id="246"/>
    </w:p>
    <w:p w14:paraId="1900B8F9">
      <w:pPr>
        <w:spacing w:line="36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7.4.1采购人和成交人应当自成交通知书发出之日起15天内（有新政策文件的执行新政策文件），根据磋商文件和成交人的响应文件订立书面合同。成交人无正当理由拒签合同的，采购人有权取消其中标资格，其投标保证金不予退还。给采购人造成的损失超过投标保证金数额的，成交人还应当对超过部分予以赔偿。</w:t>
      </w:r>
      <w:r>
        <w:rPr>
          <w:rFonts w:hint="eastAsia" w:ascii="宋体" w:hAnsi="宋体" w:eastAsia="宋体" w:cs="宋体"/>
          <w:b/>
          <w:sz w:val="21"/>
          <w:szCs w:val="21"/>
        </w:rPr>
        <w:t>成交人拒绝签订合同，或在签订合同后不按约定时间实施本项目，采购人有权取消其中标资格，按照评标委员会推荐成交候选人顺序确定其他供应商作为成交人并签订政府采购合同，也可以重新开展采购活动。拒绝签订政府采购合同的成交人不得参加对该项目重新开展的采购活动</w:t>
      </w:r>
      <w:r>
        <w:rPr>
          <w:rFonts w:hint="eastAsia" w:ascii="宋体" w:hAnsi="宋体" w:eastAsia="宋体" w:cs="宋体"/>
          <w:sz w:val="21"/>
          <w:szCs w:val="21"/>
        </w:rPr>
        <w:t>。</w:t>
      </w:r>
    </w:p>
    <w:p w14:paraId="072EEE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7.4.2 发出成交通知书后，采购人无正当理由拒签合同的，采购人向成交人退还投标保证金；给成交人造成损失的，还应当赔偿损失。 </w:t>
      </w:r>
    </w:p>
    <w:p w14:paraId="20563E7C">
      <w:pPr>
        <w:pStyle w:val="59"/>
        <w:spacing w:line="360" w:lineRule="auto"/>
        <w:rPr>
          <w:rFonts w:hint="eastAsia" w:ascii="宋体" w:hAnsi="宋体" w:eastAsia="宋体" w:cs="宋体"/>
          <w:b/>
          <w:bCs/>
          <w:sz w:val="21"/>
          <w:szCs w:val="21"/>
        </w:rPr>
      </w:pPr>
      <w:bookmarkStart w:id="247" w:name="_Toc179632589"/>
      <w:bookmarkStart w:id="248" w:name="_Toc45177841"/>
      <w:bookmarkStart w:id="249" w:name="_Toc152042347"/>
      <w:bookmarkStart w:id="250" w:name="_Toc21729"/>
      <w:bookmarkStart w:id="251" w:name="_Toc152045571"/>
      <w:bookmarkStart w:id="252" w:name="_Toc144974539"/>
      <w:bookmarkStart w:id="253" w:name="_Toc12198"/>
      <w:r>
        <w:rPr>
          <w:rFonts w:hint="eastAsia" w:ascii="宋体" w:hAnsi="宋体" w:eastAsia="宋体" w:cs="宋体"/>
          <w:b/>
          <w:bCs/>
          <w:sz w:val="21"/>
          <w:szCs w:val="21"/>
        </w:rPr>
        <w:t>8. 重新招标和不再招标</w:t>
      </w:r>
      <w:bookmarkEnd w:id="247"/>
      <w:bookmarkEnd w:id="248"/>
      <w:bookmarkEnd w:id="249"/>
      <w:bookmarkEnd w:id="250"/>
      <w:bookmarkEnd w:id="251"/>
      <w:bookmarkEnd w:id="252"/>
      <w:bookmarkEnd w:id="253"/>
    </w:p>
    <w:p w14:paraId="0E0F1314">
      <w:pPr>
        <w:pStyle w:val="60"/>
        <w:spacing w:line="360" w:lineRule="auto"/>
        <w:rPr>
          <w:rFonts w:hint="eastAsia" w:ascii="宋体" w:hAnsi="宋体" w:eastAsia="宋体" w:cs="宋体"/>
          <w:sz w:val="21"/>
          <w:szCs w:val="21"/>
        </w:rPr>
      </w:pPr>
      <w:bookmarkStart w:id="254" w:name="_Toc152045572"/>
      <w:bookmarkStart w:id="255" w:name="_Toc144974540"/>
      <w:bookmarkStart w:id="256" w:name="_Toc30865"/>
      <w:bookmarkStart w:id="257" w:name="_Toc152042348"/>
      <w:bookmarkStart w:id="258" w:name="_Toc179632590"/>
      <w:bookmarkStart w:id="259" w:name="_Toc45177842"/>
      <w:r>
        <w:rPr>
          <w:rFonts w:hint="eastAsia" w:ascii="宋体" w:hAnsi="宋体" w:eastAsia="宋体" w:cs="宋体"/>
          <w:sz w:val="21"/>
          <w:szCs w:val="21"/>
        </w:rPr>
        <w:t>8.1 重新招标</w:t>
      </w:r>
      <w:bookmarkEnd w:id="254"/>
      <w:bookmarkEnd w:id="255"/>
      <w:bookmarkEnd w:id="256"/>
      <w:bookmarkEnd w:id="257"/>
      <w:bookmarkEnd w:id="258"/>
      <w:bookmarkEnd w:id="259"/>
    </w:p>
    <w:p w14:paraId="303C46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有下列情形之一的，采购人将重新招标：</w:t>
      </w:r>
    </w:p>
    <w:p w14:paraId="51D09C9C">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（1）投标截止时间止，供应商少于3个的；</w:t>
      </w:r>
    </w:p>
    <w:p w14:paraId="7EA4C5DE">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（2）经磋商小组评审后否决所有投标的。</w:t>
      </w:r>
    </w:p>
    <w:p w14:paraId="06276E60">
      <w:pPr>
        <w:pStyle w:val="60"/>
        <w:spacing w:line="360" w:lineRule="auto"/>
        <w:rPr>
          <w:rFonts w:hint="eastAsia" w:ascii="宋体" w:hAnsi="宋体" w:eastAsia="宋体" w:cs="宋体"/>
          <w:sz w:val="21"/>
          <w:szCs w:val="21"/>
        </w:rPr>
      </w:pPr>
      <w:bookmarkStart w:id="260" w:name="_Toc22058"/>
      <w:bookmarkStart w:id="261" w:name="_Toc179632591"/>
      <w:bookmarkStart w:id="262" w:name="_Toc152042349"/>
      <w:bookmarkStart w:id="263" w:name="_Toc144974541"/>
      <w:bookmarkStart w:id="264" w:name="_Toc152045573"/>
      <w:bookmarkStart w:id="265" w:name="_Toc45177843"/>
      <w:r>
        <w:rPr>
          <w:rFonts w:hint="eastAsia" w:ascii="宋体" w:hAnsi="宋体" w:eastAsia="宋体" w:cs="宋体"/>
          <w:sz w:val="21"/>
          <w:szCs w:val="21"/>
        </w:rPr>
        <w:t>8.2 不再招标</w:t>
      </w:r>
      <w:bookmarkEnd w:id="260"/>
      <w:bookmarkEnd w:id="261"/>
      <w:bookmarkEnd w:id="262"/>
      <w:bookmarkEnd w:id="263"/>
      <w:bookmarkEnd w:id="264"/>
      <w:bookmarkEnd w:id="265"/>
    </w:p>
    <w:p w14:paraId="1DAC412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重新招标后供应商仍少于3个或者所有投标被否决的。</w:t>
      </w:r>
    </w:p>
    <w:p w14:paraId="28EDBD88">
      <w:pPr>
        <w:pStyle w:val="59"/>
        <w:spacing w:line="360" w:lineRule="auto"/>
        <w:rPr>
          <w:rFonts w:hint="eastAsia" w:ascii="宋体" w:hAnsi="宋体" w:eastAsia="宋体" w:cs="宋体"/>
          <w:b/>
          <w:bCs/>
          <w:sz w:val="21"/>
          <w:szCs w:val="21"/>
        </w:rPr>
      </w:pPr>
      <w:bookmarkStart w:id="266" w:name="_Toc45177844"/>
      <w:bookmarkStart w:id="267" w:name="_Toc29650"/>
      <w:bookmarkStart w:id="268" w:name="_Toc152045574"/>
      <w:bookmarkStart w:id="269" w:name="_Toc6642"/>
      <w:bookmarkStart w:id="270" w:name="_Toc144974542"/>
      <w:bookmarkStart w:id="271" w:name="_Toc179632592"/>
      <w:bookmarkStart w:id="272" w:name="_Toc152042350"/>
      <w:r>
        <w:rPr>
          <w:rFonts w:hint="eastAsia" w:ascii="宋体" w:hAnsi="宋体" w:eastAsia="宋体" w:cs="宋体"/>
          <w:b/>
          <w:bCs/>
          <w:sz w:val="21"/>
          <w:szCs w:val="21"/>
        </w:rPr>
        <w:t>9. 纪律和监督</w:t>
      </w:r>
      <w:bookmarkEnd w:id="266"/>
      <w:bookmarkEnd w:id="267"/>
      <w:bookmarkEnd w:id="268"/>
      <w:bookmarkEnd w:id="269"/>
      <w:bookmarkEnd w:id="270"/>
      <w:bookmarkEnd w:id="271"/>
      <w:bookmarkEnd w:id="272"/>
    </w:p>
    <w:p w14:paraId="4A519079">
      <w:pPr>
        <w:pStyle w:val="60"/>
        <w:spacing w:line="360" w:lineRule="auto"/>
        <w:rPr>
          <w:rFonts w:hint="eastAsia" w:ascii="宋体" w:hAnsi="宋体" w:eastAsia="宋体" w:cs="宋体"/>
          <w:sz w:val="21"/>
          <w:szCs w:val="21"/>
        </w:rPr>
      </w:pPr>
      <w:bookmarkStart w:id="273" w:name="_Toc144974543"/>
      <w:bookmarkStart w:id="274" w:name="_Toc1583"/>
      <w:bookmarkStart w:id="275" w:name="_Toc179632593"/>
      <w:bookmarkStart w:id="276" w:name="_Toc152042351"/>
      <w:bookmarkStart w:id="277" w:name="_Toc152045575"/>
      <w:bookmarkStart w:id="278" w:name="_Toc45177845"/>
      <w:r>
        <w:rPr>
          <w:rFonts w:hint="eastAsia" w:ascii="宋体" w:hAnsi="宋体" w:eastAsia="宋体" w:cs="宋体"/>
          <w:sz w:val="21"/>
          <w:szCs w:val="21"/>
        </w:rPr>
        <w:t>9.1 对采购人的纪律要求</w:t>
      </w:r>
      <w:bookmarkEnd w:id="273"/>
      <w:bookmarkEnd w:id="274"/>
      <w:bookmarkEnd w:id="275"/>
      <w:bookmarkEnd w:id="276"/>
      <w:bookmarkEnd w:id="277"/>
      <w:bookmarkEnd w:id="278"/>
    </w:p>
    <w:p w14:paraId="63F824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采购人不得泄漏招标投标活动中应当保密的情况和资料，不得与供应商串通损害国家利益、社会公共利益或者他人合法权益。</w:t>
      </w:r>
    </w:p>
    <w:p w14:paraId="3D4DB15E">
      <w:pPr>
        <w:pStyle w:val="60"/>
        <w:spacing w:line="360" w:lineRule="auto"/>
        <w:rPr>
          <w:rFonts w:hint="eastAsia" w:ascii="宋体" w:hAnsi="宋体" w:eastAsia="宋体" w:cs="宋体"/>
          <w:sz w:val="21"/>
          <w:szCs w:val="21"/>
        </w:rPr>
      </w:pPr>
      <w:bookmarkStart w:id="279" w:name="_Toc45177846"/>
      <w:bookmarkStart w:id="280" w:name="_Toc144974544"/>
      <w:bookmarkStart w:id="281" w:name="_Toc179632594"/>
      <w:bookmarkStart w:id="282" w:name="_Toc152042352"/>
      <w:bookmarkStart w:id="283" w:name="_Toc8461"/>
      <w:bookmarkStart w:id="284" w:name="_Toc152045576"/>
      <w:r>
        <w:rPr>
          <w:rFonts w:hint="eastAsia" w:ascii="宋体" w:hAnsi="宋体" w:eastAsia="宋体" w:cs="宋体"/>
          <w:sz w:val="21"/>
          <w:szCs w:val="21"/>
        </w:rPr>
        <w:t>9.2 对供应商的纪律要求</w:t>
      </w:r>
      <w:bookmarkEnd w:id="279"/>
      <w:bookmarkEnd w:id="280"/>
      <w:bookmarkEnd w:id="281"/>
      <w:bookmarkEnd w:id="282"/>
      <w:bookmarkEnd w:id="283"/>
      <w:bookmarkEnd w:id="284"/>
    </w:p>
    <w:p w14:paraId="542F02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3396957B">
      <w:pPr>
        <w:pStyle w:val="60"/>
        <w:spacing w:line="360" w:lineRule="auto"/>
        <w:rPr>
          <w:rFonts w:hint="eastAsia" w:ascii="宋体" w:hAnsi="宋体" w:eastAsia="宋体" w:cs="宋体"/>
          <w:sz w:val="21"/>
          <w:szCs w:val="21"/>
        </w:rPr>
      </w:pPr>
      <w:bookmarkStart w:id="285" w:name="_Toc45177847"/>
      <w:bookmarkStart w:id="286" w:name="_Toc152045577"/>
      <w:bookmarkStart w:id="287" w:name="_Toc24265"/>
      <w:bookmarkStart w:id="288" w:name="_Toc179632595"/>
      <w:bookmarkStart w:id="289" w:name="_Toc152042353"/>
      <w:bookmarkStart w:id="290" w:name="_Toc144974545"/>
      <w:r>
        <w:rPr>
          <w:rFonts w:hint="eastAsia" w:ascii="宋体" w:hAnsi="宋体" w:eastAsia="宋体" w:cs="宋体"/>
          <w:sz w:val="21"/>
          <w:szCs w:val="21"/>
        </w:rPr>
        <w:t>9.3 对磋商小组成员的纪律要求</w:t>
      </w:r>
      <w:bookmarkEnd w:id="285"/>
      <w:bookmarkEnd w:id="286"/>
      <w:bookmarkEnd w:id="287"/>
      <w:bookmarkEnd w:id="288"/>
      <w:bookmarkEnd w:id="289"/>
      <w:bookmarkEnd w:id="290"/>
    </w:p>
    <w:p w14:paraId="3BDEAC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成员不得收受他人的财物或者其他好处，不得向他人透漏对响应文件的评审和比较、中标候选人的推荐情况以及评标有关的其他情况。在评标活动中，磋商小组成员不得擅离职守，影响评标程序正常进行，不得使用第三章“评标办法”没有规定的评审因素和标准进行评标。</w:t>
      </w:r>
    </w:p>
    <w:p w14:paraId="6E8248B9">
      <w:pPr>
        <w:pStyle w:val="60"/>
        <w:spacing w:line="360" w:lineRule="auto"/>
        <w:rPr>
          <w:rFonts w:hint="eastAsia" w:ascii="宋体" w:hAnsi="宋体" w:eastAsia="宋体" w:cs="宋体"/>
          <w:sz w:val="21"/>
          <w:szCs w:val="21"/>
        </w:rPr>
      </w:pPr>
      <w:bookmarkStart w:id="291" w:name="_Toc45177848"/>
      <w:bookmarkStart w:id="292" w:name="_Toc152045578"/>
      <w:bookmarkStart w:id="293" w:name="_Toc11778"/>
      <w:bookmarkStart w:id="294" w:name="_Toc179632596"/>
      <w:bookmarkStart w:id="295" w:name="_Toc152042354"/>
      <w:bookmarkStart w:id="296" w:name="_Toc144974546"/>
      <w:r>
        <w:rPr>
          <w:rFonts w:hint="eastAsia" w:ascii="宋体" w:hAnsi="宋体" w:eastAsia="宋体" w:cs="宋体"/>
          <w:sz w:val="21"/>
          <w:szCs w:val="21"/>
        </w:rPr>
        <w:t>9.4 对与评标活动有关的工作人员的纪律要求</w:t>
      </w:r>
      <w:bookmarkEnd w:id="291"/>
      <w:bookmarkEnd w:id="292"/>
      <w:bookmarkEnd w:id="293"/>
      <w:bookmarkEnd w:id="294"/>
      <w:bookmarkEnd w:id="295"/>
    </w:p>
    <w:p w14:paraId="20C4EA5F">
      <w:pPr>
        <w:spacing w:line="360" w:lineRule="auto"/>
        <w:ind w:firstLine="420" w:firstLineChars="200"/>
        <w:rPr>
          <w:rFonts w:hint="eastAsia" w:ascii="宋体" w:hAnsi="宋体" w:eastAsia="宋体" w:cs="宋体"/>
          <w:sz w:val="21"/>
          <w:szCs w:val="21"/>
        </w:rPr>
      </w:pPr>
      <w:bookmarkStart w:id="297" w:name="_Toc152042355"/>
      <w:r>
        <w:rPr>
          <w:rFonts w:hint="eastAsia" w:ascii="宋体" w:hAnsi="宋体" w:eastAsia="宋体" w:cs="宋体"/>
          <w:sz w:val="21"/>
          <w:szCs w:val="21"/>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297"/>
    </w:p>
    <w:p w14:paraId="3EA866DD">
      <w:pPr>
        <w:pStyle w:val="60"/>
        <w:spacing w:line="360" w:lineRule="auto"/>
        <w:rPr>
          <w:rFonts w:hint="eastAsia" w:ascii="宋体" w:hAnsi="宋体" w:eastAsia="宋体" w:cs="宋体"/>
          <w:sz w:val="21"/>
          <w:szCs w:val="21"/>
        </w:rPr>
      </w:pPr>
      <w:bookmarkStart w:id="298" w:name="_Toc179632597"/>
      <w:bookmarkStart w:id="299" w:name="_Toc152042356"/>
      <w:bookmarkStart w:id="300" w:name="_Toc19644"/>
      <w:bookmarkStart w:id="301" w:name="_Toc152045579"/>
      <w:bookmarkStart w:id="302" w:name="_Toc45177849"/>
      <w:r>
        <w:rPr>
          <w:rFonts w:hint="eastAsia" w:ascii="宋体" w:hAnsi="宋体" w:eastAsia="宋体" w:cs="宋体"/>
          <w:sz w:val="21"/>
          <w:szCs w:val="21"/>
        </w:rPr>
        <w:t>9.5 投诉</w:t>
      </w:r>
      <w:bookmarkEnd w:id="296"/>
      <w:bookmarkEnd w:id="298"/>
      <w:bookmarkEnd w:id="299"/>
      <w:bookmarkEnd w:id="300"/>
      <w:bookmarkEnd w:id="301"/>
      <w:bookmarkEnd w:id="302"/>
    </w:p>
    <w:p w14:paraId="5845C1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供应商和其他利害关系人认为本次招标活动违反法律、法规和规章规定的，有权向有关行政监督部门投诉。</w:t>
      </w:r>
    </w:p>
    <w:p w14:paraId="031A2AC4">
      <w:pPr>
        <w:pStyle w:val="59"/>
        <w:spacing w:line="360" w:lineRule="auto"/>
        <w:rPr>
          <w:rFonts w:hint="eastAsia" w:ascii="宋体" w:hAnsi="宋体" w:eastAsia="宋体" w:cs="宋体"/>
          <w:b/>
          <w:bCs/>
          <w:sz w:val="21"/>
          <w:szCs w:val="21"/>
        </w:rPr>
      </w:pPr>
      <w:bookmarkStart w:id="303" w:name="_Toc45177850"/>
      <w:bookmarkStart w:id="304" w:name="_Toc152045580"/>
      <w:bookmarkStart w:id="305" w:name="_Toc22818"/>
      <w:bookmarkStart w:id="306" w:name="_Toc179632598"/>
      <w:bookmarkStart w:id="307" w:name="_Toc6729"/>
      <w:bookmarkStart w:id="308" w:name="_Toc144974547"/>
      <w:bookmarkStart w:id="309" w:name="_Toc152042357"/>
      <w:r>
        <w:rPr>
          <w:rFonts w:hint="eastAsia" w:ascii="宋体" w:hAnsi="宋体" w:eastAsia="宋体" w:cs="宋体"/>
          <w:b/>
          <w:bCs/>
          <w:sz w:val="21"/>
          <w:szCs w:val="21"/>
        </w:rPr>
        <w:t>10. 需要补充的其他内容</w:t>
      </w:r>
      <w:bookmarkEnd w:id="303"/>
      <w:bookmarkEnd w:id="304"/>
      <w:bookmarkEnd w:id="305"/>
      <w:bookmarkEnd w:id="306"/>
      <w:bookmarkEnd w:id="307"/>
      <w:bookmarkEnd w:id="308"/>
      <w:bookmarkEnd w:id="309"/>
    </w:p>
    <w:p w14:paraId="19302FC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需要补充的其他内容：见供应商须知前附表。</w:t>
      </w:r>
    </w:p>
    <w:p w14:paraId="0899DE95">
      <w:pPr>
        <w:rPr>
          <w:rFonts w:hint="eastAsia" w:ascii="宋体" w:hAnsi="宋体" w:eastAsia="宋体" w:cs="宋体"/>
          <w:sz w:val="21"/>
          <w:szCs w:val="21"/>
        </w:rPr>
      </w:pPr>
    </w:p>
    <w:p w14:paraId="0ACC7613">
      <w:pPr>
        <w:spacing w:line="400" w:lineRule="exact"/>
        <w:rPr>
          <w:rFonts w:hint="eastAsia" w:ascii="宋体" w:hAnsi="宋体" w:eastAsia="宋体" w:cs="宋体"/>
          <w:sz w:val="21"/>
          <w:szCs w:val="21"/>
        </w:rPr>
      </w:pPr>
      <w:r>
        <w:rPr>
          <w:rFonts w:hint="eastAsia" w:ascii="宋体" w:hAnsi="宋体" w:eastAsia="宋体" w:cs="宋体"/>
          <w:sz w:val="21"/>
          <w:szCs w:val="21"/>
        </w:rPr>
        <w:br w:type="page"/>
      </w:r>
    </w:p>
    <w:p w14:paraId="5F04339E">
      <w:pPr>
        <w:jc w:val="center"/>
        <w:outlineLvl w:val="0"/>
        <w:rPr>
          <w:rFonts w:hint="eastAsia" w:ascii="宋体" w:hAnsi="宋体" w:eastAsia="宋体" w:cs="宋体"/>
          <w:b/>
          <w:sz w:val="32"/>
        </w:rPr>
      </w:pPr>
      <w:bookmarkStart w:id="310" w:name="_Toc45177851"/>
      <w:bookmarkStart w:id="311" w:name="_Toc1955"/>
      <w:bookmarkStart w:id="312" w:name="_Toc263"/>
      <w:r>
        <w:rPr>
          <w:rFonts w:hint="eastAsia" w:ascii="宋体" w:hAnsi="宋体" w:eastAsia="宋体" w:cs="宋体"/>
          <w:b/>
          <w:sz w:val="32"/>
        </w:rPr>
        <w:t>第三章  评标办法（综合评估法）</w:t>
      </w:r>
      <w:bookmarkEnd w:id="310"/>
      <w:bookmarkEnd w:id="311"/>
      <w:bookmarkEnd w:id="312"/>
    </w:p>
    <w:p w14:paraId="3A3A2408">
      <w:pPr>
        <w:jc w:val="center"/>
        <w:rPr>
          <w:rFonts w:hint="eastAsia" w:ascii="宋体" w:hAnsi="宋体" w:eastAsia="宋体" w:cs="宋体"/>
        </w:rPr>
      </w:pPr>
      <w:bookmarkStart w:id="313" w:name="_Toc31213"/>
      <w:bookmarkStart w:id="314" w:name="_Toc45177852"/>
      <w:bookmarkStart w:id="315" w:name="_Toc382903916"/>
      <w:r>
        <w:rPr>
          <w:rFonts w:hint="eastAsia" w:ascii="宋体" w:hAnsi="宋体" w:eastAsia="宋体" w:cs="宋体"/>
        </w:rPr>
        <w:t>评标办法前附表</w:t>
      </w:r>
      <w:bookmarkEnd w:id="313"/>
      <w:bookmarkEnd w:id="314"/>
      <w:bookmarkEnd w:id="315"/>
    </w:p>
    <w:tbl>
      <w:tblPr>
        <w:tblStyle w:val="34"/>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00"/>
        <w:gridCol w:w="1110"/>
        <w:gridCol w:w="1821"/>
        <w:gridCol w:w="5126"/>
      </w:tblGrid>
      <w:tr w14:paraId="0CB0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5"/>
            <w:vAlign w:val="center"/>
          </w:tcPr>
          <w:p w14:paraId="54607F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初步评审</w:t>
            </w:r>
          </w:p>
        </w:tc>
      </w:tr>
      <w:tr w14:paraId="7042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3" w:type="pct"/>
            <w:gridSpan w:val="2"/>
            <w:vAlign w:val="center"/>
          </w:tcPr>
          <w:p w14:paraId="08048627">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条款号</w:t>
            </w:r>
          </w:p>
        </w:tc>
        <w:tc>
          <w:tcPr>
            <w:tcW w:w="1494" w:type="pct"/>
            <w:gridSpan w:val="2"/>
            <w:vAlign w:val="center"/>
          </w:tcPr>
          <w:p w14:paraId="7B6B26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2612" w:type="pct"/>
            <w:vAlign w:val="center"/>
          </w:tcPr>
          <w:p w14:paraId="1624D228">
            <w:pPr>
              <w:spacing w:line="360" w:lineRule="auto"/>
              <w:ind w:firstLine="1995" w:firstLineChars="950"/>
              <w:rPr>
                <w:rFonts w:hint="eastAsia" w:ascii="宋体" w:hAnsi="宋体" w:eastAsia="宋体" w:cs="宋体"/>
                <w:sz w:val="21"/>
                <w:szCs w:val="21"/>
              </w:rPr>
            </w:pPr>
            <w:r>
              <w:rPr>
                <w:rFonts w:hint="eastAsia" w:ascii="宋体" w:hAnsi="宋体" w:eastAsia="宋体" w:cs="宋体"/>
                <w:sz w:val="21"/>
                <w:szCs w:val="21"/>
              </w:rPr>
              <w:t>评审标准</w:t>
            </w:r>
          </w:p>
        </w:tc>
      </w:tr>
      <w:tr w14:paraId="0BE4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F13250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2.1.1</w:t>
            </w:r>
          </w:p>
        </w:tc>
        <w:tc>
          <w:tcPr>
            <w:tcW w:w="458" w:type="pct"/>
            <w:vMerge w:val="restart"/>
            <w:vAlign w:val="center"/>
          </w:tcPr>
          <w:p w14:paraId="4F5EFC0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形式</w:t>
            </w:r>
          </w:p>
          <w:p w14:paraId="41FAE2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w:t>
            </w:r>
          </w:p>
          <w:p w14:paraId="6C4A54B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标准</w:t>
            </w:r>
          </w:p>
        </w:tc>
        <w:tc>
          <w:tcPr>
            <w:tcW w:w="1494" w:type="pct"/>
            <w:gridSpan w:val="2"/>
            <w:vAlign w:val="center"/>
          </w:tcPr>
          <w:p w14:paraId="4B0EA48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2612" w:type="pct"/>
            <w:vAlign w:val="center"/>
          </w:tcPr>
          <w:p w14:paraId="7A4911D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与营业执照一致</w:t>
            </w:r>
          </w:p>
        </w:tc>
      </w:tr>
      <w:tr w14:paraId="6CF1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6A06600">
            <w:pPr>
              <w:spacing w:line="360" w:lineRule="auto"/>
              <w:jc w:val="center"/>
              <w:rPr>
                <w:rFonts w:hint="eastAsia" w:ascii="宋体" w:hAnsi="宋体" w:eastAsia="宋体" w:cs="宋体"/>
                <w:sz w:val="21"/>
                <w:szCs w:val="21"/>
              </w:rPr>
            </w:pPr>
          </w:p>
        </w:tc>
        <w:tc>
          <w:tcPr>
            <w:tcW w:w="458" w:type="pct"/>
            <w:vMerge w:val="continue"/>
            <w:vAlign w:val="center"/>
          </w:tcPr>
          <w:p w14:paraId="6AFA47A6">
            <w:pPr>
              <w:spacing w:line="360" w:lineRule="auto"/>
              <w:jc w:val="center"/>
              <w:rPr>
                <w:rFonts w:hint="eastAsia" w:ascii="宋体" w:hAnsi="宋体" w:eastAsia="宋体" w:cs="宋体"/>
                <w:sz w:val="21"/>
                <w:szCs w:val="21"/>
              </w:rPr>
            </w:pPr>
          </w:p>
        </w:tc>
        <w:tc>
          <w:tcPr>
            <w:tcW w:w="1494" w:type="pct"/>
            <w:gridSpan w:val="2"/>
            <w:vAlign w:val="center"/>
          </w:tcPr>
          <w:p w14:paraId="476CF6C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响应文件签字盖章</w:t>
            </w:r>
          </w:p>
        </w:tc>
        <w:tc>
          <w:tcPr>
            <w:tcW w:w="2612" w:type="pct"/>
            <w:vAlign w:val="center"/>
          </w:tcPr>
          <w:p w14:paraId="013275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F4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E6F41E6">
            <w:pPr>
              <w:spacing w:line="360" w:lineRule="auto"/>
              <w:jc w:val="center"/>
              <w:rPr>
                <w:rFonts w:hint="eastAsia" w:ascii="宋体" w:hAnsi="宋体" w:eastAsia="宋体" w:cs="宋体"/>
                <w:sz w:val="21"/>
                <w:szCs w:val="21"/>
              </w:rPr>
            </w:pPr>
          </w:p>
        </w:tc>
        <w:tc>
          <w:tcPr>
            <w:tcW w:w="458" w:type="pct"/>
            <w:vMerge w:val="continue"/>
            <w:vAlign w:val="center"/>
          </w:tcPr>
          <w:p w14:paraId="76D9D120">
            <w:pPr>
              <w:spacing w:line="360" w:lineRule="auto"/>
              <w:jc w:val="center"/>
              <w:rPr>
                <w:rFonts w:hint="eastAsia" w:ascii="宋体" w:hAnsi="宋体" w:eastAsia="宋体" w:cs="宋体"/>
                <w:sz w:val="21"/>
                <w:szCs w:val="21"/>
              </w:rPr>
            </w:pPr>
          </w:p>
        </w:tc>
        <w:tc>
          <w:tcPr>
            <w:tcW w:w="1494" w:type="pct"/>
            <w:gridSpan w:val="2"/>
            <w:vAlign w:val="center"/>
          </w:tcPr>
          <w:p w14:paraId="0E54F16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响应文件格式</w:t>
            </w:r>
          </w:p>
        </w:tc>
        <w:tc>
          <w:tcPr>
            <w:tcW w:w="2612" w:type="pct"/>
            <w:vAlign w:val="center"/>
          </w:tcPr>
          <w:p w14:paraId="174B63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符合第六章“响应文件格式”的要求</w:t>
            </w:r>
          </w:p>
        </w:tc>
      </w:tr>
      <w:tr w14:paraId="3CC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75DA462">
            <w:pPr>
              <w:spacing w:line="360" w:lineRule="auto"/>
              <w:jc w:val="center"/>
              <w:rPr>
                <w:rFonts w:hint="eastAsia" w:ascii="宋体" w:hAnsi="宋体" w:eastAsia="宋体" w:cs="宋体"/>
                <w:sz w:val="21"/>
                <w:szCs w:val="21"/>
              </w:rPr>
            </w:pPr>
          </w:p>
        </w:tc>
        <w:tc>
          <w:tcPr>
            <w:tcW w:w="458" w:type="pct"/>
            <w:vMerge w:val="continue"/>
            <w:vAlign w:val="center"/>
          </w:tcPr>
          <w:p w14:paraId="501DFD58">
            <w:pPr>
              <w:spacing w:line="360" w:lineRule="auto"/>
              <w:jc w:val="center"/>
              <w:rPr>
                <w:rFonts w:hint="eastAsia" w:ascii="宋体" w:hAnsi="宋体" w:eastAsia="宋体" w:cs="宋体"/>
                <w:sz w:val="21"/>
                <w:szCs w:val="21"/>
              </w:rPr>
            </w:pPr>
          </w:p>
        </w:tc>
        <w:tc>
          <w:tcPr>
            <w:tcW w:w="1494" w:type="pct"/>
            <w:gridSpan w:val="2"/>
            <w:vAlign w:val="center"/>
          </w:tcPr>
          <w:p w14:paraId="30FA864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w:t>
            </w:r>
          </w:p>
        </w:tc>
        <w:tc>
          <w:tcPr>
            <w:tcW w:w="2612" w:type="pct"/>
            <w:vAlign w:val="center"/>
          </w:tcPr>
          <w:p w14:paraId="4363CE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首轮报价不能超过最高限价</w:t>
            </w:r>
          </w:p>
        </w:tc>
      </w:tr>
      <w:tr w14:paraId="652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0DCCE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2.1.2</w:t>
            </w:r>
          </w:p>
          <w:p w14:paraId="0AB57147">
            <w:pPr>
              <w:pStyle w:val="33"/>
              <w:spacing w:line="360" w:lineRule="auto"/>
              <w:ind w:left="480"/>
              <w:rPr>
                <w:rFonts w:hint="eastAsia" w:ascii="宋体" w:hAnsi="宋体" w:eastAsia="宋体" w:cs="宋体"/>
                <w:sz w:val="21"/>
                <w:szCs w:val="21"/>
              </w:rPr>
            </w:pPr>
          </w:p>
        </w:tc>
        <w:tc>
          <w:tcPr>
            <w:tcW w:w="458" w:type="pct"/>
            <w:vMerge w:val="restart"/>
            <w:vAlign w:val="center"/>
          </w:tcPr>
          <w:p w14:paraId="373C50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资格</w:t>
            </w:r>
          </w:p>
          <w:p w14:paraId="227A19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评审标准</w:t>
            </w:r>
          </w:p>
        </w:tc>
        <w:tc>
          <w:tcPr>
            <w:tcW w:w="1494" w:type="pct"/>
            <w:gridSpan w:val="2"/>
            <w:vAlign w:val="center"/>
          </w:tcPr>
          <w:p w14:paraId="2182C428">
            <w:pPr>
              <w:spacing w:line="360" w:lineRule="auto"/>
              <w:ind w:right="-2"/>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营业执照</w:t>
            </w:r>
          </w:p>
        </w:tc>
        <w:tc>
          <w:tcPr>
            <w:tcW w:w="2612" w:type="pct"/>
            <w:vAlign w:val="center"/>
          </w:tcPr>
          <w:p w14:paraId="7FEE863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82B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F11762B">
            <w:pPr>
              <w:spacing w:line="360" w:lineRule="auto"/>
              <w:jc w:val="center"/>
              <w:rPr>
                <w:rFonts w:hint="eastAsia" w:ascii="宋体" w:hAnsi="宋体" w:eastAsia="宋体" w:cs="宋体"/>
                <w:sz w:val="21"/>
                <w:szCs w:val="21"/>
              </w:rPr>
            </w:pPr>
          </w:p>
        </w:tc>
        <w:tc>
          <w:tcPr>
            <w:tcW w:w="458" w:type="pct"/>
            <w:vMerge w:val="continue"/>
            <w:vAlign w:val="center"/>
          </w:tcPr>
          <w:p w14:paraId="7D4B4399">
            <w:pPr>
              <w:spacing w:line="360" w:lineRule="auto"/>
              <w:jc w:val="center"/>
              <w:rPr>
                <w:rFonts w:hint="eastAsia" w:ascii="宋体" w:hAnsi="宋体" w:eastAsia="宋体" w:cs="宋体"/>
                <w:sz w:val="21"/>
                <w:szCs w:val="21"/>
              </w:rPr>
            </w:pPr>
          </w:p>
        </w:tc>
        <w:tc>
          <w:tcPr>
            <w:tcW w:w="1494" w:type="pct"/>
            <w:gridSpan w:val="2"/>
            <w:vAlign w:val="center"/>
          </w:tcPr>
          <w:p w14:paraId="43EA7A0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612" w:type="pct"/>
            <w:vAlign w:val="center"/>
          </w:tcPr>
          <w:p w14:paraId="07E6CBF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01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2256601">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2.1.3</w:t>
            </w:r>
          </w:p>
        </w:tc>
        <w:tc>
          <w:tcPr>
            <w:tcW w:w="458" w:type="pct"/>
            <w:vMerge w:val="restart"/>
            <w:vAlign w:val="center"/>
          </w:tcPr>
          <w:p w14:paraId="1592F90D">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响应性评审</w:t>
            </w:r>
          </w:p>
        </w:tc>
        <w:tc>
          <w:tcPr>
            <w:tcW w:w="1494" w:type="pct"/>
            <w:gridSpan w:val="2"/>
            <w:shd w:val="clear" w:color="auto" w:fill="FFFFFF"/>
            <w:vAlign w:val="center"/>
          </w:tcPr>
          <w:p w14:paraId="44ED87AD">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服务期限</w:t>
            </w:r>
          </w:p>
        </w:tc>
        <w:tc>
          <w:tcPr>
            <w:tcW w:w="2612" w:type="pct"/>
            <w:vAlign w:val="center"/>
          </w:tcPr>
          <w:p w14:paraId="61CD765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3682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01B58EE">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6414A74E">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25C3972F">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质量要求</w:t>
            </w:r>
          </w:p>
        </w:tc>
        <w:tc>
          <w:tcPr>
            <w:tcW w:w="2612" w:type="pct"/>
            <w:vAlign w:val="center"/>
          </w:tcPr>
          <w:p w14:paraId="0038D4D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B25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3AD45BB">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2DFEA850">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2566252E">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服务内容</w:t>
            </w:r>
          </w:p>
        </w:tc>
        <w:tc>
          <w:tcPr>
            <w:tcW w:w="2612" w:type="pct"/>
            <w:vAlign w:val="center"/>
          </w:tcPr>
          <w:p w14:paraId="47B8E9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291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2263D8A4">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57E41235">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4CDFDA4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磋商有效期</w:t>
            </w:r>
          </w:p>
        </w:tc>
        <w:tc>
          <w:tcPr>
            <w:tcW w:w="2612" w:type="pct"/>
            <w:vAlign w:val="center"/>
          </w:tcPr>
          <w:p w14:paraId="4FB31E3D">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符合磋商文件要求</w:t>
            </w:r>
          </w:p>
        </w:tc>
      </w:tr>
      <w:tr w14:paraId="72EC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16A7E9D">
            <w:pPr>
              <w:spacing w:line="360" w:lineRule="auto"/>
              <w:ind w:firstLine="105" w:firstLineChars="50"/>
              <w:jc w:val="center"/>
              <w:rPr>
                <w:rFonts w:hint="eastAsia" w:ascii="宋体" w:hAnsi="宋体" w:eastAsia="宋体" w:cs="宋体"/>
                <w:sz w:val="21"/>
                <w:szCs w:val="21"/>
              </w:rPr>
            </w:pPr>
            <w:bookmarkStart w:id="316" w:name="_Toc152045600"/>
            <w:bookmarkStart w:id="317" w:name="_Toc144974567"/>
            <w:bookmarkStart w:id="318" w:name="_Toc1033"/>
            <w:bookmarkStart w:id="319" w:name="_Toc179632618"/>
            <w:bookmarkStart w:id="320" w:name="_Toc45177853"/>
            <w:bookmarkStart w:id="321" w:name="_Toc6826"/>
            <w:bookmarkStart w:id="322" w:name="_Toc152042377"/>
          </w:p>
        </w:tc>
        <w:tc>
          <w:tcPr>
            <w:tcW w:w="458" w:type="pct"/>
            <w:vMerge w:val="continue"/>
            <w:vAlign w:val="center"/>
          </w:tcPr>
          <w:p w14:paraId="03DC678F">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623EE403">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612" w:type="pct"/>
            <w:vAlign w:val="center"/>
          </w:tcPr>
          <w:p w14:paraId="7A51B3EA">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磋商</w:t>
            </w:r>
            <w:r>
              <w:rPr>
                <w:rFonts w:hint="eastAsia" w:ascii="宋体" w:hAnsi="宋体" w:eastAsia="宋体" w:cs="宋体"/>
                <w:bCs/>
                <w:color w:val="000000" w:themeColor="text1"/>
                <w:sz w:val="21"/>
                <w:szCs w:val="21"/>
              </w:rPr>
              <w:t>文件规定的其他拒绝或否决投标、废标、无效标等条件</w:t>
            </w:r>
          </w:p>
        </w:tc>
      </w:tr>
      <w:tr w14:paraId="4A69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9DCA637">
            <w:pPr>
              <w:spacing w:line="360" w:lineRule="auto"/>
              <w:jc w:val="center"/>
              <w:rPr>
                <w:rFonts w:hint="eastAsia" w:ascii="宋体" w:hAnsi="宋体" w:eastAsia="宋体" w:cs="宋体"/>
                <w:kern w:val="0"/>
                <w:sz w:val="21"/>
                <w:szCs w:val="21"/>
              </w:rPr>
            </w:pPr>
            <w:r>
              <w:rPr>
                <w:rFonts w:hint="eastAsia" w:ascii="宋体" w:hAnsi="宋体" w:eastAsia="宋体" w:cs="宋体"/>
                <w:bCs/>
                <w:sz w:val="21"/>
                <w:szCs w:val="21"/>
              </w:rPr>
              <w:t>评标办法</w:t>
            </w:r>
          </w:p>
        </w:tc>
      </w:tr>
      <w:tr w14:paraId="5C57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4A6319B">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565" w:type="pct"/>
            <w:vAlign w:val="center"/>
          </w:tcPr>
          <w:p w14:paraId="05489F71">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条款内容</w:t>
            </w:r>
          </w:p>
        </w:tc>
        <w:tc>
          <w:tcPr>
            <w:tcW w:w="3541" w:type="pct"/>
            <w:gridSpan w:val="2"/>
            <w:vAlign w:val="center"/>
          </w:tcPr>
          <w:p w14:paraId="1934B939">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2B5DF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6C2A2B6F">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565" w:type="pct"/>
            <w:vAlign w:val="center"/>
          </w:tcPr>
          <w:p w14:paraId="2F5730B0">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分值构成</w:t>
            </w:r>
          </w:p>
          <w:p w14:paraId="7E6B3AFC">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（总分100分）</w:t>
            </w:r>
          </w:p>
        </w:tc>
        <w:tc>
          <w:tcPr>
            <w:tcW w:w="3541" w:type="pct"/>
            <w:gridSpan w:val="2"/>
            <w:vAlign w:val="center"/>
          </w:tcPr>
          <w:p w14:paraId="372CCC21">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磋商报价得分：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20</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分</w:t>
            </w:r>
          </w:p>
          <w:p w14:paraId="2F45AC94">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技术标得分：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68</w:t>
            </w:r>
            <w:r>
              <w:rPr>
                <w:rFonts w:hint="eastAsia" w:ascii="宋体" w:hAnsi="宋体" w:eastAsia="宋体" w:cs="宋体"/>
                <w:color w:val="auto"/>
                <w:sz w:val="21"/>
                <w:szCs w:val="21"/>
              </w:rPr>
              <w:t>分</w:t>
            </w:r>
          </w:p>
          <w:p w14:paraId="44F357BC">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综合标得分：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分</w:t>
            </w:r>
          </w:p>
        </w:tc>
      </w:tr>
      <w:tr w14:paraId="4640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0366078">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565" w:type="pct"/>
            <w:vAlign w:val="center"/>
          </w:tcPr>
          <w:p w14:paraId="1B73BDD5">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评标基准价</w:t>
            </w:r>
          </w:p>
          <w:p w14:paraId="78F79866">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计算方法</w:t>
            </w:r>
          </w:p>
        </w:tc>
        <w:tc>
          <w:tcPr>
            <w:tcW w:w="3541" w:type="pct"/>
            <w:gridSpan w:val="2"/>
            <w:vAlign w:val="center"/>
          </w:tcPr>
          <w:p w14:paraId="4D359548">
            <w:pPr>
              <w:spacing w:line="360" w:lineRule="auto"/>
              <w:rPr>
                <w:rFonts w:hint="eastAsia" w:ascii="宋体" w:hAnsi="宋体" w:eastAsia="宋体" w:cs="宋体"/>
                <w:sz w:val="21"/>
                <w:szCs w:val="21"/>
              </w:rPr>
            </w:pPr>
            <w:r>
              <w:rPr>
                <w:rFonts w:hint="eastAsia" w:ascii="宋体" w:hAnsi="宋体" w:eastAsia="宋体" w:cs="宋体"/>
                <w:sz w:val="21"/>
                <w:szCs w:val="21"/>
              </w:rPr>
              <w:t>有效报价：通过初步评审（形式评审、资格评审、响应性评审）的供应商经磋商后的最终报价。</w:t>
            </w:r>
          </w:p>
          <w:p w14:paraId="34B40FC9">
            <w:pPr>
              <w:spacing w:line="360" w:lineRule="auto"/>
              <w:rPr>
                <w:rFonts w:hint="eastAsia" w:ascii="宋体" w:hAnsi="宋体" w:eastAsia="宋体" w:cs="宋体"/>
                <w:sz w:val="21"/>
                <w:szCs w:val="21"/>
              </w:rPr>
            </w:pPr>
            <w:r>
              <w:rPr>
                <w:rFonts w:hint="eastAsia" w:ascii="宋体" w:hAnsi="宋体" w:eastAsia="宋体" w:cs="宋体"/>
                <w:sz w:val="21"/>
                <w:szCs w:val="21"/>
              </w:rPr>
              <w:t>磋商基准价=最终磋商报价最低的供应商价格</w:t>
            </w:r>
          </w:p>
        </w:tc>
      </w:tr>
      <w:tr w14:paraId="4B0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24F1E82">
            <w:pPr>
              <w:tabs>
                <w:tab w:val="center" w:pos="4153"/>
                <w:tab w:val="right" w:pos="8306"/>
              </w:tabs>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2.2.4（1）</w:t>
            </w:r>
          </w:p>
        </w:tc>
        <w:tc>
          <w:tcPr>
            <w:tcW w:w="565" w:type="pct"/>
            <w:vAlign w:val="center"/>
          </w:tcPr>
          <w:p w14:paraId="58CF92C6">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磋商报价</w:t>
            </w:r>
          </w:p>
          <w:p w14:paraId="381085DE">
            <w:pPr>
              <w:pStyle w:val="32"/>
              <w:spacing w:line="36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20</w:t>
            </w:r>
            <w:r>
              <w:rPr>
                <w:rFonts w:hint="eastAsia" w:ascii="宋体" w:hAnsi="宋体" w:eastAsia="宋体" w:cs="宋体"/>
                <w:b/>
                <w:bCs/>
                <w:sz w:val="21"/>
                <w:szCs w:val="21"/>
              </w:rPr>
              <w:t>分）</w:t>
            </w:r>
          </w:p>
        </w:tc>
        <w:tc>
          <w:tcPr>
            <w:tcW w:w="3541" w:type="pct"/>
            <w:gridSpan w:val="2"/>
            <w:vAlign w:val="center"/>
          </w:tcPr>
          <w:p w14:paraId="1A633237">
            <w:pPr>
              <w:spacing w:line="360" w:lineRule="auto"/>
              <w:rPr>
                <w:rFonts w:hint="eastAsia" w:ascii="宋体" w:hAnsi="宋体" w:eastAsia="宋体" w:cs="宋体"/>
                <w:sz w:val="21"/>
                <w:szCs w:val="21"/>
              </w:rPr>
            </w:pPr>
            <w:r>
              <w:rPr>
                <w:rFonts w:hint="eastAsia" w:ascii="宋体" w:hAnsi="宋体" w:eastAsia="宋体" w:cs="宋体"/>
                <w:kern w:val="0"/>
                <w:sz w:val="21"/>
                <w:szCs w:val="21"/>
              </w:rPr>
              <w:t>价格分应当采用低价优先法计算，即满足招标文件要求且投标价格最低的投标报价为评标基准价，其价格分为满分。</w:t>
            </w:r>
          </w:p>
          <w:p w14:paraId="289885FE">
            <w:pPr>
              <w:spacing w:line="360" w:lineRule="auto"/>
              <w:rPr>
                <w:rFonts w:hint="eastAsia" w:ascii="宋体" w:hAnsi="宋体" w:eastAsia="宋体" w:cs="宋体"/>
                <w:sz w:val="21"/>
                <w:szCs w:val="21"/>
              </w:rPr>
            </w:pPr>
            <w:r>
              <w:rPr>
                <w:rFonts w:hint="eastAsia" w:ascii="宋体" w:hAnsi="宋体" w:eastAsia="宋体" w:cs="宋体"/>
                <w:sz w:val="21"/>
                <w:szCs w:val="21"/>
              </w:rPr>
              <w:t>磋商报价得分=评标基准价/最终磋商报价×</w:t>
            </w:r>
            <w:r>
              <w:rPr>
                <w:rFonts w:hint="eastAsia" w:ascii="宋体" w:hAnsi="宋体" w:eastAsia="宋体" w:cs="宋体"/>
                <w:sz w:val="21"/>
                <w:szCs w:val="21"/>
                <w:lang w:val="en-US" w:eastAsia="zh-CN"/>
              </w:rPr>
              <w:t>20</w:t>
            </w:r>
            <w:r>
              <w:rPr>
                <w:rFonts w:hint="eastAsia" w:ascii="宋体" w:hAnsi="宋体" w:eastAsia="宋体" w:cs="宋体"/>
                <w:sz w:val="21"/>
                <w:szCs w:val="21"/>
              </w:rPr>
              <w:t>分</w:t>
            </w:r>
          </w:p>
          <w:p w14:paraId="14D0E257">
            <w:pPr>
              <w:spacing w:line="360" w:lineRule="auto"/>
              <w:rPr>
                <w:rFonts w:hint="eastAsia" w:ascii="宋体" w:hAnsi="宋体" w:eastAsia="宋体" w:cs="宋体"/>
                <w:bCs/>
                <w:sz w:val="21"/>
                <w:szCs w:val="21"/>
              </w:rPr>
            </w:pPr>
            <w:r>
              <w:rPr>
                <w:rFonts w:hint="eastAsia" w:ascii="宋体" w:hAnsi="宋体" w:eastAsia="宋体" w:cs="宋体"/>
                <w:sz w:val="21"/>
                <w:szCs w:val="21"/>
              </w:rPr>
              <w:t>注：</w:t>
            </w:r>
            <w:r>
              <w:rPr>
                <w:rFonts w:hint="eastAsia" w:ascii="宋体" w:hAnsi="宋体" w:eastAsia="宋体" w:cs="宋体"/>
                <w:bCs/>
                <w:sz w:val="21"/>
                <w:szCs w:val="21"/>
              </w:rPr>
              <w:t>1、投标报价应是在保证</w:t>
            </w:r>
            <w:r>
              <w:rPr>
                <w:rFonts w:hint="eastAsia" w:ascii="宋体" w:hAnsi="宋体" w:eastAsia="宋体" w:cs="宋体"/>
                <w:bCs/>
                <w:sz w:val="21"/>
                <w:szCs w:val="21"/>
                <w:lang w:val="en-US" w:eastAsia="zh-CN"/>
              </w:rPr>
              <w:t>服务</w:t>
            </w:r>
            <w:r>
              <w:rPr>
                <w:rFonts w:hint="eastAsia" w:ascii="宋体" w:hAnsi="宋体" w:eastAsia="宋体" w:cs="宋体"/>
                <w:bCs/>
                <w:sz w:val="21"/>
                <w:szCs w:val="21"/>
              </w:rPr>
              <w:t>和质量的基础上投报的全费用价格。评标委员会发现供应商的报价明显低于其他供应商，使得其投标报价可能低于其个别成本的，应当要求供应商于投标现场1小时内作出书面说明并提供相关证明材料。供应商不能合理说明或者不能提供相关证明材料的，由评标委员会认定该供应商以低于成本报价竞标，其投标作为无效标处理。</w:t>
            </w:r>
          </w:p>
          <w:p w14:paraId="5CF14A87">
            <w:pPr>
              <w:numPr>
                <w:ilvl w:val="0"/>
                <w:numId w:val="1"/>
              </w:num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因落实政府采购政策进行价格调整的，以调整后的价格计算评标基准价和投标报价。</w:t>
            </w:r>
          </w:p>
          <w:p w14:paraId="771B6EF1">
            <w:pPr>
              <w:autoSpaceDE w:val="0"/>
              <w:autoSpaceDN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3、为了促进中小企业发展，根据《中华人民共和国政府采购法实施条例》第六条和财库〔2020〕46号规定，给予小型或微型企业价格20%的扣除，用扣除后的价格参与评审。即所投中小微企业产品报价=所投中小微企业产品报价合计×（1-20%）。</w:t>
            </w:r>
          </w:p>
        </w:tc>
      </w:tr>
      <w:tr w14:paraId="4777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CFE9D78">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2.2.4（2）技术标评分标准（</w:t>
            </w:r>
            <w:r>
              <w:rPr>
                <w:rFonts w:hint="eastAsia" w:ascii="宋体" w:hAnsi="宋体" w:eastAsia="宋体" w:cs="宋体"/>
                <w:b/>
                <w:bCs/>
                <w:color w:val="auto"/>
                <w:sz w:val="21"/>
                <w:szCs w:val="21"/>
                <w:lang w:val="en-US" w:eastAsia="zh-CN"/>
              </w:rPr>
              <w:t>68</w:t>
            </w:r>
            <w:r>
              <w:rPr>
                <w:rFonts w:hint="eastAsia" w:ascii="宋体" w:hAnsi="宋体" w:eastAsia="宋体" w:cs="宋体"/>
                <w:b/>
                <w:bCs/>
                <w:color w:val="auto"/>
                <w:sz w:val="21"/>
                <w:szCs w:val="21"/>
              </w:rPr>
              <w:t>分）</w:t>
            </w:r>
          </w:p>
        </w:tc>
      </w:tr>
      <w:tr w14:paraId="0AF0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057F60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评审内容</w:t>
            </w:r>
          </w:p>
        </w:tc>
        <w:tc>
          <w:tcPr>
            <w:tcW w:w="565" w:type="pct"/>
            <w:vAlign w:val="center"/>
          </w:tcPr>
          <w:p w14:paraId="1805C01C">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分值</w:t>
            </w:r>
          </w:p>
        </w:tc>
        <w:tc>
          <w:tcPr>
            <w:tcW w:w="3541" w:type="pct"/>
            <w:gridSpan w:val="2"/>
            <w:vAlign w:val="center"/>
          </w:tcPr>
          <w:p w14:paraId="1D82D981">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评审标准</w:t>
            </w:r>
          </w:p>
        </w:tc>
      </w:tr>
      <w:tr w14:paraId="0FE6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A05B0B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保障范围</w:t>
            </w:r>
          </w:p>
        </w:tc>
        <w:tc>
          <w:tcPr>
            <w:tcW w:w="565" w:type="pct"/>
            <w:vAlign w:val="center"/>
          </w:tcPr>
          <w:p w14:paraId="06F6506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4D62688B">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lang w:bidi="ar"/>
              </w:rPr>
              <w:t>供应商</w:t>
            </w:r>
            <w:r>
              <w:rPr>
                <w:rFonts w:hint="eastAsia" w:ascii="宋体" w:hAnsi="宋体" w:eastAsia="宋体" w:cs="宋体"/>
                <w:sz w:val="21"/>
                <w:szCs w:val="21"/>
              </w:rPr>
              <w:t>提供的保障范围进行综合比较：</w:t>
            </w:r>
          </w:p>
          <w:p w14:paraId="4E5C0A6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保障范围完全符合/高于招标文件要求，措辞严谨，描述清晰，保障全面（10分）；</w:t>
            </w:r>
          </w:p>
          <w:p w14:paraId="582AEDC6">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保障范围基本符合招标文件要求，措辞无歧义，保障基本完整（6分）；</w:t>
            </w:r>
          </w:p>
          <w:p w14:paraId="72DABCEC">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保障范围与招标文件要求差别较大，措辞模糊易混淆，保障不全面（</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538E49C4">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287B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3E73872A">
            <w:pPr>
              <w:keepNext w:val="0"/>
              <w:keepLines w:val="0"/>
              <w:pageBreakBefore w:val="0"/>
              <w:kinsoku/>
              <w:wordWrap/>
              <w:overflowPunct/>
              <w:topLinePunct w:val="0"/>
              <w:autoSpaceDE/>
              <w:autoSpaceDN/>
              <w:bidi w:val="0"/>
              <w:adjustRightInd/>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服务方案</w:t>
            </w:r>
          </w:p>
        </w:tc>
        <w:tc>
          <w:tcPr>
            <w:tcW w:w="565" w:type="pct"/>
            <w:vAlign w:val="center"/>
          </w:tcPr>
          <w:p w14:paraId="4CD22DA0">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0-1</w:t>
            </w:r>
            <w:r>
              <w:rPr>
                <w:rFonts w:hint="eastAsia" w:ascii="宋体" w:hAnsi="宋体" w:eastAsia="宋体" w:cs="宋体"/>
                <w:sz w:val="21"/>
                <w:szCs w:val="21"/>
                <w:lang w:val="en-US" w:eastAsia="zh-CN"/>
              </w:rPr>
              <w:t>5</w:t>
            </w:r>
          </w:p>
        </w:tc>
        <w:tc>
          <w:tcPr>
            <w:tcW w:w="3541" w:type="pct"/>
            <w:gridSpan w:val="2"/>
            <w:vAlign w:val="center"/>
          </w:tcPr>
          <w:p w14:paraId="006D6029">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lang w:bidi="ar"/>
              </w:rPr>
              <w:t>供应商</w:t>
            </w:r>
            <w:r>
              <w:rPr>
                <w:rFonts w:hint="eastAsia" w:ascii="宋体" w:hAnsi="宋体" w:eastAsia="宋体" w:cs="宋体"/>
                <w:sz w:val="21"/>
                <w:szCs w:val="21"/>
              </w:rPr>
              <w:t>提供的服务方案，从服务内容丰富、合理，投保理赔程序清晰简便迅速，各类培训和增值服务丰富实用等方面综合比较：</w:t>
            </w:r>
          </w:p>
          <w:p w14:paraId="2740D00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保障内容丰富、合理，投保理赔程序清晰简便迅速，各类培训和增值服务丰富实用并有延伸服务</w:t>
            </w:r>
            <w:r>
              <w:rPr>
                <w:rFonts w:hint="eastAsia" w:ascii="宋体" w:hAnsi="宋体" w:eastAsia="宋体" w:cs="宋体"/>
                <w:sz w:val="21"/>
                <w:szCs w:val="21"/>
                <w:lang w:val="en-US" w:eastAsia="zh-CN"/>
              </w:rPr>
              <w:t>15</w:t>
            </w:r>
            <w:r>
              <w:rPr>
                <w:rFonts w:hint="eastAsia" w:ascii="宋体" w:hAnsi="宋体" w:eastAsia="宋体" w:cs="宋体"/>
                <w:sz w:val="21"/>
                <w:szCs w:val="21"/>
              </w:rPr>
              <w:t>分；</w:t>
            </w:r>
          </w:p>
          <w:p w14:paraId="45F7F88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保障内容充实，投保理赔程序规范，各类服务满足本项目需求</w:t>
            </w:r>
            <w:r>
              <w:rPr>
                <w:rFonts w:hint="eastAsia" w:ascii="宋体" w:hAnsi="宋体" w:eastAsia="宋体" w:cs="宋体"/>
                <w:sz w:val="21"/>
                <w:szCs w:val="21"/>
                <w:lang w:val="en-US" w:eastAsia="zh-CN"/>
              </w:rPr>
              <w:t>10</w:t>
            </w:r>
            <w:r>
              <w:rPr>
                <w:rFonts w:hint="eastAsia" w:ascii="宋体" w:hAnsi="宋体" w:eastAsia="宋体" w:cs="宋体"/>
                <w:sz w:val="21"/>
                <w:szCs w:val="21"/>
              </w:rPr>
              <w:t xml:space="preserve">分； </w:t>
            </w:r>
          </w:p>
          <w:p w14:paraId="0F5C9EC3">
            <w:pPr>
              <w:keepNext w:val="0"/>
              <w:keepLines w:val="0"/>
              <w:pageBreakBefore w:val="0"/>
              <w:kinsoku/>
              <w:wordWrap/>
              <w:overflowPunct/>
              <w:topLinePunct w:val="0"/>
              <w:autoSpaceDE/>
              <w:autoSpaceDN/>
              <w:bidi w:val="0"/>
              <w:adjustRightInd/>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t>保障内容一般，投保、理赔等服务欠缺或可操作性不强</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2FE150A5">
            <w:pPr>
              <w:keepNext w:val="0"/>
              <w:keepLines w:val="0"/>
              <w:pageBreakBefore w:val="0"/>
              <w:kinsoku/>
              <w:wordWrap/>
              <w:overflowPunct/>
              <w:topLinePunct w:val="0"/>
              <w:autoSpaceDE/>
              <w:autoSpaceDN/>
              <w:bidi w:val="0"/>
              <w:adjustRightInd/>
              <w:snapToGrid w:val="0"/>
              <w:spacing w:line="360" w:lineRule="auto"/>
              <w:textAlignment w:val="baseline"/>
              <w:rPr>
                <w:rFonts w:hint="eastAsia" w:ascii="宋体" w:hAnsi="宋体" w:eastAsia="宋体" w:cs="宋体"/>
                <w:bCs/>
                <w:sz w:val="21"/>
                <w:szCs w:val="21"/>
              </w:rPr>
            </w:pPr>
            <w:r>
              <w:rPr>
                <w:rFonts w:hint="eastAsia" w:ascii="宋体" w:hAnsi="宋体" w:eastAsia="宋体" w:cs="宋体"/>
                <w:sz w:val="21"/>
                <w:szCs w:val="21"/>
              </w:rPr>
              <w:t>缺项不得分。</w:t>
            </w:r>
          </w:p>
        </w:tc>
      </w:tr>
      <w:tr w14:paraId="4E23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704511F7">
            <w:pPr>
              <w:keepNext w:val="0"/>
              <w:keepLines w:val="0"/>
              <w:pageBreakBefore w:val="0"/>
              <w:widowControl/>
              <w:kinsoku/>
              <w:wordWrap/>
              <w:overflowPunct/>
              <w:topLinePunct w:val="0"/>
              <w:autoSpaceDE/>
              <w:autoSpaceDN/>
              <w:bidi w:val="0"/>
              <w:adjustRightInd/>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人员配备</w:t>
            </w:r>
          </w:p>
        </w:tc>
        <w:tc>
          <w:tcPr>
            <w:tcW w:w="565" w:type="pct"/>
            <w:vAlign w:val="center"/>
          </w:tcPr>
          <w:p w14:paraId="5C3D8D8E">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8</w:t>
            </w:r>
          </w:p>
        </w:tc>
        <w:tc>
          <w:tcPr>
            <w:tcW w:w="3541" w:type="pct"/>
            <w:gridSpan w:val="2"/>
            <w:vAlign w:val="center"/>
          </w:tcPr>
          <w:p w14:paraId="36FFFCD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供应商根据项目特点制定的人员配备方案，考察服务能力、专业经验等，供应商为本项目配备的服务人员数计算，10人及10人以上得8分，每减少1人扣1分，扣完为止。</w:t>
            </w:r>
          </w:p>
        </w:tc>
      </w:tr>
      <w:tr w14:paraId="7E53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74821B7">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rPr>
              <w:t>服务应急处置</w:t>
            </w:r>
            <w:r>
              <w:rPr>
                <w:rFonts w:hint="eastAsia" w:ascii="宋体" w:hAnsi="宋体" w:eastAsia="宋体" w:cs="宋体"/>
                <w:sz w:val="21"/>
                <w:szCs w:val="21"/>
                <w:highlight w:val="none"/>
                <w:lang w:eastAsia="zh-CN"/>
              </w:rPr>
              <w:t>制度</w:t>
            </w:r>
          </w:p>
        </w:tc>
        <w:tc>
          <w:tcPr>
            <w:tcW w:w="565" w:type="pct"/>
            <w:vAlign w:val="center"/>
          </w:tcPr>
          <w:p w14:paraId="7F0F034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4EE463B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制度健全、规范、具有可操作性的</w:t>
            </w:r>
            <w:r>
              <w:rPr>
                <w:rFonts w:hint="eastAsia" w:ascii="宋体" w:hAnsi="宋体" w:eastAsia="宋体" w:cs="宋体"/>
                <w:sz w:val="21"/>
                <w:szCs w:val="21"/>
                <w:lang w:val="en-US" w:eastAsia="zh-CN"/>
              </w:rPr>
              <w:t>得10分；</w:t>
            </w:r>
          </w:p>
          <w:p w14:paraId="1488991B">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健全、规范、具有可操作性的</w:t>
            </w:r>
            <w:r>
              <w:rPr>
                <w:rFonts w:hint="eastAsia" w:ascii="宋体" w:hAnsi="宋体" w:eastAsia="宋体" w:cs="宋体"/>
                <w:sz w:val="21"/>
                <w:szCs w:val="21"/>
                <w:lang w:val="en-US" w:eastAsia="zh-CN"/>
              </w:rPr>
              <w:t>得6分；</w:t>
            </w:r>
          </w:p>
          <w:p w14:paraId="7434A80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健全、规范、可操作性</w:t>
            </w:r>
            <w:r>
              <w:rPr>
                <w:rFonts w:hint="eastAsia" w:ascii="宋体" w:hAnsi="宋体" w:eastAsia="宋体" w:cs="宋体"/>
                <w:sz w:val="21"/>
                <w:szCs w:val="21"/>
                <w:lang w:val="en-US" w:eastAsia="zh-CN"/>
              </w:rPr>
              <w:t>存在欠缺</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得2分；</w:t>
            </w:r>
          </w:p>
          <w:p w14:paraId="08B2D346">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03FF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E81EDA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color w:val="000000"/>
                <w:sz w:val="21"/>
                <w:szCs w:val="21"/>
                <w:lang w:bidi="ar"/>
              </w:rPr>
              <w:t>特殊案件处理方案</w:t>
            </w:r>
          </w:p>
        </w:tc>
        <w:tc>
          <w:tcPr>
            <w:tcW w:w="565" w:type="pct"/>
            <w:vAlign w:val="center"/>
          </w:tcPr>
          <w:p w14:paraId="3D95FB9E">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5</w:t>
            </w:r>
          </w:p>
        </w:tc>
        <w:tc>
          <w:tcPr>
            <w:tcW w:w="3541" w:type="pct"/>
            <w:gridSpan w:val="2"/>
            <w:vAlign w:val="center"/>
          </w:tcPr>
          <w:p w14:paraId="375BD086">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得5分；</w:t>
            </w:r>
          </w:p>
          <w:p w14:paraId="612506BD">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得3分；</w:t>
            </w:r>
          </w:p>
          <w:p w14:paraId="0888911B">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val="en-US" w:eastAsia="zh-CN"/>
              </w:rPr>
              <w:t>不</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得1分；</w:t>
            </w:r>
          </w:p>
          <w:p w14:paraId="6FA5AE82">
            <w:pPr>
              <w:spacing w:line="340" w:lineRule="exact"/>
              <w:rPr>
                <w:rFonts w:hint="eastAsia" w:ascii="宋体" w:hAnsi="宋体" w:eastAsia="宋体" w:cs="宋体"/>
                <w:sz w:val="21"/>
                <w:szCs w:val="21"/>
              </w:rPr>
            </w:pPr>
            <w:r>
              <w:rPr>
                <w:rFonts w:hint="eastAsia" w:ascii="宋体" w:hAnsi="宋体" w:eastAsia="宋体" w:cs="宋体"/>
                <w:sz w:val="21"/>
                <w:szCs w:val="21"/>
              </w:rPr>
              <w:t>缺项不得分。</w:t>
            </w:r>
          </w:p>
        </w:tc>
      </w:tr>
      <w:tr w14:paraId="511A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2F3D97F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赔付时间</w:t>
            </w:r>
          </w:p>
        </w:tc>
        <w:tc>
          <w:tcPr>
            <w:tcW w:w="565" w:type="pct"/>
            <w:vAlign w:val="center"/>
          </w:tcPr>
          <w:p w14:paraId="5C776F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51942DFE">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评委会根据各供应商所投报赔付到位时间进行综合比较：</w:t>
            </w:r>
          </w:p>
          <w:p w14:paraId="57BEAAE1">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检验完毕后 3 个工作日内赔付到位得10分；</w:t>
            </w:r>
          </w:p>
          <w:p w14:paraId="67CEC43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5个工作日内赔付到位的得6分；</w:t>
            </w:r>
          </w:p>
          <w:p w14:paraId="0CE15B84">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10 个工作日内赔付到位的得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1F9F15C1">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r>
              <w:rPr>
                <w:rFonts w:hint="eastAsia" w:ascii="宋体" w:hAnsi="宋体" w:eastAsia="宋体" w:cs="宋体"/>
                <w:color w:val="000000"/>
                <w:sz w:val="21"/>
                <w:szCs w:val="21"/>
                <w:lang w:val="en-US" w:eastAsia="zh-CN" w:bidi="ar"/>
              </w:rPr>
              <w:t>（供应商自行承诺）</w:t>
            </w:r>
          </w:p>
        </w:tc>
      </w:tr>
      <w:tr w14:paraId="1D8C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2551DE3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理赔程序</w:t>
            </w:r>
          </w:p>
        </w:tc>
        <w:tc>
          <w:tcPr>
            <w:tcW w:w="565" w:type="pct"/>
            <w:vAlign w:val="center"/>
          </w:tcPr>
          <w:p w14:paraId="1D5803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7488F122">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对</w:t>
            </w:r>
            <w:r>
              <w:rPr>
                <w:rFonts w:hint="eastAsia" w:ascii="宋体" w:hAnsi="宋体" w:eastAsia="宋体" w:cs="宋体"/>
                <w:sz w:val="21"/>
                <w:szCs w:val="21"/>
                <w:lang w:bidi="ar"/>
              </w:rPr>
              <w:t>供应商</w:t>
            </w:r>
            <w:r>
              <w:rPr>
                <w:rFonts w:hint="eastAsia" w:ascii="宋体" w:hAnsi="宋体" w:eastAsia="宋体" w:cs="宋体"/>
                <w:sz w:val="21"/>
                <w:szCs w:val="21"/>
              </w:rPr>
              <w:t>制定提供的理赔程序、理赔时效，考察理赔程序的保障方案及重点、难点分析，对理赔流程是否完整、理赔过程是否及时高效、理赔手续是否简化便捷等情况进行评审：</w:t>
            </w:r>
          </w:p>
          <w:p w14:paraId="2CA48F25">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能够提出针对本项目的理赔程序科学性、合理性、可行性进行综合评分。</w:t>
            </w:r>
          </w:p>
          <w:p w14:paraId="2F9B19F7">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理赔程序内容齐全、完整，科学、合理的得10分；</w:t>
            </w:r>
          </w:p>
          <w:p w14:paraId="4C5AAF8E">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理赔程序内容基本完整、合理性较为合理的得6分；</w:t>
            </w:r>
          </w:p>
          <w:p w14:paraId="20C5036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理赔程序内容基本完整、合理性存在欠缺的得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7F7FE67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4F4D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3547DCB9">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2.2.4（3）综合标评分标准（1</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分）</w:t>
            </w:r>
          </w:p>
        </w:tc>
      </w:tr>
      <w:tr w14:paraId="4265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FA4FDF0">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评审内容</w:t>
            </w:r>
          </w:p>
        </w:tc>
        <w:tc>
          <w:tcPr>
            <w:tcW w:w="565" w:type="pct"/>
            <w:vAlign w:val="center"/>
          </w:tcPr>
          <w:p w14:paraId="51BB8212">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分值</w:t>
            </w:r>
          </w:p>
        </w:tc>
        <w:tc>
          <w:tcPr>
            <w:tcW w:w="3541" w:type="pct"/>
            <w:gridSpan w:val="2"/>
            <w:vAlign w:val="center"/>
          </w:tcPr>
          <w:p w14:paraId="77ED16DD">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评审标准</w:t>
            </w:r>
          </w:p>
        </w:tc>
      </w:tr>
      <w:tr w14:paraId="146F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472E55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1.企业业绩</w:t>
            </w:r>
          </w:p>
        </w:tc>
        <w:tc>
          <w:tcPr>
            <w:tcW w:w="565" w:type="pct"/>
            <w:vAlign w:val="center"/>
          </w:tcPr>
          <w:p w14:paraId="6671B7B2">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8</w:t>
            </w:r>
          </w:p>
        </w:tc>
        <w:tc>
          <w:tcPr>
            <w:tcW w:w="3541" w:type="pct"/>
            <w:gridSpan w:val="2"/>
            <w:vAlign w:val="center"/>
          </w:tcPr>
          <w:p w14:paraId="19451FE8">
            <w:pPr>
              <w:spacing w:line="360" w:lineRule="auto"/>
              <w:rPr>
                <w:rFonts w:hint="eastAsia" w:ascii="宋体" w:hAnsi="宋体" w:eastAsia="宋体" w:cs="宋体"/>
                <w:color w:val="auto"/>
                <w:sz w:val="21"/>
                <w:szCs w:val="21"/>
              </w:rPr>
            </w:pPr>
            <w:r>
              <w:rPr>
                <w:rFonts w:hint="eastAsia" w:ascii="宋体" w:hAnsi="宋体" w:eastAsia="宋体" w:cs="宋体"/>
                <w:kern w:val="0"/>
                <w:sz w:val="21"/>
                <w:szCs w:val="21"/>
                <w:lang w:eastAsia="zh-CN"/>
              </w:rPr>
              <w:t>供应商</w:t>
            </w:r>
            <w:r>
              <w:rPr>
                <w:rFonts w:hint="eastAsia" w:ascii="宋体" w:hAnsi="宋体" w:eastAsia="宋体" w:cs="宋体"/>
                <w:kern w:val="0"/>
                <w:sz w:val="21"/>
                <w:szCs w:val="21"/>
                <w:lang w:val="en-US" w:eastAsia="zh-CN"/>
              </w:rPr>
              <w:t>可提供自2021年1月1日至今的类似项目业绩，每有一个得4分，最高得8分。（提供合同原件扫描件及中标通知书，时间以合同签订日期为准）。注：在同一县区承办多年的业务，按一个项目计算。总公司和分支机构的合同均认可。</w:t>
            </w:r>
          </w:p>
        </w:tc>
      </w:tr>
      <w:tr w14:paraId="175C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D5B7182">
            <w:pPr>
              <w:keepNext w:val="0"/>
              <w:keepLines w:val="0"/>
              <w:pageBreakBefore w:val="0"/>
              <w:widowControl/>
              <w:kinsoku/>
              <w:wordWrap/>
              <w:overflowPunct/>
              <w:topLinePunct w:val="0"/>
              <w:autoSpaceDE w:val="0"/>
              <w:autoSpaceDN w:val="0"/>
              <w:bidi w:val="0"/>
              <w:adjustRightInd w:val="0"/>
              <w:snapToGrid/>
              <w:spacing w:line="360" w:lineRule="auto"/>
              <w:ind w:right="-25"/>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kern w:val="0"/>
                <w:sz w:val="21"/>
                <w:szCs w:val="21"/>
              </w:rPr>
              <w:t>综合评价</w:t>
            </w:r>
          </w:p>
        </w:tc>
        <w:tc>
          <w:tcPr>
            <w:tcW w:w="565" w:type="pct"/>
            <w:vAlign w:val="center"/>
          </w:tcPr>
          <w:p w14:paraId="193DDB97">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4</w:t>
            </w:r>
          </w:p>
        </w:tc>
        <w:tc>
          <w:tcPr>
            <w:tcW w:w="3541" w:type="pct"/>
            <w:gridSpan w:val="2"/>
            <w:vAlign w:val="center"/>
          </w:tcPr>
          <w:p w14:paraId="192D0490">
            <w:pPr>
              <w:spacing w:line="360" w:lineRule="auto"/>
              <w:rPr>
                <w:rFonts w:hint="eastAsia" w:ascii="宋体" w:hAnsi="宋体" w:eastAsia="宋体" w:cs="宋体"/>
                <w:color w:val="auto"/>
                <w:sz w:val="21"/>
                <w:szCs w:val="21"/>
              </w:rPr>
            </w:pPr>
            <w:r>
              <w:rPr>
                <w:rFonts w:hint="eastAsia" w:ascii="宋体" w:hAnsi="宋体" w:eastAsia="宋体" w:cs="宋体"/>
                <w:kern w:val="0"/>
                <w:sz w:val="21"/>
                <w:szCs w:val="21"/>
              </w:rPr>
              <w:t>对供应商的响应文件内容的详实程度、科学、合理、可行性进行综合评价，</w:t>
            </w:r>
            <w:r>
              <w:rPr>
                <w:rFonts w:hint="eastAsia" w:ascii="宋体" w:hAnsi="宋体" w:eastAsia="宋体" w:cs="宋体"/>
                <w:kern w:val="0"/>
                <w:sz w:val="21"/>
                <w:szCs w:val="21"/>
                <w:lang w:val="en-US" w:eastAsia="zh-CN"/>
              </w:rPr>
              <w:t>完整详实科学合理得4分，内容有一定欠缺得2分，文件内容简单不合理得1分。</w:t>
            </w:r>
          </w:p>
        </w:tc>
      </w:tr>
    </w:tbl>
    <w:p w14:paraId="7E024DDF">
      <w:pPr>
        <w:pStyle w:val="59"/>
        <w:spacing w:line="360" w:lineRule="auto"/>
        <w:rPr>
          <w:rFonts w:hint="eastAsia" w:ascii="宋体" w:hAnsi="宋体" w:eastAsia="宋体" w:cs="宋体"/>
          <w:sz w:val="21"/>
          <w:szCs w:val="21"/>
        </w:rPr>
      </w:pPr>
      <w:r>
        <w:rPr>
          <w:rFonts w:hint="eastAsia" w:ascii="宋体" w:hAnsi="宋体" w:eastAsia="宋体" w:cs="宋体"/>
          <w:sz w:val="21"/>
          <w:szCs w:val="21"/>
        </w:rPr>
        <w:t>1. 评标方法</w:t>
      </w:r>
      <w:bookmarkEnd w:id="316"/>
      <w:bookmarkEnd w:id="317"/>
      <w:bookmarkEnd w:id="318"/>
      <w:bookmarkEnd w:id="319"/>
      <w:bookmarkEnd w:id="320"/>
      <w:bookmarkEnd w:id="321"/>
      <w:bookmarkEnd w:id="322"/>
    </w:p>
    <w:p w14:paraId="2D6B3D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评标采用综合评估法。磋商小组对满足磋商文件实质性要求的响应文件，按照本章第2.2款规定的评分标准进行打分，并按得分由高到低顺序推荐中标候选人，但投标报价低于其成本的除外。综合评分相等时，以投标报价低的优先；投标报价也相等的，由采购人自行确定。</w:t>
      </w:r>
    </w:p>
    <w:p w14:paraId="4359F6BA">
      <w:pPr>
        <w:pStyle w:val="59"/>
        <w:spacing w:line="360" w:lineRule="auto"/>
        <w:rPr>
          <w:rFonts w:hint="eastAsia" w:ascii="宋体" w:hAnsi="宋体" w:eastAsia="宋体" w:cs="宋体"/>
          <w:sz w:val="21"/>
          <w:szCs w:val="21"/>
        </w:rPr>
      </w:pPr>
      <w:bookmarkStart w:id="323" w:name="_Toc144974568"/>
      <w:bookmarkStart w:id="324" w:name="_Toc179632619"/>
      <w:bookmarkStart w:id="325" w:name="_Toc152042378"/>
      <w:bookmarkStart w:id="326" w:name="_Toc152045601"/>
      <w:bookmarkStart w:id="327" w:name="_Toc16020"/>
      <w:bookmarkStart w:id="328" w:name="_Toc11820"/>
      <w:bookmarkStart w:id="329" w:name="_Toc45177854"/>
      <w:r>
        <w:rPr>
          <w:rFonts w:hint="eastAsia" w:ascii="宋体" w:hAnsi="宋体" w:eastAsia="宋体" w:cs="宋体"/>
          <w:sz w:val="21"/>
          <w:szCs w:val="21"/>
        </w:rPr>
        <w:t>2. 评审标准</w:t>
      </w:r>
      <w:bookmarkEnd w:id="323"/>
      <w:bookmarkEnd w:id="324"/>
      <w:bookmarkEnd w:id="325"/>
      <w:bookmarkEnd w:id="326"/>
      <w:bookmarkEnd w:id="327"/>
      <w:bookmarkEnd w:id="328"/>
      <w:bookmarkEnd w:id="329"/>
    </w:p>
    <w:p w14:paraId="045AE7E8">
      <w:pPr>
        <w:pStyle w:val="60"/>
        <w:spacing w:line="360" w:lineRule="auto"/>
        <w:rPr>
          <w:rFonts w:hint="eastAsia" w:ascii="宋体" w:hAnsi="宋体" w:eastAsia="宋体" w:cs="宋体"/>
          <w:sz w:val="21"/>
          <w:szCs w:val="21"/>
        </w:rPr>
      </w:pPr>
      <w:bookmarkStart w:id="330" w:name="_Toc144974569"/>
      <w:bookmarkStart w:id="331" w:name="_Toc45177855"/>
      <w:bookmarkStart w:id="332" w:name="_Toc179632620"/>
      <w:bookmarkStart w:id="333" w:name="_Toc152045602"/>
      <w:bookmarkStart w:id="334" w:name="_Toc19376"/>
      <w:bookmarkStart w:id="335" w:name="_Toc152042379"/>
      <w:r>
        <w:rPr>
          <w:rFonts w:hint="eastAsia" w:ascii="宋体" w:hAnsi="宋体" w:eastAsia="宋体" w:cs="宋体"/>
          <w:sz w:val="21"/>
          <w:szCs w:val="21"/>
        </w:rPr>
        <w:t>2.1 初步评审标准</w:t>
      </w:r>
      <w:bookmarkEnd w:id="330"/>
      <w:bookmarkEnd w:id="331"/>
      <w:bookmarkEnd w:id="332"/>
      <w:bookmarkEnd w:id="333"/>
      <w:bookmarkEnd w:id="334"/>
      <w:bookmarkEnd w:id="335"/>
    </w:p>
    <w:p w14:paraId="0FA55C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 形式评审标准：见评标办法前附表。</w:t>
      </w:r>
    </w:p>
    <w:p w14:paraId="72295EA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2.1.2资格评审标准：见评标办法前附表。</w:t>
      </w:r>
    </w:p>
    <w:p w14:paraId="77F813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2.1.3响应性评审标准：见评标办法前附表。</w:t>
      </w:r>
    </w:p>
    <w:p w14:paraId="0C6C0F1A">
      <w:pPr>
        <w:pStyle w:val="60"/>
        <w:spacing w:line="360" w:lineRule="auto"/>
        <w:rPr>
          <w:rFonts w:hint="eastAsia" w:ascii="宋体" w:hAnsi="宋体" w:eastAsia="宋体" w:cs="宋体"/>
          <w:sz w:val="21"/>
          <w:szCs w:val="21"/>
        </w:rPr>
      </w:pPr>
      <w:bookmarkStart w:id="336" w:name="_Toc29065"/>
      <w:bookmarkStart w:id="337" w:name="_Toc144974570"/>
      <w:bookmarkStart w:id="338" w:name="_Toc152042380"/>
      <w:bookmarkStart w:id="339" w:name="_Toc179632621"/>
      <w:bookmarkStart w:id="340" w:name="_Toc45177856"/>
      <w:bookmarkStart w:id="341" w:name="_Toc152045603"/>
      <w:r>
        <w:rPr>
          <w:rFonts w:hint="eastAsia" w:ascii="宋体" w:hAnsi="宋体" w:eastAsia="宋体" w:cs="宋体"/>
          <w:sz w:val="21"/>
          <w:szCs w:val="21"/>
        </w:rPr>
        <w:t>2.2 分值构成与评分标准</w:t>
      </w:r>
      <w:bookmarkEnd w:id="336"/>
      <w:bookmarkEnd w:id="337"/>
      <w:bookmarkEnd w:id="338"/>
      <w:bookmarkEnd w:id="339"/>
      <w:bookmarkEnd w:id="340"/>
      <w:bookmarkEnd w:id="341"/>
    </w:p>
    <w:p w14:paraId="499FDCF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 分值构成</w:t>
      </w:r>
    </w:p>
    <w:p w14:paraId="7108F5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（1）商务标：见评标办法前附表； </w:t>
      </w:r>
    </w:p>
    <w:p w14:paraId="754B78F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（2）技术标：见评标办法前附表；</w:t>
      </w:r>
    </w:p>
    <w:p w14:paraId="6E0D77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（3）综合标：见评标办法前附表。 </w:t>
      </w:r>
    </w:p>
    <w:p w14:paraId="621490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评标基准价计算</w:t>
      </w:r>
    </w:p>
    <w:p w14:paraId="1170031A">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59442A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 投标报价的偏差率计算（本项目不适用）</w:t>
      </w:r>
    </w:p>
    <w:p w14:paraId="6B262D51">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391057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 评分标准</w:t>
      </w:r>
    </w:p>
    <w:p w14:paraId="4FD28B9E">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（1）商务标评分标准：见评标办法前附表；</w:t>
      </w:r>
    </w:p>
    <w:p w14:paraId="5890071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（2）技术标评分标准：见评标办法前附表；</w:t>
      </w:r>
    </w:p>
    <w:p w14:paraId="2D5AD69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（3）综合标评分标准：见评标办法前附表。</w:t>
      </w:r>
    </w:p>
    <w:p w14:paraId="5D58CE12">
      <w:pPr>
        <w:pStyle w:val="60"/>
        <w:spacing w:line="360" w:lineRule="auto"/>
        <w:rPr>
          <w:rFonts w:hint="eastAsia" w:ascii="宋体" w:hAnsi="宋体" w:eastAsia="宋体" w:cs="宋体"/>
          <w:sz w:val="21"/>
          <w:szCs w:val="21"/>
        </w:rPr>
      </w:pPr>
      <w:bookmarkStart w:id="342" w:name="_Toc152045605"/>
      <w:bookmarkStart w:id="343" w:name="_Toc179632623"/>
      <w:bookmarkStart w:id="344" w:name="_Toc152042382"/>
      <w:bookmarkStart w:id="345" w:name="_Toc20036"/>
      <w:bookmarkStart w:id="346" w:name="_Toc45177857"/>
      <w:bookmarkStart w:id="347" w:name="_Toc144974572"/>
      <w:r>
        <w:rPr>
          <w:rFonts w:hint="eastAsia" w:ascii="宋体" w:hAnsi="宋体" w:eastAsia="宋体" w:cs="宋体"/>
          <w:sz w:val="21"/>
          <w:szCs w:val="21"/>
        </w:rPr>
        <w:t>3.1 初步评审</w:t>
      </w:r>
      <w:bookmarkEnd w:id="342"/>
      <w:bookmarkEnd w:id="343"/>
      <w:bookmarkEnd w:id="344"/>
      <w:bookmarkEnd w:id="345"/>
      <w:bookmarkEnd w:id="346"/>
      <w:bookmarkEnd w:id="347"/>
    </w:p>
    <w:p w14:paraId="03B0AD1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3.1.1磋商小组依据本章第2.1款规定的标准对响应文件进行初步评审。有一项不符合评审标准的，否决其投标。</w:t>
      </w:r>
    </w:p>
    <w:p w14:paraId="75C2AF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 供应商有以下情形之一的，否决其投标：</w:t>
      </w:r>
    </w:p>
    <w:p w14:paraId="6C227A22">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（1）第二章“供应商须知”第1.4.3项规定的任何一种情形的；</w:t>
      </w:r>
    </w:p>
    <w:p w14:paraId="1D890FBB">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1D22BCD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（3）不按磋商小组要求澄清、说明或补正的。</w:t>
      </w:r>
    </w:p>
    <w:p w14:paraId="4F4F79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3.1.3投标报价有算术错误的，磋商小组按以下原则对投标报价进行修正，修正的价格经供应商书面确认后具有约束力。供应商不接受修正价格的，否决其投标。</w:t>
      </w:r>
    </w:p>
    <w:p w14:paraId="14F2F25B">
      <w:pPr>
        <w:spacing w:line="360" w:lineRule="auto"/>
        <w:ind w:firstLine="718" w:firstLineChars="342"/>
        <w:rPr>
          <w:rFonts w:hint="eastAsia" w:ascii="宋体" w:hAnsi="宋体" w:eastAsia="宋体" w:cs="宋体"/>
          <w:sz w:val="21"/>
          <w:szCs w:val="21"/>
        </w:rPr>
      </w:pPr>
      <w:bookmarkStart w:id="348" w:name="_Toc152042383"/>
      <w:r>
        <w:rPr>
          <w:rFonts w:hint="eastAsia" w:ascii="宋体" w:hAnsi="宋体" w:eastAsia="宋体" w:cs="宋体"/>
          <w:sz w:val="21"/>
          <w:szCs w:val="21"/>
        </w:rPr>
        <w:t>（1）响应文件中的大写金额与小写金额不一致的，以大写金额为准；</w:t>
      </w:r>
      <w:bookmarkEnd w:id="348"/>
    </w:p>
    <w:p w14:paraId="41AD111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6D49DA4B">
      <w:pPr>
        <w:pStyle w:val="60"/>
        <w:spacing w:line="360" w:lineRule="auto"/>
        <w:rPr>
          <w:rFonts w:hint="eastAsia" w:ascii="宋体" w:hAnsi="宋体" w:eastAsia="宋体" w:cs="宋体"/>
          <w:sz w:val="21"/>
          <w:szCs w:val="21"/>
        </w:rPr>
      </w:pPr>
      <w:bookmarkStart w:id="349" w:name="_Toc12530"/>
      <w:bookmarkStart w:id="350" w:name="_Toc179632624"/>
      <w:bookmarkStart w:id="351" w:name="_Toc144974573"/>
      <w:bookmarkStart w:id="352" w:name="_Toc45177858"/>
      <w:bookmarkStart w:id="353" w:name="_Toc152042384"/>
      <w:bookmarkStart w:id="354" w:name="_Toc152045606"/>
      <w:r>
        <w:rPr>
          <w:rFonts w:hint="eastAsia" w:ascii="宋体" w:hAnsi="宋体" w:eastAsia="宋体" w:cs="宋体"/>
          <w:sz w:val="21"/>
          <w:szCs w:val="21"/>
        </w:rPr>
        <w:t>3.2 详细评审</w:t>
      </w:r>
      <w:bookmarkEnd w:id="349"/>
      <w:bookmarkEnd w:id="350"/>
      <w:bookmarkEnd w:id="351"/>
      <w:bookmarkEnd w:id="352"/>
      <w:bookmarkEnd w:id="353"/>
      <w:bookmarkEnd w:id="354"/>
    </w:p>
    <w:p w14:paraId="2C0685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3.2.1 磋商小组按本章第2.2款规定的量化因素和分值进行打分，并计算出综合评估得分。</w:t>
      </w:r>
    </w:p>
    <w:p w14:paraId="49E8082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（1）按本章第2.2.4（1）目规定的评审因素和分值对商务标计算出得分A；</w:t>
      </w:r>
    </w:p>
    <w:p w14:paraId="0B9A4B8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（2）按本章第2.2.4（2）目规定的评审因素和分值对技术标计算出得分B；</w:t>
      </w:r>
    </w:p>
    <w:p w14:paraId="71235083">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（3）按本章第2.2.4（3）目规定的评审因素和分值对综合标计算出得分C。</w:t>
      </w:r>
    </w:p>
    <w:p w14:paraId="4D5D8E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2C6010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 供应商得分=技术标得分+商务标得分+综合标得分。</w:t>
      </w:r>
    </w:p>
    <w:p w14:paraId="49294E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供应商最终得分=各磋商小组打分之和的算数平均值。</w:t>
      </w:r>
    </w:p>
    <w:p w14:paraId="7AE1EF5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6854D1B8">
      <w:pPr>
        <w:pStyle w:val="60"/>
        <w:spacing w:line="360" w:lineRule="auto"/>
        <w:rPr>
          <w:rFonts w:hint="eastAsia" w:ascii="宋体" w:hAnsi="宋体" w:eastAsia="宋体" w:cs="宋体"/>
          <w:sz w:val="21"/>
          <w:szCs w:val="21"/>
        </w:rPr>
      </w:pPr>
      <w:bookmarkStart w:id="355" w:name="_Toc144974575"/>
      <w:bookmarkStart w:id="356" w:name="_Toc152045607"/>
      <w:bookmarkStart w:id="357" w:name="_Toc152042385"/>
      <w:bookmarkStart w:id="358" w:name="_Toc13110"/>
      <w:bookmarkStart w:id="359" w:name="_Toc45177859"/>
      <w:bookmarkStart w:id="360" w:name="_Toc179632625"/>
      <w:r>
        <w:rPr>
          <w:rFonts w:hint="eastAsia" w:ascii="宋体" w:hAnsi="宋体" w:eastAsia="宋体" w:cs="宋体"/>
          <w:sz w:val="21"/>
          <w:szCs w:val="21"/>
        </w:rPr>
        <w:t>3.3 响应文件的澄清</w:t>
      </w:r>
      <w:bookmarkEnd w:id="355"/>
      <w:r>
        <w:rPr>
          <w:rFonts w:hint="eastAsia" w:ascii="宋体" w:hAnsi="宋体" w:eastAsia="宋体" w:cs="宋体"/>
          <w:sz w:val="21"/>
          <w:szCs w:val="21"/>
        </w:rPr>
        <w:t>和补正</w:t>
      </w:r>
      <w:bookmarkEnd w:id="356"/>
      <w:bookmarkEnd w:id="357"/>
      <w:bookmarkEnd w:id="358"/>
      <w:bookmarkEnd w:id="359"/>
      <w:bookmarkEnd w:id="360"/>
    </w:p>
    <w:p w14:paraId="17C46D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3.3.1在评标过程中，磋商小组可以书面形式要求供应商对所提交响应文件中不明确的内容进行书面澄清或说明，或者对细微偏差进行补正。磋商小组不接受供应商主动提出的澄清、说明或补正。</w:t>
      </w:r>
    </w:p>
    <w:p w14:paraId="560D92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3.3.2 澄清、说明和补正不得改变响应文件的实质性内容（算术性错误修正的除外）。供应商的书面澄清、说明和补正属于响应文件的组成部分。</w:t>
      </w:r>
    </w:p>
    <w:p w14:paraId="1767583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3.3.3 磋商小组对供应商提交的澄清、说明或补正有疑问的，可以要求供应商进一步澄清、说明或补正，直至满足磋商小组的要求。</w:t>
      </w:r>
    </w:p>
    <w:p w14:paraId="565DBDBC">
      <w:pPr>
        <w:pStyle w:val="60"/>
        <w:spacing w:line="360" w:lineRule="auto"/>
        <w:rPr>
          <w:rFonts w:hint="eastAsia" w:ascii="宋体" w:hAnsi="宋体" w:eastAsia="宋体" w:cs="宋体"/>
          <w:sz w:val="21"/>
          <w:szCs w:val="21"/>
        </w:rPr>
      </w:pPr>
      <w:bookmarkStart w:id="361" w:name="_Toc152042386"/>
      <w:bookmarkStart w:id="362" w:name="_Toc152045608"/>
      <w:bookmarkStart w:id="363" w:name="_Toc179632626"/>
      <w:bookmarkStart w:id="364" w:name="_Toc144974576"/>
      <w:bookmarkStart w:id="365" w:name="_Toc11951"/>
      <w:bookmarkStart w:id="366" w:name="_Toc45177860"/>
      <w:r>
        <w:rPr>
          <w:rFonts w:hint="eastAsia" w:ascii="宋体" w:hAnsi="宋体" w:eastAsia="宋体" w:cs="宋体"/>
          <w:sz w:val="21"/>
          <w:szCs w:val="21"/>
        </w:rPr>
        <w:t>3.4 评标结果</w:t>
      </w:r>
      <w:bookmarkEnd w:id="361"/>
      <w:bookmarkEnd w:id="362"/>
      <w:bookmarkEnd w:id="363"/>
      <w:bookmarkEnd w:id="364"/>
      <w:bookmarkEnd w:id="365"/>
      <w:bookmarkEnd w:id="366"/>
    </w:p>
    <w:p w14:paraId="5C4621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3.4.1除第二章“供应商须知”前附表授权直接确定成交人外，磋商小组按照得分由高到低的顺序推荐中标候选人。</w:t>
      </w:r>
    </w:p>
    <w:p w14:paraId="09FD6F6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3.4.2 磋商小组完成评标后，应当向采购人提交书面评标报告。</w:t>
      </w:r>
    </w:p>
    <w:p w14:paraId="7B39A269">
      <w:pPr>
        <w:pStyle w:val="59"/>
        <w:spacing w:line="360" w:lineRule="auto"/>
        <w:rPr>
          <w:rFonts w:hint="eastAsia" w:ascii="宋体" w:hAnsi="宋体" w:eastAsia="宋体" w:cs="宋体"/>
          <w:sz w:val="21"/>
          <w:szCs w:val="21"/>
        </w:rPr>
      </w:pPr>
      <w:bookmarkStart w:id="367" w:name="_Toc1825"/>
      <w:bookmarkStart w:id="368" w:name="_Toc45177861"/>
      <w:bookmarkStart w:id="369" w:name="_Toc29158"/>
      <w:r>
        <w:rPr>
          <w:rFonts w:hint="eastAsia" w:ascii="宋体" w:hAnsi="宋体" w:eastAsia="宋体" w:cs="宋体"/>
          <w:sz w:val="21"/>
          <w:szCs w:val="21"/>
        </w:rPr>
        <w:t>4. 无效标条件</w:t>
      </w:r>
      <w:bookmarkEnd w:id="367"/>
      <w:bookmarkEnd w:id="368"/>
      <w:bookmarkEnd w:id="369"/>
    </w:p>
    <w:p w14:paraId="1F170B89">
      <w:pPr>
        <w:pStyle w:val="32"/>
        <w:spacing w:line="360" w:lineRule="auto"/>
        <w:ind w:firstLine="210"/>
        <w:rPr>
          <w:rFonts w:hint="eastAsia" w:ascii="宋体" w:hAnsi="宋体" w:eastAsia="宋体" w:cs="宋体"/>
          <w:szCs w:val="21"/>
        </w:rPr>
      </w:pPr>
      <w:r>
        <w:rPr>
          <w:rFonts w:hint="eastAsia" w:ascii="宋体" w:hAnsi="宋体" w:eastAsia="宋体" w:cs="宋体"/>
          <w:szCs w:val="21"/>
        </w:rPr>
        <w:t>供应商或其响应文件有下列情形之一的，其投标作无效标处理：</w:t>
      </w:r>
    </w:p>
    <w:p w14:paraId="1B5D83FD">
      <w:pPr>
        <w:pStyle w:val="32"/>
        <w:spacing w:line="360" w:lineRule="auto"/>
        <w:ind w:firstLine="210"/>
        <w:rPr>
          <w:rFonts w:hint="eastAsia" w:ascii="宋体" w:hAnsi="宋体" w:eastAsia="宋体" w:cs="宋体"/>
          <w:szCs w:val="21"/>
        </w:rPr>
      </w:pPr>
      <w:r>
        <w:rPr>
          <w:rFonts w:hint="eastAsia" w:ascii="宋体" w:hAnsi="宋体" w:eastAsia="宋体" w:cs="宋体"/>
          <w:szCs w:val="21"/>
        </w:rPr>
        <w:t>4.1 有第二章“供应商须知”第1.4.3项规定的任何一种情形的。</w:t>
      </w:r>
    </w:p>
    <w:p w14:paraId="4AD640DF">
      <w:pPr>
        <w:pStyle w:val="32"/>
        <w:spacing w:line="360" w:lineRule="auto"/>
        <w:ind w:firstLine="210"/>
        <w:rPr>
          <w:rFonts w:hint="eastAsia" w:ascii="宋体" w:hAnsi="宋体" w:eastAsia="宋体" w:cs="宋体"/>
          <w:szCs w:val="21"/>
        </w:rPr>
      </w:pPr>
      <w:r>
        <w:rPr>
          <w:rFonts w:hint="eastAsia" w:ascii="宋体" w:hAnsi="宋体" w:eastAsia="宋体" w:cs="宋体"/>
          <w:szCs w:val="21"/>
        </w:rPr>
        <w:t>4.2 有串通投标或弄虚作假或有其他违法行为的。</w:t>
      </w:r>
    </w:p>
    <w:p w14:paraId="75C2B428">
      <w:pPr>
        <w:pStyle w:val="32"/>
        <w:spacing w:line="360" w:lineRule="auto"/>
        <w:ind w:firstLine="210"/>
        <w:rPr>
          <w:rFonts w:hint="eastAsia" w:ascii="宋体" w:hAnsi="宋体" w:eastAsia="宋体" w:cs="宋体"/>
          <w:szCs w:val="21"/>
        </w:rPr>
      </w:pPr>
      <w:r>
        <w:rPr>
          <w:rFonts w:hint="eastAsia" w:ascii="宋体" w:hAnsi="宋体" w:eastAsia="宋体" w:cs="宋体"/>
          <w:szCs w:val="21"/>
        </w:rPr>
        <w:t>4.3 不按磋商小组要求澄清、说明或补正的。</w:t>
      </w:r>
    </w:p>
    <w:p w14:paraId="67D4CC05">
      <w:pPr>
        <w:pStyle w:val="32"/>
        <w:spacing w:line="360" w:lineRule="auto"/>
        <w:ind w:firstLine="210"/>
        <w:rPr>
          <w:rFonts w:hint="eastAsia" w:ascii="宋体" w:hAnsi="宋体" w:eastAsia="宋体" w:cs="宋体"/>
          <w:szCs w:val="21"/>
        </w:rPr>
      </w:pPr>
      <w:r>
        <w:rPr>
          <w:rFonts w:hint="eastAsia" w:ascii="宋体" w:hAnsi="宋体" w:eastAsia="宋体" w:cs="宋体"/>
          <w:szCs w:val="21"/>
        </w:rPr>
        <w:t>4.4 在形式评审、资格评审、响应性评审中，磋商小组认定供应商的响应文件不符合评标办法前附表中规定的任何一项评审标准的。</w:t>
      </w:r>
    </w:p>
    <w:p w14:paraId="38547F65">
      <w:pPr>
        <w:pStyle w:val="32"/>
        <w:spacing w:line="360" w:lineRule="auto"/>
        <w:ind w:firstLine="210"/>
        <w:rPr>
          <w:rFonts w:hint="eastAsia" w:ascii="宋体" w:hAnsi="宋体" w:eastAsia="宋体" w:cs="宋体"/>
          <w:szCs w:val="21"/>
        </w:rPr>
      </w:pPr>
      <w:r>
        <w:rPr>
          <w:rFonts w:hint="eastAsia" w:ascii="宋体" w:hAnsi="宋体" w:eastAsia="宋体" w:cs="宋体"/>
          <w:szCs w:val="21"/>
        </w:rPr>
        <w:t>4.5 磋商小组认定供应商以低于成本报价竞标的。</w:t>
      </w:r>
    </w:p>
    <w:p w14:paraId="1FB5C98D">
      <w:pPr>
        <w:rPr>
          <w:rFonts w:hint="eastAsia" w:ascii="宋体" w:hAnsi="宋体" w:eastAsia="宋体" w:cs="宋体"/>
          <w:b/>
          <w:sz w:val="32"/>
        </w:rPr>
      </w:pPr>
      <w:bookmarkStart w:id="370" w:name="_Toc31883"/>
      <w:bookmarkStart w:id="371" w:name="_Toc45177862"/>
      <w:r>
        <w:rPr>
          <w:rFonts w:hint="eastAsia" w:ascii="宋体" w:hAnsi="宋体" w:eastAsia="宋体" w:cs="宋体"/>
          <w:b/>
          <w:sz w:val="32"/>
        </w:rPr>
        <w:br w:type="page"/>
      </w:r>
    </w:p>
    <w:p w14:paraId="77761206">
      <w:pPr>
        <w:jc w:val="center"/>
        <w:outlineLvl w:val="0"/>
        <w:rPr>
          <w:rFonts w:hint="eastAsia" w:ascii="宋体" w:hAnsi="宋体" w:eastAsia="宋体" w:cs="宋体"/>
          <w:b/>
          <w:sz w:val="32"/>
        </w:rPr>
      </w:pPr>
      <w:bookmarkStart w:id="372" w:name="_Toc5180"/>
      <w:r>
        <w:rPr>
          <w:rFonts w:hint="eastAsia" w:ascii="宋体" w:hAnsi="宋体" w:eastAsia="宋体" w:cs="宋体"/>
          <w:b/>
          <w:sz w:val="32"/>
        </w:rPr>
        <w:t>第四章  合同条款及格式</w:t>
      </w:r>
      <w:bookmarkEnd w:id="370"/>
      <w:bookmarkEnd w:id="371"/>
      <w:bookmarkEnd w:id="372"/>
    </w:p>
    <w:p w14:paraId="72AAD793">
      <w:pPr>
        <w:adjustRightInd w:val="0"/>
        <w:snapToGrid w:val="0"/>
        <w:spacing w:line="420" w:lineRule="exact"/>
        <w:ind w:firstLine="485" w:firstLineChars="230"/>
        <w:jc w:val="center"/>
        <w:rPr>
          <w:rFonts w:hint="eastAsia" w:ascii="宋体" w:hAnsi="宋体" w:eastAsia="宋体" w:cs="宋体"/>
          <w:b/>
          <w:sz w:val="21"/>
          <w:szCs w:val="21"/>
        </w:rPr>
      </w:pPr>
      <w:bookmarkStart w:id="373" w:name="_Toc6896247"/>
      <w:r>
        <w:rPr>
          <w:rFonts w:hint="eastAsia" w:ascii="宋体" w:hAnsi="宋体" w:eastAsia="宋体" w:cs="宋体"/>
          <w:b/>
          <w:sz w:val="21"/>
          <w:szCs w:val="21"/>
        </w:rPr>
        <w:t>（仅供参考，以实际签订为准）</w:t>
      </w:r>
    </w:p>
    <w:p w14:paraId="6F8CEBC9">
      <w:pPr>
        <w:pStyle w:val="33"/>
        <w:ind w:left="480"/>
        <w:rPr>
          <w:rFonts w:hint="eastAsia" w:ascii="宋体" w:hAnsi="宋体" w:eastAsia="宋体" w:cs="宋体"/>
        </w:rPr>
      </w:pPr>
    </w:p>
    <w:p w14:paraId="78819AA7">
      <w:pPr>
        <w:adjustRightInd w:val="0"/>
        <w:snapToGrid w:val="0"/>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eastAsia="zh-CN"/>
        </w:rPr>
        <w:t>甲方</w:t>
      </w:r>
      <w:r>
        <w:rPr>
          <w:rFonts w:hint="eastAsia" w:ascii="宋体" w:hAnsi="宋体" w:eastAsia="宋体" w:cs="宋体"/>
          <w:b/>
          <w:sz w:val="21"/>
          <w:szCs w:val="21"/>
        </w:rPr>
        <w:t>（全称）：</w:t>
      </w:r>
      <w:r>
        <w:rPr>
          <w:rFonts w:hint="eastAsia" w:ascii="宋体" w:hAnsi="宋体" w:eastAsia="宋体" w:cs="宋体"/>
          <w:b/>
          <w:bCs/>
          <w:sz w:val="21"/>
          <w:szCs w:val="21"/>
          <w:u w:val="single"/>
          <w:lang w:val="en-US" w:eastAsia="zh-CN"/>
        </w:rPr>
        <w:t xml:space="preserve">中共平顶山市新华区委政法委员会 </w:t>
      </w:r>
    </w:p>
    <w:p w14:paraId="465905FC">
      <w:pPr>
        <w:adjustRightInd w:val="0"/>
        <w:snapToGrid w:val="0"/>
        <w:spacing w:line="360" w:lineRule="auto"/>
        <w:ind w:firstLine="422" w:firstLineChars="200"/>
        <w:rPr>
          <w:rFonts w:hint="default" w:ascii="宋体" w:hAnsi="宋体" w:eastAsia="宋体" w:cs="宋体"/>
          <w:sz w:val="21"/>
          <w:szCs w:val="21"/>
          <w:u w:val="single"/>
          <w:lang w:val="en-US"/>
        </w:rPr>
      </w:pPr>
      <w:r>
        <w:rPr>
          <w:rFonts w:hint="eastAsia" w:ascii="宋体" w:hAnsi="宋体" w:eastAsia="宋体" w:cs="宋体"/>
          <w:b/>
          <w:sz w:val="21"/>
          <w:szCs w:val="21"/>
          <w:lang w:eastAsia="zh-CN"/>
        </w:rPr>
        <w:t>乙方</w:t>
      </w:r>
      <w:r>
        <w:rPr>
          <w:rFonts w:hint="eastAsia" w:ascii="宋体" w:hAnsi="宋体" w:eastAsia="宋体" w:cs="宋体"/>
          <w:b/>
          <w:sz w:val="21"/>
          <w:szCs w:val="21"/>
        </w:rPr>
        <w:t>（全称）：</w:t>
      </w:r>
      <w:r>
        <w:rPr>
          <w:rFonts w:hint="eastAsia" w:ascii="宋体" w:hAnsi="宋体" w:eastAsia="宋体" w:cs="宋体"/>
          <w:b/>
          <w:sz w:val="21"/>
          <w:szCs w:val="21"/>
          <w:u w:val="single"/>
          <w:lang w:val="en-US" w:eastAsia="zh-CN"/>
        </w:rPr>
        <w:t xml:space="preserve">                               </w:t>
      </w:r>
    </w:p>
    <w:p w14:paraId="303BD4B9">
      <w:pPr>
        <w:spacing w:line="360" w:lineRule="auto"/>
        <w:ind w:left="271" w:leftChars="113" w:firstLine="405" w:firstLineChars="193"/>
        <w:jc w:val="lef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进一步深化平安新华区建设，推进社会治安综合保险工作，切实维护社会和广大人民群众根本利益，不断提高公众安全感和执法满意度，根据《中国人民共和国民法典》、《中国人民共和国保险法》及其他法律法规的规定，遵循平等、自愿、公平和诚信的原则，双方就下述项目与相关服务事项协商一致，订立本保险合同。</w:t>
      </w:r>
    </w:p>
    <w:p w14:paraId="3E6D8E25">
      <w:pPr>
        <w:spacing w:line="360" w:lineRule="auto"/>
        <w:jc w:val="left"/>
        <w:outlineLvl w:val="1"/>
        <w:rPr>
          <w:rFonts w:hint="eastAsia" w:ascii="宋体" w:hAnsi="宋体" w:eastAsia="宋体" w:cs="宋体"/>
          <w:b/>
          <w:bCs/>
          <w:sz w:val="21"/>
          <w:szCs w:val="21"/>
          <w:u w:val="none"/>
          <w:lang w:val="en-US" w:eastAsia="zh-CN"/>
        </w:rPr>
      </w:pPr>
      <w:bookmarkStart w:id="374" w:name="_Toc19989_WPSOffice_Level1"/>
      <w:bookmarkStart w:id="375" w:name="_Toc26472_WPSOffice_Level1"/>
      <w:r>
        <w:rPr>
          <w:rFonts w:hint="eastAsia" w:ascii="宋体" w:hAnsi="宋体" w:eastAsia="宋体" w:cs="宋体"/>
          <w:b/>
          <w:bCs/>
          <w:sz w:val="21"/>
          <w:szCs w:val="21"/>
          <w:u w:val="none"/>
          <w:lang w:val="en-US" w:eastAsia="zh-CN"/>
        </w:rPr>
        <w:t>一、项目概况</w:t>
      </w:r>
      <w:bookmarkEnd w:id="374"/>
      <w:bookmarkEnd w:id="375"/>
    </w:p>
    <w:p w14:paraId="113EDDAE">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6" w:name="_Toc3769_WPSOffice_Level2"/>
      <w:r>
        <w:rPr>
          <w:rFonts w:hint="eastAsia" w:ascii="宋体" w:hAnsi="宋体" w:eastAsia="宋体" w:cs="宋体"/>
          <w:sz w:val="21"/>
          <w:szCs w:val="21"/>
          <w:u w:val="none"/>
          <w:lang w:val="en-US" w:eastAsia="zh-CN"/>
        </w:rPr>
        <w:t>1.项目名称</w:t>
      </w:r>
      <w:r>
        <w:rPr>
          <w:rFonts w:hint="eastAsia" w:ascii="宋体" w:hAnsi="宋体" w:eastAsia="宋体" w:cs="宋体"/>
          <w:sz w:val="21"/>
          <w:szCs w:val="21"/>
        </w:rPr>
        <w:t>：</w:t>
      </w:r>
      <w:bookmarkEnd w:id="376"/>
      <w:r>
        <w:rPr>
          <w:rFonts w:hint="eastAsia" w:ascii="宋体" w:hAnsi="宋体" w:eastAsia="宋体" w:cs="宋体"/>
          <w:sz w:val="21"/>
          <w:szCs w:val="21"/>
          <w:u w:val="single"/>
          <w:lang w:val="en-US" w:eastAsia="zh-CN"/>
        </w:rPr>
        <w:t xml:space="preserve">中共平顶山市新华区委政法委员会新华区平安家园民生综合保险项目                                                </w:t>
      </w:r>
    </w:p>
    <w:p w14:paraId="77F76257">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7" w:name="_Toc5209_WPSOffice_Level2"/>
      <w:r>
        <w:rPr>
          <w:rFonts w:hint="eastAsia" w:ascii="宋体" w:hAnsi="宋体" w:eastAsia="宋体" w:cs="宋体"/>
          <w:sz w:val="21"/>
          <w:szCs w:val="21"/>
        </w:rPr>
        <w:t>2.</w:t>
      </w:r>
      <w:r>
        <w:rPr>
          <w:rFonts w:hint="eastAsia" w:ascii="宋体" w:hAnsi="宋体" w:eastAsia="宋体" w:cs="宋体"/>
          <w:sz w:val="21"/>
          <w:szCs w:val="21"/>
          <w:lang w:eastAsia="zh-CN"/>
        </w:rPr>
        <w:t>标段名称：</w:t>
      </w:r>
      <w:bookmarkEnd w:id="377"/>
      <w:r>
        <w:rPr>
          <w:rFonts w:hint="eastAsia" w:ascii="宋体" w:hAnsi="宋体" w:eastAsia="宋体" w:cs="宋体"/>
          <w:sz w:val="21"/>
          <w:szCs w:val="21"/>
          <w:u w:val="single"/>
          <w:lang w:val="en-US" w:eastAsia="zh-CN"/>
        </w:rPr>
        <w:t xml:space="preserve">                                                            </w:t>
      </w:r>
    </w:p>
    <w:p w14:paraId="3B089975">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8" w:name="_Toc12950_WPSOffice_Level2"/>
      <w:r>
        <w:rPr>
          <w:rFonts w:hint="eastAsia" w:ascii="宋体" w:hAnsi="宋体" w:eastAsia="宋体" w:cs="宋体"/>
          <w:sz w:val="21"/>
          <w:szCs w:val="21"/>
          <w:lang w:val="en-US" w:eastAsia="zh-CN"/>
        </w:rPr>
        <w:t>3.投保主体</w:t>
      </w:r>
      <w:r>
        <w:rPr>
          <w:rFonts w:hint="eastAsia" w:ascii="宋体" w:hAnsi="宋体" w:eastAsia="宋体" w:cs="宋体"/>
          <w:sz w:val="21"/>
          <w:szCs w:val="21"/>
          <w:lang w:eastAsia="zh-CN"/>
        </w:rPr>
        <w:t>：</w:t>
      </w:r>
      <w:r>
        <w:rPr>
          <w:rFonts w:hint="eastAsia" w:ascii="宋体" w:hAnsi="宋体" w:eastAsia="宋体" w:cs="宋体"/>
          <w:sz w:val="21"/>
          <w:szCs w:val="21"/>
          <w:u w:val="single"/>
          <w:lang w:eastAsia="zh-CN"/>
        </w:rPr>
        <w:t>中共平顶山市新华区委政法委员会</w:t>
      </w:r>
      <w:bookmarkEnd w:id="378"/>
      <w:r>
        <w:rPr>
          <w:rFonts w:hint="eastAsia" w:ascii="宋体" w:hAnsi="宋体" w:eastAsia="宋体" w:cs="宋体"/>
          <w:sz w:val="21"/>
          <w:szCs w:val="21"/>
          <w:u w:val="single"/>
          <w:lang w:val="en-US" w:eastAsia="zh-CN"/>
        </w:rPr>
        <w:t xml:space="preserve">                           </w:t>
      </w:r>
    </w:p>
    <w:p w14:paraId="6083E49D">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9" w:name="_Toc27705_WPSOffice_Level2"/>
      <w:r>
        <w:rPr>
          <w:rFonts w:hint="eastAsia" w:ascii="宋体" w:hAnsi="宋体" w:eastAsia="宋体" w:cs="宋体"/>
          <w:sz w:val="21"/>
          <w:szCs w:val="21"/>
          <w:u w:val="none"/>
          <w:lang w:val="en-US" w:eastAsia="zh-CN"/>
        </w:rPr>
        <w:t>4.保险类别：</w:t>
      </w:r>
      <w:bookmarkEnd w:id="379"/>
      <w:r>
        <w:rPr>
          <w:rFonts w:hint="eastAsia" w:ascii="宋体" w:hAnsi="宋体" w:eastAsia="宋体" w:cs="宋体"/>
          <w:sz w:val="21"/>
          <w:szCs w:val="21"/>
          <w:u w:val="single"/>
          <w:lang w:val="en-US" w:eastAsia="zh-CN"/>
        </w:rPr>
        <w:t xml:space="preserve">新华区平安家园民生综合保险                              </w:t>
      </w:r>
    </w:p>
    <w:p w14:paraId="03160237">
      <w:pPr>
        <w:spacing w:line="360" w:lineRule="auto"/>
        <w:ind w:left="271" w:leftChars="113" w:firstLine="405" w:firstLineChars="193"/>
        <w:jc w:val="left"/>
        <w:rPr>
          <w:rFonts w:hint="eastAsia" w:ascii="宋体" w:hAnsi="宋体" w:eastAsia="宋体" w:cs="宋体"/>
          <w:sz w:val="21"/>
          <w:szCs w:val="21"/>
          <w:u w:val="none"/>
          <w:lang w:val="en-US" w:eastAsia="zh-CN"/>
        </w:rPr>
      </w:pPr>
      <w:bookmarkStart w:id="380" w:name="_Toc23857_WPSOffice_Level2"/>
      <w:r>
        <w:rPr>
          <w:rFonts w:hint="eastAsia" w:ascii="宋体" w:hAnsi="宋体" w:eastAsia="宋体" w:cs="宋体"/>
          <w:sz w:val="21"/>
          <w:szCs w:val="21"/>
          <w:u w:val="none"/>
          <w:lang w:val="en-US" w:eastAsia="zh-CN"/>
        </w:rPr>
        <w:t>5.保险责任范围:</w:t>
      </w:r>
      <w:bookmarkEnd w:id="380"/>
      <w:r>
        <w:rPr>
          <w:rFonts w:hint="eastAsia" w:ascii="宋体" w:hAnsi="宋体" w:eastAsia="宋体" w:cs="宋体"/>
          <w:sz w:val="21"/>
          <w:szCs w:val="21"/>
          <w:u w:val="none"/>
          <w:lang w:val="en-US" w:eastAsia="zh-CN"/>
        </w:rPr>
        <w:t xml:space="preserve"> </w:t>
      </w:r>
    </w:p>
    <w:p w14:paraId="63FCEEBB">
      <w:pPr>
        <w:spacing w:line="360" w:lineRule="auto"/>
        <w:ind w:left="271" w:leftChars="113" w:firstLine="405" w:firstLineChars="193"/>
        <w:jc w:val="left"/>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一标段：以光明路为界，以东为第一标段，矿工路街道、中兴路街道、光明路街道、湛北路街道4个街道辖区境内的平安家园民生综合保险业务。</w:t>
      </w:r>
    </w:p>
    <w:p w14:paraId="2164F229">
      <w:pPr>
        <w:spacing w:line="360" w:lineRule="auto"/>
        <w:ind w:left="271" w:leftChars="113" w:firstLine="405" w:firstLineChars="193"/>
        <w:jc w:val="left"/>
        <w:rPr>
          <w:rFonts w:hint="eastAsia" w:ascii="宋体" w:hAnsi="宋体" w:eastAsia="宋体" w:cs="宋体"/>
          <w:sz w:val="21"/>
          <w:szCs w:val="21"/>
          <w:u w:val="single"/>
          <w:lang w:val="en-US" w:eastAsia="zh-CN"/>
        </w:rPr>
      </w:pPr>
      <w:r>
        <w:rPr>
          <w:rFonts w:hint="eastAsia" w:ascii="宋体" w:hAnsi="宋体" w:eastAsia="宋体" w:cs="宋体"/>
          <w:sz w:val="21"/>
          <w:szCs w:val="21"/>
          <w:highlight w:val="none"/>
          <w:u w:val="single"/>
          <w:lang w:val="en-US" w:eastAsia="zh-CN"/>
        </w:rPr>
        <w:t>二标段：以光明路为界，以西为第二标段，曙光街、西市场、西高皇、焦店、新新街、青石山、香山7个镇街道辖区境内</w:t>
      </w:r>
      <w:r>
        <w:rPr>
          <w:rFonts w:hint="eastAsia" w:ascii="宋体" w:hAnsi="宋体" w:eastAsia="宋体" w:cs="宋体"/>
          <w:sz w:val="21"/>
          <w:szCs w:val="21"/>
          <w:u w:val="single"/>
          <w:lang w:val="en-US" w:eastAsia="zh-CN"/>
        </w:rPr>
        <w:t>的平安家园民生综合保险业务</w:t>
      </w:r>
      <w:r>
        <w:rPr>
          <w:rFonts w:hint="eastAsia" w:ascii="宋体" w:hAnsi="宋体" w:eastAsia="宋体" w:cs="宋体"/>
          <w:sz w:val="21"/>
          <w:szCs w:val="21"/>
          <w:highlight w:val="none"/>
          <w:u w:val="single"/>
          <w:lang w:val="en-US" w:eastAsia="zh-CN"/>
        </w:rPr>
        <w:t>。</w:t>
      </w:r>
    </w:p>
    <w:p w14:paraId="68BE462F">
      <w:pPr>
        <w:adjustRightInd w:val="0"/>
        <w:snapToGrid w:val="0"/>
        <w:spacing w:line="360" w:lineRule="auto"/>
        <w:outlineLvl w:val="1"/>
        <w:rPr>
          <w:rFonts w:hint="eastAsia" w:ascii="宋体" w:hAnsi="宋体" w:eastAsia="宋体" w:cs="宋体"/>
          <w:b/>
          <w:bCs/>
          <w:sz w:val="21"/>
          <w:szCs w:val="21"/>
        </w:rPr>
      </w:pPr>
      <w:bookmarkStart w:id="381" w:name="_Toc27127_WPSOffice_Level1"/>
      <w:bookmarkStart w:id="382" w:name="_Toc3769_WPSOffice_Level1"/>
      <w:r>
        <w:rPr>
          <w:rFonts w:hint="eastAsia" w:ascii="宋体" w:hAnsi="宋体" w:eastAsia="宋体" w:cs="宋体"/>
          <w:b/>
          <w:bCs/>
          <w:sz w:val="21"/>
          <w:szCs w:val="21"/>
          <w:lang w:eastAsia="zh-CN"/>
        </w:rPr>
        <w:t>二</w:t>
      </w:r>
      <w:r>
        <w:rPr>
          <w:rFonts w:hint="eastAsia" w:ascii="宋体" w:hAnsi="宋体" w:eastAsia="宋体" w:cs="宋体"/>
          <w:b/>
          <w:bCs/>
          <w:sz w:val="21"/>
          <w:szCs w:val="21"/>
        </w:rPr>
        <w:t>、组成本合同的文件</w:t>
      </w:r>
      <w:bookmarkEnd w:id="381"/>
      <w:bookmarkEnd w:id="382"/>
    </w:p>
    <w:p w14:paraId="0E85A8A7">
      <w:pPr>
        <w:adjustRightInd w:val="0"/>
        <w:snapToGrid w:val="0"/>
        <w:spacing w:line="360" w:lineRule="auto"/>
        <w:ind w:firstLine="415" w:firstLineChars="198"/>
        <w:rPr>
          <w:rFonts w:hint="eastAsia" w:ascii="宋体" w:hAnsi="宋体" w:eastAsia="宋体" w:cs="宋体"/>
          <w:sz w:val="21"/>
          <w:szCs w:val="21"/>
        </w:rPr>
      </w:pPr>
      <w:bookmarkStart w:id="383" w:name="_Toc24529_WPSOffice_Level2"/>
      <w:r>
        <w:rPr>
          <w:rFonts w:hint="eastAsia" w:ascii="宋体" w:hAnsi="宋体" w:eastAsia="宋体" w:cs="宋体"/>
          <w:sz w:val="21"/>
          <w:szCs w:val="21"/>
        </w:rPr>
        <w:t>1.协议书；</w:t>
      </w:r>
      <w:bookmarkEnd w:id="383"/>
    </w:p>
    <w:p w14:paraId="4A0979A6">
      <w:pPr>
        <w:adjustRightInd w:val="0"/>
        <w:snapToGrid w:val="0"/>
        <w:spacing w:line="360" w:lineRule="auto"/>
        <w:ind w:firstLine="415" w:firstLineChars="198"/>
        <w:rPr>
          <w:rFonts w:hint="eastAsia" w:ascii="宋体" w:hAnsi="宋体" w:eastAsia="宋体" w:cs="宋体"/>
          <w:sz w:val="21"/>
          <w:szCs w:val="21"/>
        </w:rPr>
      </w:pPr>
      <w:bookmarkStart w:id="384" w:name="_Toc2501_WPSOffice_Level2"/>
      <w:r>
        <w:rPr>
          <w:rFonts w:hint="eastAsia" w:ascii="宋体" w:hAnsi="宋体" w:eastAsia="宋体" w:cs="宋体"/>
          <w:sz w:val="21"/>
          <w:szCs w:val="21"/>
        </w:rPr>
        <w:t>2.中标通知书；</w:t>
      </w:r>
      <w:bookmarkEnd w:id="384"/>
    </w:p>
    <w:p w14:paraId="7DF978A5">
      <w:pPr>
        <w:adjustRightInd w:val="0"/>
        <w:snapToGrid w:val="0"/>
        <w:spacing w:line="360" w:lineRule="auto"/>
        <w:ind w:firstLine="415" w:firstLineChars="198"/>
        <w:rPr>
          <w:rFonts w:hint="eastAsia" w:ascii="宋体" w:hAnsi="宋体" w:eastAsia="宋体" w:cs="宋体"/>
          <w:sz w:val="21"/>
          <w:szCs w:val="21"/>
        </w:rPr>
      </w:pPr>
      <w:bookmarkStart w:id="385" w:name="_Toc7970_WPSOffice_Level2"/>
      <w:r>
        <w:rPr>
          <w:rFonts w:hint="eastAsia" w:ascii="宋体" w:hAnsi="宋体" w:eastAsia="宋体" w:cs="宋体"/>
          <w:sz w:val="21"/>
          <w:szCs w:val="21"/>
        </w:rPr>
        <w:t>3.投标文件；</w:t>
      </w:r>
      <w:bookmarkEnd w:id="385"/>
    </w:p>
    <w:p w14:paraId="2F898A1E">
      <w:pPr>
        <w:adjustRightInd w:val="0"/>
        <w:snapToGrid w:val="0"/>
        <w:spacing w:line="360" w:lineRule="auto"/>
        <w:ind w:firstLine="415" w:firstLineChars="198"/>
        <w:rPr>
          <w:rFonts w:hint="eastAsia" w:ascii="宋体" w:hAnsi="宋体" w:eastAsia="宋体" w:cs="宋体"/>
          <w:sz w:val="21"/>
          <w:szCs w:val="21"/>
        </w:rPr>
      </w:pPr>
      <w:bookmarkStart w:id="386" w:name="_Toc27471_WPSOffice_Level2"/>
      <w:r>
        <w:rPr>
          <w:rFonts w:hint="eastAsia" w:ascii="宋体" w:hAnsi="宋体" w:eastAsia="宋体" w:cs="宋体"/>
          <w:sz w:val="21"/>
          <w:szCs w:val="21"/>
        </w:rPr>
        <w:t>4.</w:t>
      </w:r>
      <w:r>
        <w:rPr>
          <w:rFonts w:hint="eastAsia" w:ascii="宋体" w:hAnsi="宋体" w:eastAsia="宋体" w:cs="宋体"/>
          <w:sz w:val="21"/>
          <w:szCs w:val="21"/>
          <w:lang w:eastAsia="zh-CN"/>
        </w:rPr>
        <w:t>招标文件</w:t>
      </w:r>
      <w:r>
        <w:rPr>
          <w:rFonts w:hint="eastAsia" w:ascii="宋体" w:hAnsi="宋体" w:eastAsia="宋体" w:cs="宋体"/>
          <w:sz w:val="21"/>
          <w:szCs w:val="21"/>
        </w:rPr>
        <w:t>；</w:t>
      </w:r>
      <w:bookmarkEnd w:id="386"/>
    </w:p>
    <w:p w14:paraId="2321A97D">
      <w:pPr>
        <w:adjustRightInd w:val="0"/>
        <w:snapToGrid w:val="0"/>
        <w:spacing w:line="360" w:lineRule="auto"/>
        <w:ind w:firstLine="415" w:firstLineChars="198"/>
        <w:rPr>
          <w:rFonts w:hint="eastAsia" w:ascii="宋体" w:hAnsi="宋体" w:eastAsia="宋体" w:cs="宋体"/>
          <w:sz w:val="21"/>
          <w:szCs w:val="21"/>
          <w:lang w:eastAsia="zh-CN"/>
        </w:rPr>
      </w:pPr>
      <w:bookmarkStart w:id="387" w:name="_Toc20521_WPSOffice_Level2"/>
      <w:r>
        <w:rPr>
          <w:rFonts w:hint="eastAsia" w:ascii="宋体" w:hAnsi="宋体" w:eastAsia="宋体" w:cs="宋体"/>
          <w:sz w:val="21"/>
          <w:szCs w:val="21"/>
          <w:lang w:val="en-US" w:eastAsia="zh-CN"/>
        </w:rPr>
        <w:t>5.</w:t>
      </w:r>
      <w:r>
        <w:rPr>
          <w:rFonts w:hint="eastAsia" w:ascii="宋体" w:hAnsi="宋体" w:eastAsia="宋体" w:cs="宋体"/>
          <w:sz w:val="21"/>
          <w:szCs w:val="21"/>
        </w:rPr>
        <w:t>本合同签订后，双方依法签订的补充协议也是本合同文件的组成部分</w:t>
      </w:r>
      <w:r>
        <w:rPr>
          <w:rFonts w:hint="eastAsia" w:ascii="宋体" w:hAnsi="宋体" w:eastAsia="宋体" w:cs="宋体"/>
          <w:sz w:val="21"/>
          <w:szCs w:val="21"/>
          <w:lang w:eastAsia="zh-CN"/>
        </w:rPr>
        <w:t>；</w:t>
      </w:r>
      <w:bookmarkEnd w:id="387"/>
    </w:p>
    <w:p w14:paraId="2FE0F6B0">
      <w:pPr>
        <w:adjustRightInd w:val="0"/>
        <w:snapToGrid w:val="0"/>
        <w:spacing w:line="360" w:lineRule="auto"/>
        <w:ind w:firstLine="415" w:firstLineChars="198"/>
        <w:rPr>
          <w:rFonts w:hint="eastAsia" w:ascii="宋体" w:hAnsi="宋体" w:eastAsia="宋体" w:cs="宋体"/>
          <w:sz w:val="21"/>
          <w:szCs w:val="21"/>
          <w:lang w:eastAsia="zh-CN"/>
        </w:rPr>
      </w:pPr>
      <w:r>
        <w:rPr>
          <w:rFonts w:hint="eastAsia" w:ascii="宋体" w:hAnsi="宋体" w:eastAsia="宋体" w:cs="宋体"/>
          <w:sz w:val="21"/>
          <w:szCs w:val="21"/>
          <w:lang w:eastAsia="zh-CN"/>
        </w:rPr>
        <w:t>合同的解释顺序按上述排序解释。</w:t>
      </w:r>
      <w:bookmarkStart w:id="388" w:name="_Toc14517_WPSOffice_Level1"/>
      <w:bookmarkStart w:id="389" w:name="_Toc19602_WPSOffice_Level1"/>
    </w:p>
    <w:p w14:paraId="4AA1D67B">
      <w:pPr>
        <w:adjustRightInd w:val="0"/>
        <w:snapToGrid w:val="0"/>
        <w:spacing w:line="360" w:lineRule="auto"/>
        <w:outlineLvl w:val="1"/>
        <w:rPr>
          <w:rFonts w:hint="eastAsia" w:ascii="宋体" w:hAnsi="宋体" w:eastAsia="宋体" w:cs="宋体"/>
          <w:b/>
          <w:sz w:val="21"/>
          <w:szCs w:val="21"/>
          <w:lang w:eastAsia="zh-CN"/>
        </w:rPr>
      </w:pPr>
      <w:r>
        <w:rPr>
          <w:rFonts w:hint="eastAsia" w:ascii="宋体" w:hAnsi="宋体" w:eastAsia="宋体" w:cs="宋体"/>
          <w:b/>
          <w:sz w:val="21"/>
          <w:szCs w:val="21"/>
          <w:lang w:eastAsia="zh-CN"/>
        </w:rPr>
        <w:t>三、合同价格</w:t>
      </w:r>
      <w:bookmarkEnd w:id="388"/>
      <w:bookmarkEnd w:id="389"/>
    </w:p>
    <w:p w14:paraId="1D7DA2EB">
      <w:pPr>
        <w:adjustRightInd w:val="0"/>
        <w:snapToGrid w:val="0"/>
        <w:spacing w:line="360" w:lineRule="auto"/>
        <w:ind w:firstLine="415" w:firstLineChars="198"/>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eastAsia="zh-CN"/>
        </w:rPr>
        <w:t>合同价格</w:t>
      </w:r>
      <w:r>
        <w:rPr>
          <w:rFonts w:hint="eastAsia" w:ascii="宋体" w:hAnsi="宋体" w:eastAsia="宋体" w:cs="宋体"/>
          <w:kern w:val="0"/>
          <w:sz w:val="21"/>
          <w:szCs w:val="21"/>
        </w:rPr>
        <w:t>（大写）：</w:t>
      </w:r>
      <w:r>
        <w:rPr>
          <w:rFonts w:hint="eastAsia" w:ascii="宋体" w:hAnsi="宋体" w:eastAsia="宋体" w:cs="宋体"/>
          <w:sz w:val="21"/>
          <w:szCs w:val="21"/>
          <w:u w:val="single"/>
          <w:lang w:val="en-US" w:eastAsia="zh-CN"/>
        </w:rPr>
        <w:t xml:space="preserve">             </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小</w:t>
      </w:r>
      <w:r>
        <w:rPr>
          <w:rFonts w:hint="eastAsia" w:ascii="宋体" w:hAnsi="宋体" w:eastAsia="宋体" w:cs="宋体"/>
          <w:kern w:val="0"/>
          <w:sz w:val="21"/>
          <w:szCs w:val="21"/>
        </w:rPr>
        <w:t>写）</w:t>
      </w:r>
      <w:r>
        <w:rPr>
          <w:rFonts w:hint="eastAsia" w:ascii="宋体" w:hAnsi="宋体" w:eastAsia="宋体" w:cs="宋体"/>
          <w:kern w:val="0"/>
          <w:sz w:val="21"/>
          <w:szCs w:val="21"/>
          <w:lang w:eastAsia="zh-CN"/>
        </w:rPr>
        <w:t>：</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元</w:t>
      </w:r>
      <w:r>
        <w:rPr>
          <w:rFonts w:hint="eastAsia" w:ascii="宋体" w:hAnsi="宋体" w:eastAsia="宋体" w:cs="宋体"/>
          <w:sz w:val="21"/>
          <w:szCs w:val="21"/>
          <w:u w:val="single"/>
          <w:lang w:val="en-US" w:eastAsia="zh-CN"/>
        </w:rPr>
        <w:t xml:space="preserve">  </w:t>
      </w:r>
    </w:p>
    <w:p w14:paraId="3ADCBDE9">
      <w:pPr>
        <w:pStyle w:val="3"/>
        <w:bidi w:val="0"/>
        <w:spacing w:line="240" w:lineRule="auto"/>
        <w:jc w:val="both"/>
        <w:outlineLvl w:val="1"/>
        <w:rPr>
          <w:rFonts w:hint="eastAsia" w:ascii="宋体" w:hAnsi="宋体" w:eastAsia="宋体" w:cs="宋体"/>
          <w:b/>
          <w:color w:val="auto"/>
          <w:sz w:val="21"/>
          <w:szCs w:val="21"/>
          <w:lang w:eastAsia="zh-CN"/>
        </w:rPr>
      </w:pPr>
      <w:bookmarkStart w:id="390" w:name="_Toc23073_WPSOffice_Level1"/>
      <w:bookmarkStart w:id="391" w:name="_Toc1648_WPSOffice_Level1"/>
      <w:r>
        <w:rPr>
          <w:rFonts w:hint="eastAsia" w:ascii="宋体" w:hAnsi="宋体" w:eastAsia="宋体" w:cs="宋体"/>
          <w:b/>
          <w:sz w:val="21"/>
          <w:szCs w:val="21"/>
          <w:lang w:eastAsia="zh-CN"/>
        </w:rPr>
        <w:t>四、付款</w:t>
      </w:r>
      <w:r>
        <w:rPr>
          <w:rFonts w:hint="eastAsia" w:ascii="宋体" w:hAnsi="宋体" w:eastAsia="宋体" w:cs="宋体"/>
          <w:b/>
          <w:color w:val="auto"/>
          <w:sz w:val="21"/>
          <w:szCs w:val="21"/>
          <w:lang w:eastAsia="zh-CN"/>
        </w:rPr>
        <w:t>办法</w:t>
      </w:r>
      <w:bookmarkEnd w:id="390"/>
      <w:bookmarkEnd w:id="391"/>
    </w:p>
    <w:p w14:paraId="653334AB">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20" w:firstLineChars="200"/>
        <w:jc w:val="both"/>
        <w:textAlignment w:val="auto"/>
        <w:outlineLvl w:val="9"/>
        <w:rPr>
          <w:rFonts w:hint="eastAsia" w:ascii="宋体" w:hAnsi="宋体" w:eastAsia="宋体" w:cs="宋体"/>
          <w:color w:val="auto"/>
          <w:sz w:val="21"/>
          <w:szCs w:val="21"/>
          <w:lang w:val="en-US" w:eastAsia="zh-CN"/>
        </w:rPr>
      </w:pPr>
      <w:bookmarkStart w:id="392" w:name="_Toc27636_WPSOffice_Level1"/>
      <w:bookmarkStart w:id="393" w:name="_Toc4245_WPSOffice_Level1"/>
      <w:r>
        <w:rPr>
          <w:rFonts w:hint="eastAsia" w:ascii="宋体" w:hAnsi="宋体" w:eastAsia="宋体" w:cs="宋体"/>
          <w:color w:val="auto"/>
          <w:sz w:val="21"/>
          <w:szCs w:val="21"/>
          <w:lang w:val="en-US" w:eastAsia="zh-CN"/>
        </w:rPr>
        <w:t>保险费用按照国家金融监督管理总局金发《2025》36号文件要求，由甲方在签订合同后一次性向乙方支付，见费出单，保险人履行保险义务以正式保单生效时间为准。</w:t>
      </w:r>
    </w:p>
    <w:p w14:paraId="55A1C301">
      <w:pPr>
        <w:pStyle w:val="3"/>
        <w:bidi w:val="0"/>
        <w:spacing w:line="240" w:lineRule="auto"/>
        <w:jc w:val="both"/>
        <w:outlineLvl w:val="1"/>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color w:val="auto"/>
          <w:sz w:val="21"/>
          <w:szCs w:val="21"/>
          <w:lang w:eastAsia="zh-CN"/>
        </w:rPr>
        <w:t>五、保险有效期</w:t>
      </w:r>
      <w:bookmarkEnd w:id="392"/>
      <w:bookmarkEnd w:id="393"/>
    </w:p>
    <w:p w14:paraId="1A82DF11">
      <w:pPr>
        <w:bidi w:val="0"/>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自保险生效之日起1年</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eastAsia="zh-CN"/>
        </w:rPr>
        <w:t xml:space="preserve">   </w:t>
      </w:r>
    </w:p>
    <w:p w14:paraId="68D5A164">
      <w:pPr>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highlight w:val="none"/>
          <w:lang w:val="en-US" w:eastAsia="zh-CN"/>
        </w:rPr>
        <w:t>保险期限</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年  月  日至  年  月  日</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lang w:eastAsia="zh-CN"/>
        </w:rPr>
        <w:t xml:space="preserve">   </w:t>
      </w:r>
      <w:r>
        <w:rPr>
          <w:rFonts w:hint="eastAsia" w:ascii="宋体" w:hAnsi="宋体" w:eastAsia="宋体" w:cs="宋体"/>
          <w:sz w:val="21"/>
          <w:szCs w:val="21"/>
        </w:rPr>
        <w:t xml:space="preserve">   </w:t>
      </w:r>
    </w:p>
    <w:p w14:paraId="40F77DB7">
      <w:pPr>
        <w:pStyle w:val="3"/>
        <w:bidi w:val="0"/>
        <w:spacing w:line="240" w:lineRule="auto"/>
        <w:jc w:val="both"/>
        <w:outlineLvl w:val="1"/>
        <w:rPr>
          <w:rFonts w:hint="eastAsia" w:ascii="宋体" w:hAnsi="宋体" w:eastAsia="宋体" w:cs="宋体"/>
          <w:b/>
          <w:sz w:val="21"/>
          <w:szCs w:val="21"/>
          <w:lang w:eastAsia="zh-CN"/>
        </w:rPr>
      </w:pPr>
      <w:bookmarkStart w:id="394" w:name="_Toc5251_WPSOffice_Level1"/>
      <w:bookmarkStart w:id="395" w:name="_Toc6525_WPSOffice_Level1"/>
      <w:r>
        <w:rPr>
          <w:rFonts w:hint="eastAsia" w:ascii="宋体" w:hAnsi="宋体" w:eastAsia="宋体" w:cs="宋体"/>
          <w:b/>
          <w:sz w:val="21"/>
          <w:szCs w:val="21"/>
          <w:lang w:eastAsia="zh-CN"/>
        </w:rPr>
        <w:t>六、具体保险内容</w:t>
      </w:r>
      <w:bookmarkEnd w:id="394"/>
      <w:bookmarkEnd w:id="395"/>
    </w:p>
    <w:p w14:paraId="118337CB">
      <w:pPr>
        <w:pStyle w:val="3"/>
        <w:bidi w:val="0"/>
        <w:rPr>
          <w:rFonts w:hint="eastAsia" w:ascii="宋体" w:hAnsi="宋体" w:eastAsia="宋体" w:cs="宋体"/>
          <w:sz w:val="21"/>
          <w:szCs w:val="21"/>
          <w:lang w:val="en-US" w:eastAsia="zh-CN"/>
        </w:rPr>
      </w:pPr>
      <w:bookmarkStart w:id="396" w:name="_Toc14517_WPSOffice_Level2"/>
      <w:r>
        <w:rPr>
          <w:rFonts w:hint="eastAsia" w:ascii="宋体" w:hAnsi="宋体" w:eastAsia="宋体" w:cs="宋体"/>
          <w:sz w:val="21"/>
          <w:szCs w:val="21"/>
          <w:lang w:val="en-US" w:eastAsia="zh-CN"/>
        </w:rPr>
        <w:t>1.平安家园保险</w:t>
      </w:r>
      <w:bookmarkEnd w:id="396"/>
    </w:p>
    <w:p w14:paraId="5D1EBC8A">
      <w:pPr>
        <w:pStyle w:val="4"/>
        <w:bidi w:val="0"/>
        <w:spacing w:line="24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保险范围</w:t>
      </w:r>
    </w:p>
    <w:p w14:paraId="06AA89D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人员范围：</w:t>
      </w:r>
      <w:r>
        <w:rPr>
          <w:rFonts w:hint="eastAsia" w:ascii="宋体" w:hAnsi="宋体" w:eastAsia="宋体" w:cs="宋体"/>
          <w:sz w:val="21"/>
          <w:szCs w:val="21"/>
          <w:lang w:eastAsia="zh-CN"/>
        </w:rPr>
        <w:t>平顶山新华区户籍在册人员</w:t>
      </w:r>
      <w:r>
        <w:rPr>
          <w:rFonts w:hint="eastAsia" w:ascii="宋体" w:hAnsi="宋体" w:eastAsia="宋体" w:cs="宋体"/>
          <w:sz w:val="21"/>
          <w:szCs w:val="21"/>
        </w:rPr>
        <w:t>（含农</w:t>
      </w:r>
      <w:r>
        <w:rPr>
          <w:rFonts w:hint="eastAsia" w:ascii="宋体" w:hAnsi="宋体" w:eastAsia="宋体" w:cs="宋体"/>
          <w:sz w:val="21"/>
          <w:szCs w:val="21"/>
          <w:lang w:eastAsia="zh-CN"/>
        </w:rPr>
        <w:t>业和非农业人口），具有平顶山市新华区户籍的自然人；本辖区务工人员；与本辖区居住户籍居民结婚后，但未取得本辖区户籍的人员；</w:t>
      </w:r>
      <w:r>
        <w:rPr>
          <w:rFonts w:hint="eastAsia" w:ascii="宋体" w:hAnsi="宋体" w:eastAsia="宋体" w:cs="宋体"/>
          <w:sz w:val="21"/>
          <w:szCs w:val="21"/>
          <w:lang w:val="en-US" w:eastAsia="zh-CN"/>
        </w:rPr>
        <w:t>与</w:t>
      </w:r>
      <w:r>
        <w:rPr>
          <w:rFonts w:hint="eastAsia" w:ascii="宋体" w:hAnsi="宋体" w:eastAsia="宋体" w:cs="宋体"/>
          <w:sz w:val="21"/>
          <w:szCs w:val="21"/>
          <w:lang w:eastAsia="zh-CN"/>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val="en-US" w:eastAsia="zh-CN"/>
        </w:rPr>
        <w:t>户籍不在本辖区，但在承包区域范围的所有人员</w:t>
      </w:r>
      <w:r>
        <w:rPr>
          <w:rFonts w:hint="eastAsia" w:ascii="宋体" w:hAnsi="宋体" w:eastAsia="宋体" w:cs="宋体"/>
          <w:sz w:val="21"/>
          <w:szCs w:val="21"/>
          <w:lang w:eastAsia="zh-CN"/>
        </w:rPr>
        <w:t>。</w:t>
      </w:r>
    </w:p>
    <w:p w14:paraId="7577104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财产范</w:t>
      </w:r>
      <w:r>
        <w:rPr>
          <w:rFonts w:hint="eastAsia" w:ascii="宋体" w:hAnsi="宋体" w:eastAsia="宋体" w:cs="宋体"/>
          <w:sz w:val="21"/>
          <w:szCs w:val="21"/>
          <w:lang w:eastAsia="zh-CN"/>
        </w:rPr>
        <w:t>围：辖区内全部常住人口所有且有人长期居住的居民房屋、室内相关财产、电动（两轮、三轮）车等</w:t>
      </w:r>
      <w:r>
        <w:rPr>
          <w:rFonts w:hint="eastAsia" w:ascii="宋体" w:hAnsi="宋体" w:eastAsia="宋体" w:cs="宋体"/>
          <w:sz w:val="21"/>
          <w:szCs w:val="21"/>
          <w:lang w:val="en-US" w:eastAsia="zh-CN"/>
        </w:rPr>
        <w:t>包括</w:t>
      </w:r>
      <w:r>
        <w:rPr>
          <w:rFonts w:hint="eastAsia" w:ascii="宋体" w:hAnsi="宋体" w:eastAsia="宋体" w:cs="宋体"/>
          <w:sz w:val="21"/>
          <w:szCs w:val="21"/>
          <w:highlight w:val="none"/>
          <w:lang w:val="en-US" w:eastAsia="zh-CN"/>
        </w:rPr>
        <w:t>户籍不在本辖区，但在承包区域范围的所有人员财产</w:t>
      </w:r>
      <w:r>
        <w:rPr>
          <w:rFonts w:hint="eastAsia" w:ascii="宋体" w:hAnsi="宋体" w:eastAsia="宋体" w:cs="宋体"/>
          <w:sz w:val="21"/>
          <w:szCs w:val="21"/>
          <w:lang w:eastAsia="zh-CN"/>
        </w:rPr>
        <w:t>；</w:t>
      </w:r>
    </w:p>
    <w:p w14:paraId="59A0B35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承保</w:t>
      </w:r>
      <w:r>
        <w:rPr>
          <w:rFonts w:hint="eastAsia" w:ascii="宋体" w:hAnsi="宋体" w:eastAsia="宋体" w:cs="宋体"/>
          <w:sz w:val="21"/>
          <w:szCs w:val="21"/>
        </w:rPr>
        <w:t>区域范围：</w:t>
      </w:r>
      <w:r>
        <w:rPr>
          <w:rFonts w:hint="eastAsia" w:ascii="宋体" w:hAnsi="宋体" w:eastAsia="宋体" w:cs="宋体"/>
          <w:sz w:val="21"/>
          <w:szCs w:val="21"/>
          <w:lang w:eastAsia="zh-CN"/>
        </w:rPr>
        <w:t>平顶山市新华区区域内</w:t>
      </w:r>
      <w:r>
        <w:rPr>
          <w:rFonts w:hint="eastAsia" w:ascii="宋体" w:hAnsi="宋体" w:eastAsia="宋体" w:cs="宋体"/>
          <w:sz w:val="21"/>
          <w:szCs w:val="21"/>
        </w:rPr>
        <w:t>。</w:t>
      </w:r>
    </w:p>
    <w:p w14:paraId="3B282FA4">
      <w:pPr>
        <w:pStyle w:val="4"/>
        <w:bidi w:val="0"/>
        <w:spacing w:line="24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1.2社会治安综合保险保险责任</w:t>
      </w:r>
    </w:p>
    <w:p w14:paraId="78B31EA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1.2.1</w:t>
      </w:r>
      <w:r>
        <w:rPr>
          <w:rFonts w:hint="eastAsia" w:ascii="宋体" w:hAnsi="宋体" w:eastAsia="宋体" w:cs="宋体"/>
          <w:b w:val="0"/>
          <w:bCs/>
          <w:sz w:val="21"/>
          <w:szCs w:val="21"/>
        </w:rPr>
        <w:t>因火灾、爆炸、雷电、台风、龙卷风、暴风、暴雨、洪水、雪灾、雹灾、冰凌、地面突然下陷，飞行物体及其他空中运行物体坠落，外来不属于被保险人所有或使用的建筑物和其他固定物体的倒塌，造成被保险标的损失的，保险人负责负责赔偿责任。</w:t>
      </w:r>
    </w:p>
    <w:p w14:paraId="73B6F837">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1.2.2</w:t>
      </w:r>
      <w:r>
        <w:rPr>
          <w:rFonts w:hint="eastAsia" w:ascii="宋体" w:hAnsi="宋体" w:eastAsia="宋体" w:cs="宋体"/>
          <w:b w:val="0"/>
          <w:bCs/>
          <w:sz w:val="21"/>
          <w:szCs w:val="21"/>
        </w:rPr>
        <w:t>保险期间内，</w:t>
      </w:r>
      <w:r>
        <w:rPr>
          <w:rFonts w:hint="eastAsia" w:ascii="宋体" w:hAnsi="宋体" w:eastAsia="宋体" w:cs="宋体"/>
          <w:b w:val="0"/>
          <w:bCs/>
          <w:sz w:val="21"/>
          <w:szCs w:val="21"/>
          <w:lang w:eastAsia="zh-CN"/>
        </w:rPr>
        <w:t>因发生盗抢事件导致被保险财产损失的</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辖区少儿或老人走失、贫困家庭子女升学救助的</w:t>
      </w:r>
      <w:r>
        <w:rPr>
          <w:rFonts w:hint="eastAsia" w:ascii="宋体" w:hAnsi="宋体" w:eastAsia="宋体" w:cs="宋体"/>
          <w:b w:val="0"/>
          <w:bCs/>
          <w:sz w:val="21"/>
          <w:szCs w:val="21"/>
        </w:rPr>
        <w:t>保险人按照保险合同的约定负责赔偿。</w:t>
      </w:r>
    </w:p>
    <w:p w14:paraId="6DB2EB1A">
      <w:pPr>
        <w:pStyle w:val="4"/>
        <w:bidi w:val="0"/>
        <w:spacing w:line="24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1.3治安保险承保方案</w:t>
      </w:r>
    </w:p>
    <w:p w14:paraId="6B9173CA">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1.3.1保险方案：</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1660"/>
        <w:gridCol w:w="1203"/>
        <w:gridCol w:w="5109"/>
      </w:tblGrid>
      <w:tr w14:paraId="735C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noWrap w:val="0"/>
            <w:vAlign w:val="top"/>
          </w:tcPr>
          <w:p w14:paraId="77F7BD64">
            <w:pPr>
              <w:rPr>
                <w:rFonts w:hint="eastAsia" w:ascii="宋体" w:hAnsi="宋体" w:eastAsia="宋体" w:cs="宋体"/>
                <w:b w:val="0"/>
                <w:bCs/>
                <w:sz w:val="21"/>
                <w:szCs w:val="21"/>
              </w:rPr>
            </w:pPr>
            <w:r>
              <w:rPr>
                <w:rFonts w:hint="eastAsia" w:ascii="宋体" w:hAnsi="宋体" w:eastAsia="宋体" w:cs="宋体"/>
                <w:b w:val="0"/>
                <w:bCs/>
                <w:sz w:val="21"/>
                <w:szCs w:val="21"/>
              </w:rPr>
              <w:t>险种</w:t>
            </w:r>
          </w:p>
        </w:tc>
        <w:tc>
          <w:tcPr>
            <w:tcW w:w="833" w:type="pct"/>
            <w:noWrap w:val="0"/>
            <w:vAlign w:val="top"/>
          </w:tcPr>
          <w:p w14:paraId="6B2A9295">
            <w:pPr>
              <w:rPr>
                <w:rFonts w:hint="eastAsia" w:ascii="宋体" w:hAnsi="宋体" w:eastAsia="宋体" w:cs="宋体"/>
                <w:b w:val="0"/>
                <w:bCs/>
                <w:sz w:val="21"/>
                <w:szCs w:val="21"/>
              </w:rPr>
            </w:pPr>
            <w:r>
              <w:rPr>
                <w:rFonts w:hint="eastAsia" w:ascii="宋体" w:hAnsi="宋体" w:eastAsia="宋体" w:cs="宋体"/>
                <w:b w:val="0"/>
                <w:bCs/>
                <w:sz w:val="21"/>
                <w:szCs w:val="21"/>
              </w:rPr>
              <w:t>保障内容</w:t>
            </w:r>
          </w:p>
        </w:tc>
        <w:tc>
          <w:tcPr>
            <w:tcW w:w="604" w:type="pct"/>
            <w:noWrap w:val="0"/>
            <w:vAlign w:val="top"/>
          </w:tcPr>
          <w:p w14:paraId="61950A3C">
            <w:pPr>
              <w:rPr>
                <w:rFonts w:hint="eastAsia" w:ascii="宋体" w:hAnsi="宋体" w:eastAsia="宋体" w:cs="宋体"/>
                <w:b w:val="0"/>
                <w:bCs/>
                <w:sz w:val="21"/>
                <w:szCs w:val="21"/>
              </w:rPr>
            </w:pPr>
            <w:r>
              <w:rPr>
                <w:rFonts w:hint="eastAsia" w:ascii="宋体" w:hAnsi="宋体" w:eastAsia="宋体" w:cs="宋体"/>
                <w:b w:val="0"/>
                <w:bCs/>
                <w:sz w:val="21"/>
                <w:szCs w:val="21"/>
              </w:rPr>
              <w:t>保险金额</w:t>
            </w:r>
          </w:p>
        </w:tc>
        <w:tc>
          <w:tcPr>
            <w:tcW w:w="2564" w:type="pct"/>
            <w:noWrap w:val="0"/>
            <w:vAlign w:val="top"/>
          </w:tcPr>
          <w:p w14:paraId="1F805755">
            <w:pPr>
              <w:rPr>
                <w:rFonts w:hint="eastAsia" w:ascii="宋体" w:hAnsi="宋体" w:eastAsia="宋体" w:cs="宋体"/>
                <w:b w:val="0"/>
                <w:bCs/>
                <w:sz w:val="21"/>
                <w:szCs w:val="21"/>
              </w:rPr>
            </w:pPr>
            <w:r>
              <w:rPr>
                <w:rFonts w:hint="eastAsia" w:ascii="宋体" w:hAnsi="宋体" w:eastAsia="宋体" w:cs="宋体"/>
                <w:b w:val="0"/>
                <w:bCs/>
                <w:sz w:val="21"/>
                <w:szCs w:val="21"/>
              </w:rPr>
              <w:t>保险责任</w:t>
            </w:r>
          </w:p>
        </w:tc>
      </w:tr>
      <w:tr w14:paraId="7DB7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79901763">
            <w:pPr>
              <w:rPr>
                <w:rFonts w:hint="eastAsia" w:ascii="宋体" w:hAnsi="宋体" w:eastAsia="宋体" w:cs="宋体"/>
                <w:b w:val="0"/>
                <w:bCs/>
                <w:sz w:val="21"/>
                <w:szCs w:val="21"/>
              </w:rPr>
            </w:pPr>
            <w:r>
              <w:rPr>
                <w:rFonts w:hint="eastAsia" w:ascii="宋体" w:hAnsi="宋体" w:eastAsia="宋体" w:cs="宋体"/>
                <w:b w:val="0"/>
                <w:bCs/>
                <w:sz w:val="21"/>
                <w:szCs w:val="21"/>
              </w:rPr>
              <w:t>非农业户口/农业户口</w:t>
            </w:r>
          </w:p>
        </w:tc>
        <w:tc>
          <w:tcPr>
            <w:tcW w:w="833" w:type="pct"/>
            <w:noWrap w:val="0"/>
            <w:vAlign w:val="top"/>
          </w:tcPr>
          <w:p w14:paraId="3EA4451D">
            <w:pPr>
              <w:rPr>
                <w:rFonts w:hint="eastAsia" w:ascii="宋体" w:hAnsi="宋体" w:eastAsia="宋体" w:cs="宋体"/>
                <w:b w:val="0"/>
                <w:bCs/>
                <w:sz w:val="21"/>
                <w:szCs w:val="21"/>
              </w:rPr>
            </w:pPr>
            <w:r>
              <w:rPr>
                <w:rFonts w:hint="eastAsia" w:ascii="宋体" w:hAnsi="宋体" w:eastAsia="宋体" w:cs="宋体"/>
                <w:b w:val="0"/>
                <w:bCs/>
                <w:sz w:val="21"/>
                <w:szCs w:val="21"/>
              </w:rPr>
              <w:t>室内财产(含:家用电器及主体娱乐用品，衣物和床上用品、家具及其他生活用品）</w:t>
            </w:r>
          </w:p>
        </w:tc>
        <w:tc>
          <w:tcPr>
            <w:tcW w:w="604" w:type="pct"/>
            <w:noWrap w:val="0"/>
            <w:vAlign w:val="top"/>
          </w:tcPr>
          <w:p w14:paraId="1B22C8FF">
            <w:pP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15865702">
            <w:pPr>
              <w:rPr>
                <w:rFonts w:hint="eastAsia" w:ascii="宋体" w:hAnsi="宋体" w:eastAsia="宋体" w:cs="宋体"/>
                <w:b w:val="0"/>
                <w:bCs/>
                <w:sz w:val="21"/>
                <w:szCs w:val="21"/>
              </w:rPr>
            </w:pPr>
            <w:r>
              <w:rPr>
                <w:rFonts w:hint="eastAsia" w:ascii="宋体" w:hAnsi="宋体" w:eastAsia="宋体" w:cs="宋体"/>
                <w:b w:val="0"/>
                <w:bCs/>
                <w:sz w:val="21"/>
                <w:szCs w:val="21"/>
              </w:rPr>
              <w:t>本险种主要保障居民所有且有人长期居住的房屋，因自然灾害(包括暴雨、洪水、泥石流、山体滑坡;台风、暴风、龙卷风;雷击、冰雹、雪灾、崖崩;自然灾害引起的地陷或下沉)和意外事故(包括火灾、爆炸;空中运行物体坠落;外来不属于被保险人所有或使用的建筑和其他固定物体倒塌等)造成的损失，及合理的施救费用。</w:t>
            </w:r>
          </w:p>
        </w:tc>
      </w:tr>
      <w:tr w14:paraId="7A2A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4DEC0913">
            <w:pPr>
              <w:rPr>
                <w:rFonts w:hint="eastAsia" w:ascii="宋体" w:hAnsi="宋体" w:eastAsia="宋体" w:cs="宋体"/>
                <w:b w:val="0"/>
                <w:bCs/>
                <w:sz w:val="21"/>
                <w:szCs w:val="21"/>
              </w:rPr>
            </w:pPr>
          </w:p>
        </w:tc>
        <w:tc>
          <w:tcPr>
            <w:tcW w:w="833" w:type="pct"/>
            <w:noWrap w:val="0"/>
            <w:vAlign w:val="top"/>
          </w:tcPr>
          <w:p w14:paraId="2905A03C">
            <w:pPr>
              <w:rPr>
                <w:rFonts w:hint="eastAsia" w:ascii="宋体" w:hAnsi="宋体" w:eastAsia="宋体" w:cs="宋体"/>
                <w:b w:val="0"/>
                <w:bCs/>
                <w:sz w:val="21"/>
                <w:szCs w:val="21"/>
              </w:rPr>
            </w:pPr>
            <w:r>
              <w:rPr>
                <w:rFonts w:hint="eastAsia" w:ascii="宋体" w:hAnsi="宋体" w:eastAsia="宋体" w:cs="宋体"/>
                <w:b w:val="0"/>
                <w:bCs/>
                <w:sz w:val="21"/>
                <w:szCs w:val="21"/>
              </w:rPr>
              <w:t>附加电动车盗抢保险（两轮、三轮）</w:t>
            </w:r>
          </w:p>
        </w:tc>
        <w:tc>
          <w:tcPr>
            <w:tcW w:w="604" w:type="pct"/>
            <w:noWrap w:val="0"/>
            <w:vAlign w:val="top"/>
          </w:tcPr>
          <w:p w14:paraId="74D50CBE">
            <w:pPr>
              <w:rPr>
                <w:rFonts w:hint="eastAsia" w:ascii="宋体" w:hAnsi="宋体" w:eastAsia="宋体" w:cs="宋体"/>
                <w:b w:val="0"/>
                <w:bCs/>
                <w:sz w:val="21"/>
                <w:szCs w:val="21"/>
              </w:rPr>
            </w:pPr>
            <w:r>
              <w:rPr>
                <w:rFonts w:hint="eastAsia" w:ascii="宋体" w:hAnsi="宋体" w:eastAsia="宋体" w:cs="宋体"/>
                <w:b w:val="0"/>
                <w:bCs/>
                <w:sz w:val="21"/>
                <w:szCs w:val="21"/>
              </w:rPr>
              <w:t>1800元</w:t>
            </w:r>
          </w:p>
        </w:tc>
        <w:tc>
          <w:tcPr>
            <w:tcW w:w="2564" w:type="pct"/>
            <w:noWrap w:val="0"/>
            <w:vAlign w:val="top"/>
          </w:tcPr>
          <w:p w14:paraId="0402B506">
            <w:pPr>
              <w:rPr>
                <w:rFonts w:hint="eastAsia" w:ascii="宋体" w:hAnsi="宋体" w:eastAsia="宋体" w:cs="宋体"/>
                <w:b w:val="0"/>
                <w:bCs/>
                <w:sz w:val="21"/>
                <w:szCs w:val="21"/>
              </w:rPr>
            </w:pPr>
            <w:r>
              <w:rPr>
                <w:rFonts w:hint="eastAsia" w:ascii="宋体" w:hAnsi="宋体" w:eastAsia="宋体" w:cs="宋体"/>
                <w:b w:val="0"/>
                <w:bCs/>
                <w:sz w:val="21"/>
                <w:szCs w:val="21"/>
              </w:rPr>
              <w:t>遭受盗抢，经公安部门确认，有明显现场痕迹的盗窃、抢劫行为所致丢失的直接损失。赔偿标准:(1)电动车限整车丢失，电池等零部件丢失不负责赔偿;(2)3个月以内1800元;一年以上(含一年)1000元;(3)既无购车发票或收据，也无合格证或保修卡的，最高赔偿500元;</w:t>
            </w:r>
          </w:p>
        </w:tc>
      </w:tr>
      <w:tr w14:paraId="4342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0FF17E4B">
            <w:pPr>
              <w:rPr>
                <w:rFonts w:hint="eastAsia" w:ascii="宋体" w:hAnsi="宋体" w:eastAsia="宋体" w:cs="宋体"/>
                <w:b w:val="0"/>
                <w:bCs/>
                <w:sz w:val="21"/>
                <w:szCs w:val="21"/>
              </w:rPr>
            </w:pPr>
          </w:p>
        </w:tc>
        <w:tc>
          <w:tcPr>
            <w:tcW w:w="833" w:type="pct"/>
            <w:noWrap w:val="0"/>
            <w:vAlign w:val="top"/>
          </w:tcPr>
          <w:p w14:paraId="5F60EED5">
            <w:pPr>
              <w:rPr>
                <w:rFonts w:hint="eastAsia" w:ascii="宋体" w:hAnsi="宋体" w:eastAsia="宋体" w:cs="宋体"/>
                <w:b w:val="0"/>
                <w:bCs/>
                <w:sz w:val="21"/>
                <w:szCs w:val="21"/>
              </w:rPr>
            </w:pPr>
            <w:r>
              <w:rPr>
                <w:rFonts w:hint="eastAsia" w:ascii="宋体" w:hAnsi="宋体" w:eastAsia="宋体" w:cs="宋体"/>
                <w:b w:val="0"/>
                <w:bCs/>
                <w:sz w:val="21"/>
                <w:szCs w:val="21"/>
              </w:rPr>
              <w:t>附加盗抢保险（室内财产）</w:t>
            </w:r>
          </w:p>
        </w:tc>
        <w:tc>
          <w:tcPr>
            <w:tcW w:w="604" w:type="pct"/>
            <w:noWrap w:val="0"/>
            <w:vAlign w:val="top"/>
          </w:tcPr>
          <w:p w14:paraId="5AA4DC98">
            <w:pP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3D2E15F8">
            <w:pPr>
              <w:rPr>
                <w:rFonts w:hint="eastAsia" w:ascii="宋体" w:hAnsi="宋体" w:eastAsia="宋体" w:cs="宋体"/>
                <w:b w:val="0"/>
                <w:bCs/>
                <w:sz w:val="21"/>
                <w:szCs w:val="21"/>
              </w:rPr>
            </w:pPr>
            <w:r>
              <w:rPr>
                <w:rFonts w:hint="eastAsia" w:ascii="宋体" w:hAnsi="宋体" w:eastAsia="宋体" w:cs="宋体"/>
                <w:b w:val="0"/>
                <w:bCs/>
                <w:sz w:val="21"/>
                <w:szCs w:val="21"/>
              </w:rPr>
              <w:t>遭受外来人员盗抢或抢劫，并经公安部门确认为盗抢行为所致的直接损失。</w:t>
            </w:r>
          </w:p>
        </w:tc>
      </w:tr>
      <w:tr w14:paraId="380A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41411963">
            <w:pPr>
              <w:rPr>
                <w:rFonts w:hint="eastAsia" w:ascii="宋体" w:hAnsi="宋体" w:eastAsia="宋体" w:cs="宋体"/>
                <w:b w:val="0"/>
                <w:bCs/>
                <w:sz w:val="21"/>
                <w:szCs w:val="21"/>
              </w:rPr>
            </w:pPr>
            <w:r>
              <w:rPr>
                <w:rFonts w:hint="eastAsia" w:ascii="宋体" w:hAnsi="宋体" w:eastAsia="宋体" w:cs="宋体"/>
                <w:b w:val="0"/>
                <w:bCs/>
                <w:sz w:val="21"/>
                <w:szCs w:val="21"/>
              </w:rPr>
              <w:t>保险服务</w:t>
            </w:r>
          </w:p>
        </w:tc>
        <w:tc>
          <w:tcPr>
            <w:tcW w:w="833" w:type="pct"/>
            <w:noWrap w:val="0"/>
            <w:vAlign w:val="top"/>
          </w:tcPr>
          <w:p w14:paraId="4AC0A48F">
            <w:pPr>
              <w:rPr>
                <w:rFonts w:hint="eastAsia" w:ascii="宋体" w:hAnsi="宋体" w:eastAsia="宋体" w:cs="宋体"/>
                <w:b w:val="0"/>
                <w:bCs/>
                <w:sz w:val="21"/>
                <w:szCs w:val="21"/>
              </w:rPr>
            </w:pPr>
            <w:r>
              <w:rPr>
                <w:rFonts w:hint="eastAsia" w:ascii="宋体" w:hAnsi="宋体" w:eastAsia="宋体" w:cs="宋体"/>
                <w:b w:val="0"/>
                <w:bCs/>
                <w:sz w:val="21"/>
                <w:szCs w:val="21"/>
              </w:rPr>
              <w:t>户外抢夺抢劫、盗窃保险</w:t>
            </w:r>
          </w:p>
        </w:tc>
        <w:tc>
          <w:tcPr>
            <w:tcW w:w="604" w:type="pct"/>
            <w:noWrap w:val="0"/>
            <w:vAlign w:val="top"/>
          </w:tcPr>
          <w:p w14:paraId="69D1B359">
            <w:pPr>
              <w:rPr>
                <w:rFonts w:hint="eastAsia" w:ascii="宋体" w:hAnsi="宋体" w:eastAsia="宋体" w:cs="宋体"/>
                <w:b w:val="0"/>
                <w:bCs/>
                <w:sz w:val="21"/>
                <w:szCs w:val="21"/>
              </w:rPr>
            </w:pPr>
            <w:r>
              <w:rPr>
                <w:rFonts w:hint="eastAsia" w:ascii="宋体" w:hAnsi="宋体" w:eastAsia="宋体" w:cs="宋体"/>
                <w:b w:val="0"/>
                <w:bCs/>
                <w:sz w:val="21"/>
                <w:szCs w:val="21"/>
              </w:rPr>
              <w:t>3000元</w:t>
            </w:r>
          </w:p>
        </w:tc>
        <w:tc>
          <w:tcPr>
            <w:tcW w:w="2564" w:type="pct"/>
            <w:noWrap w:val="0"/>
            <w:vAlign w:val="top"/>
          </w:tcPr>
          <w:p w14:paraId="5B73447D">
            <w:pPr>
              <w:rPr>
                <w:rFonts w:hint="eastAsia" w:ascii="宋体" w:hAnsi="宋体" w:eastAsia="宋体" w:cs="宋体"/>
                <w:b w:val="0"/>
                <w:bCs/>
                <w:sz w:val="21"/>
                <w:szCs w:val="21"/>
              </w:rPr>
            </w:pPr>
            <w:r>
              <w:rPr>
                <w:rFonts w:hint="eastAsia" w:ascii="宋体" w:hAnsi="宋体" w:eastAsia="宋体" w:cs="宋体"/>
                <w:b w:val="0"/>
                <w:bCs/>
                <w:sz w:val="21"/>
                <w:szCs w:val="21"/>
              </w:rPr>
              <w:t>被保险人在户外活动时遭受第三者抢夺、抢劫或盗窃而导致随身携带的现金、手机等财产的损失。</w:t>
            </w:r>
          </w:p>
        </w:tc>
      </w:tr>
      <w:tr w14:paraId="247EA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707C8E5A">
            <w:pPr>
              <w:rPr>
                <w:rFonts w:hint="eastAsia" w:ascii="宋体" w:hAnsi="宋体" w:eastAsia="宋体" w:cs="宋体"/>
                <w:b w:val="0"/>
                <w:bCs/>
                <w:sz w:val="21"/>
                <w:szCs w:val="21"/>
              </w:rPr>
            </w:pPr>
          </w:p>
        </w:tc>
        <w:tc>
          <w:tcPr>
            <w:tcW w:w="833" w:type="pct"/>
            <w:noWrap w:val="0"/>
            <w:vAlign w:val="top"/>
          </w:tcPr>
          <w:p w14:paraId="6627DEBA">
            <w:pPr>
              <w:rPr>
                <w:rFonts w:hint="eastAsia" w:ascii="宋体" w:hAnsi="宋体" w:eastAsia="宋体" w:cs="宋体"/>
                <w:b w:val="0"/>
                <w:bCs/>
                <w:sz w:val="21"/>
                <w:szCs w:val="21"/>
              </w:rPr>
            </w:pPr>
            <w:r>
              <w:rPr>
                <w:rFonts w:hint="eastAsia" w:ascii="宋体" w:hAnsi="宋体" w:eastAsia="宋体" w:cs="宋体"/>
                <w:b w:val="0"/>
                <w:bCs/>
                <w:sz w:val="21"/>
                <w:szCs w:val="21"/>
              </w:rPr>
              <w:t>少儿走失保险</w:t>
            </w:r>
          </w:p>
        </w:tc>
        <w:tc>
          <w:tcPr>
            <w:tcW w:w="604" w:type="pct"/>
            <w:noWrap w:val="0"/>
            <w:vAlign w:val="top"/>
          </w:tcPr>
          <w:p w14:paraId="4C35BF73">
            <w:pP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2558818A">
            <w:pPr>
              <w:rPr>
                <w:rFonts w:hint="eastAsia" w:ascii="宋体" w:hAnsi="宋体" w:eastAsia="宋体" w:cs="宋体"/>
                <w:b w:val="0"/>
                <w:bCs/>
                <w:sz w:val="21"/>
                <w:szCs w:val="21"/>
              </w:rPr>
            </w:pPr>
            <w:r>
              <w:rPr>
                <w:rFonts w:hint="eastAsia" w:ascii="宋体" w:hAnsi="宋体" w:eastAsia="宋体" w:cs="宋体"/>
                <w:b w:val="0"/>
                <w:bCs/>
                <w:sz w:val="21"/>
                <w:szCs w:val="21"/>
              </w:rPr>
              <w:t>年龄在12周岁(含)以下的子女在国内(不含港澳台地区)走丢后自公安立案起，下落不明超过30日，用于找寻过程中发生的食宿、交通费、及在广告媒体上刊登附照片寻人广告后，对被保险人因此而实际发生的找寻费用。</w:t>
            </w:r>
          </w:p>
        </w:tc>
      </w:tr>
      <w:tr w14:paraId="3C1F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7F8D1BFA">
            <w:pPr>
              <w:rPr>
                <w:rFonts w:hint="eastAsia" w:ascii="宋体" w:hAnsi="宋体" w:eastAsia="宋体" w:cs="宋体"/>
                <w:b w:val="0"/>
                <w:bCs/>
                <w:sz w:val="21"/>
                <w:szCs w:val="21"/>
              </w:rPr>
            </w:pPr>
          </w:p>
        </w:tc>
        <w:tc>
          <w:tcPr>
            <w:tcW w:w="833" w:type="pct"/>
            <w:noWrap w:val="0"/>
            <w:vAlign w:val="top"/>
          </w:tcPr>
          <w:p w14:paraId="387EA173">
            <w:pPr>
              <w:rPr>
                <w:rFonts w:hint="eastAsia" w:ascii="宋体" w:hAnsi="宋体" w:eastAsia="宋体" w:cs="宋体"/>
                <w:b w:val="0"/>
                <w:bCs/>
                <w:sz w:val="21"/>
                <w:szCs w:val="21"/>
              </w:rPr>
            </w:pPr>
            <w:r>
              <w:rPr>
                <w:rFonts w:hint="eastAsia" w:ascii="宋体" w:hAnsi="宋体" w:eastAsia="宋体" w:cs="宋体"/>
                <w:b w:val="0"/>
                <w:bCs/>
                <w:sz w:val="21"/>
                <w:szCs w:val="21"/>
              </w:rPr>
              <w:t>老人寻找费用保险</w:t>
            </w:r>
          </w:p>
        </w:tc>
        <w:tc>
          <w:tcPr>
            <w:tcW w:w="604" w:type="pct"/>
            <w:noWrap w:val="0"/>
            <w:vAlign w:val="top"/>
          </w:tcPr>
          <w:p w14:paraId="3F2B94D4">
            <w:pP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3CD262D5">
            <w:pPr>
              <w:rPr>
                <w:rFonts w:hint="eastAsia" w:ascii="宋体" w:hAnsi="宋体" w:eastAsia="宋体" w:cs="宋体"/>
                <w:b w:val="0"/>
                <w:bCs/>
                <w:sz w:val="21"/>
                <w:szCs w:val="21"/>
              </w:rPr>
            </w:pPr>
            <w:r>
              <w:rPr>
                <w:rFonts w:hint="eastAsia" w:ascii="宋体" w:hAnsi="宋体" w:eastAsia="宋体" w:cs="宋体"/>
                <w:b w:val="0"/>
                <w:bCs/>
                <w:sz w:val="21"/>
                <w:szCs w:val="21"/>
              </w:rPr>
              <w:t>被保险人所赡养的年龄在50周岁及以上的的老人发生丢失，用于找寻过程中发生的食宿、交通费及在广告媒体上刊登附照片寻人广告后，对被保险人因此而实际发生的找寻费用。</w:t>
            </w:r>
          </w:p>
        </w:tc>
      </w:tr>
      <w:tr w14:paraId="4C71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2B563F26">
            <w:pPr>
              <w:rPr>
                <w:rFonts w:hint="eastAsia" w:ascii="宋体" w:hAnsi="宋体" w:eastAsia="宋体" w:cs="宋体"/>
                <w:b w:val="0"/>
                <w:bCs/>
                <w:sz w:val="21"/>
                <w:szCs w:val="21"/>
              </w:rPr>
            </w:pPr>
          </w:p>
        </w:tc>
        <w:tc>
          <w:tcPr>
            <w:tcW w:w="833" w:type="pct"/>
            <w:noWrap w:val="0"/>
            <w:vAlign w:val="top"/>
          </w:tcPr>
          <w:p w14:paraId="4FF548E3">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贫困家庭子女升学补助金保险</w:t>
            </w:r>
          </w:p>
        </w:tc>
        <w:tc>
          <w:tcPr>
            <w:tcW w:w="604" w:type="pct"/>
            <w:noWrap w:val="0"/>
            <w:vAlign w:val="top"/>
          </w:tcPr>
          <w:p w14:paraId="754E94BF">
            <w:pPr>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3000</w:t>
            </w:r>
            <w:r>
              <w:rPr>
                <w:rFonts w:hint="eastAsia" w:ascii="宋体" w:hAnsi="宋体" w:eastAsia="宋体" w:cs="宋体"/>
                <w:b w:val="0"/>
                <w:bCs/>
                <w:color w:val="auto"/>
                <w:sz w:val="21"/>
                <w:szCs w:val="21"/>
                <w:highlight w:val="none"/>
              </w:rPr>
              <w:t>元</w:t>
            </w:r>
          </w:p>
        </w:tc>
        <w:tc>
          <w:tcPr>
            <w:tcW w:w="2564" w:type="pct"/>
            <w:noWrap w:val="0"/>
            <w:vAlign w:val="top"/>
          </w:tcPr>
          <w:p w14:paraId="2AD58154">
            <w:pP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政府认定的贫困家庭中，被保险人在当年参加高考被全日制大专以上高等院校录取入学给予一次性补助金。</w:t>
            </w:r>
          </w:p>
        </w:tc>
      </w:tr>
    </w:tbl>
    <w:p w14:paraId="09D66A0E">
      <w:pPr>
        <w:spacing w:line="360" w:lineRule="auto"/>
        <w:ind w:firstLine="422" w:firstLineChars="200"/>
        <w:rPr>
          <w:rStyle w:val="147"/>
          <w:rFonts w:hint="eastAsia" w:ascii="宋体" w:hAnsi="宋体" w:eastAsia="宋体" w:cs="宋体"/>
          <w:b/>
          <w:bCs w:val="0"/>
          <w:sz w:val="21"/>
          <w:szCs w:val="21"/>
        </w:rPr>
      </w:pPr>
      <w:r>
        <w:rPr>
          <w:rStyle w:val="147"/>
          <w:rFonts w:hint="eastAsia" w:ascii="宋体" w:hAnsi="宋体" w:eastAsia="宋体" w:cs="宋体"/>
          <w:b/>
          <w:bCs w:val="0"/>
          <w:sz w:val="21"/>
          <w:szCs w:val="21"/>
        </w:rPr>
        <w:t>附加：按采购人要求参加全年平安建设宣传活动，印制宣传册，提供小礼品。</w:t>
      </w:r>
    </w:p>
    <w:p w14:paraId="5FBD24E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1.3.2</w:t>
      </w:r>
      <w:r>
        <w:rPr>
          <w:rFonts w:hint="eastAsia" w:ascii="宋体" w:hAnsi="宋体" w:eastAsia="宋体" w:cs="宋体"/>
          <w:b w:val="0"/>
          <w:bCs/>
          <w:sz w:val="21"/>
          <w:szCs w:val="21"/>
        </w:rPr>
        <w:t>理赔服务</w:t>
      </w:r>
      <w:r>
        <w:rPr>
          <w:rFonts w:hint="eastAsia" w:ascii="宋体" w:hAnsi="宋体" w:eastAsia="宋体" w:cs="宋体"/>
          <w:b w:val="0"/>
          <w:bCs/>
          <w:sz w:val="21"/>
          <w:szCs w:val="21"/>
          <w:lang w:eastAsia="zh-CN"/>
        </w:rPr>
        <w:t>：</w:t>
      </w:r>
      <w:r>
        <w:rPr>
          <w:rFonts w:hint="eastAsia" w:ascii="宋体" w:hAnsi="宋体" w:eastAsia="宋体" w:cs="宋体"/>
          <w:b w:val="0"/>
          <w:bCs/>
          <w:sz w:val="21"/>
          <w:szCs w:val="21"/>
        </w:rPr>
        <w:t>发案后当事人在报警的同时向承保保险公司报案，经公安部门确认后即可履行赔付程序。</w:t>
      </w:r>
    </w:p>
    <w:p w14:paraId="09BD25E8">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1.3.3</w:t>
      </w:r>
      <w:r>
        <w:rPr>
          <w:rFonts w:hint="eastAsia" w:ascii="宋体" w:hAnsi="宋体" w:eastAsia="宋体" w:cs="宋体"/>
          <w:b w:val="0"/>
          <w:bCs/>
          <w:sz w:val="21"/>
          <w:szCs w:val="21"/>
        </w:rPr>
        <w:t>理赔所需资料。</w:t>
      </w:r>
      <w:r>
        <w:rPr>
          <w:rFonts w:hint="eastAsia" w:ascii="宋体" w:hAnsi="宋体" w:eastAsia="宋体" w:cs="宋体"/>
          <w:b w:val="0"/>
          <w:bCs/>
          <w:sz w:val="21"/>
          <w:szCs w:val="21"/>
          <w:lang w:eastAsia="zh-CN"/>
        </w:rPr>
        <w:t>平顶山新华区</w:t>
      </w:r>
      <w:r>
        <w:rPr>
          <w:rFonts w:hint="eastAsia" w:ascii="宋体" w:hAnsi="宋体" w:eastAsia="宋体" w:cs="宋体"/>
          <w:b w:val="0"/>
          <w:bCs/>
          <w:sz w:val="21"/>
          <w:szCs w:val="21"/>
        </w:rPr>
        <w:t>社会治安综合保险理赔申请（申请</w:t>
      </w:r>
      <w:r>
        <w:rPr>
          <w:rFonts w:hint="eastAsia" w:ascii="宋体" w:hAnsi="宋体" w:eastAsia="宋体" w:cs="宋体"/>
          <w:b w:val="0"/>
          <w:bCs/>
          <w:sz w:val="21"/>
          <w:szCs w:val="21"/>
          <w:lang w:eastAsia="zh-CN"/>
        </w:rPr>
        <w:t>书</w:t>
      </w:r>
      <w:r>
        <w:rPr>
          <w:rFonts w:hint="eastAsia" w:ascii="宋体" w:hAnsi="宋体" w:eastAsia="宋体" w:cs="宋体"/>
          <w:b w:val="0"/>
          <w:bCs/>
          <w:sz w:val="21"/>
          <w:szCs w:val="21"/>
        </w:rPr>
        <w:t>）、被保险人身份证、户口簿、房屋所有权证明；投保人、被保险人所能提供的与确认保险事故的性质、原因、损失程度</w:t>
      </w:r>
      <w:r>
        <w:rPr>
          <w:rFonts w:hint="eastAsia" w:ascii="宋体" w:hAnsi="宋体" w:eastAsia="宋体" w:cs="宋体"/>
          <w:b w:val="0"/>
          <w:bCs/>
          <w:sz w:val="21"/>
          <w:szCs w:val="21"/>
          <w:lang w:eastAsia="zh-CN"/>
        </w:rPr>
        <w:t>、医疗清单</w:t>
      </w:r>
      <w:r>
        <w:rPr>
          <w:rFonts w:hint="eastAsia" w:ascii="宋体" w:hAnsi="宋体" w:eastAsia="宋体" w:cs="宋体"/>
          <w:b w:val="0"/>
          <w:bCs/>
          <w:sz w:val="21"/>
          <w:szCs w:val="21"/>
        </w:rPr>
        <w:t>和损失金额等相关的其他证明和资料。</w:t>
      </w:r>
    </w:p>
    <w:p w14:paraId="7993F8E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1.3.4</w:t>
      </w:r>
      <w:r>
        <w:rPr>
          <w:rFonts w:hint="eastAsia" w:ascii="宋体" w:hAnsi="宋体" w:eastAsia="宋体" w:cs="宋体"/>
          <w:b w:val="0"/>
          <w:bCs/>
          <w:sz w:val="21"/>
          <w:szCs w:val="21"/>
        </w:rPr>
        <w:t>适用条款。</w:t>
      </w:r>
      <w:r>
        <w:rPr>
          <w:rFonts w:hint="eastAsia" w:ascii="宋体" w:hAnsi="宋体" w:cs="宋体"/>
          <w:b w:val="0"/>
          <w:bCs/>
          <w:sz w:val="21"/>
          <w:szCs w:val="21"/>
          <w:u w:val="single"/>
          <w:lang w:val="en-US" w:eastAsia="zh-CN"/>
        </w:rPr>
        <w:t xml:space="preserve">          </w:t>
      </w:r>
      <w:r>
        <w:rPr>
          <w:rFonts w:hint="eastAsia" w:ascii="宋体" w:hAnsi="宋体" w:eastAsia="宋体" w:cs="宋体"/>
          <w:b w:val="0"/>
          <w:bCs/>
          <w:sz w:val="21"/>
          <w:szCs w:val="21"/>
        </w:rPr>
        <w:t>。</w:t>
      </w:r>
    </w:p>
    <w:p w14:paraId="572FAD63">
      <w:pPr>
        <w:pStyle w:val="4"/>
        <w:bidi w:val="0"/>
        <w:spacing w:line="360" w:lineRule="auto"/>
        <w:ind w:firstLine="211" w:firstLineChars="100"/>
        <w:rPr>
          <w:rFonts w:hint="default" w:ascii="宋体" w:hAnsi="宋体" w:eastAsia="宋体" w:cs="宋体"/>
          <w:b w:val="0"/>
          <w:bCs/>
          <w:sz w:val="21"/>
          <w:szCs w:val="21"/>
          <w:highlight w:val="none"/>
          <w:lang w:val="en-US" w:eastAsia="zh-CN"/>
        </w:rPr>
      </w:pPr>
      <w:r>
        <w:rPr>
          <w:rFonts w:hint="eastAsia" w:ascii="宋体" w:hAnsi="宋体" w:eastAsia="宋体" w:cs="宋体"/>
          <w:b/>
          <w:kern w:val="2"/>
          <w:sz w:val="21"/>
          <w:szCs w:val="21"/>
          <w:lang w:val="en-US" w:eastAsia="zh-CN" w:bidi="ar-SA"/>
        </w:rPr>
        <w:t>1.4乙方应在理赔材料收集齐全后10个工作日内按要求的赔偿标准进行赔付</w:t>
      </w:r>
      <w:r>
        <w:rPr>
          <w:rFonts w:hint="eastAsia" w:ascii="宋体" w:hAnsi="宋体" w:eastAsia="宋体" w:cs="宋体"/>
          <w:b w:val="0"/>
          <w:bCs/>
          <w:sz w:val="21"/>
          <w:szCs w:val="21"/>
        </w:rPr>
        <w:t>，如因乙方</w:t>
      </w:r>
      <w:r>
        <w:rPr>
          <w:rFonts w:hint="eastAsia" w:ascii="宋体" w:hAnsi="宋体" w:eastAsia="宋体" w:cs="宋体"/>
          <w:b w:val="0"/>
          <w:bCs/>
          <w:sz w:val="21"/>
          <w:szCs w:val="21"/>
          <w:highlight w:val="none"/>
        </w:rPr>
        <w:t>自身原因未进行及时赔付，甲方有权监督乙方在规定时间内及时进行整改赔付，如未及时整改，导致受损居民进行投诉等恶劣影响，</w:t>
      </w:r>
      <w:r>
        <w:rPr>
          <w:rFonts w:hint="eastAsia" w:ascii="宋体" w:hAnsi="宋体" w:eastAsia="宋体" w:cs="宋体"/>
          <w:b w:val="0"/>
          <w:bCs/>
          <w:sz w:val="21"/>
          <w:szCs w:val="21"/>
          <w:highlight w:val="none"/>
          <w:lang w:eastAsia="zh-CN"/>
        </w:rPr>
        <w:t>乙方除支付赔款之外另按违约时间支付不少于</w:t>
      </w:r>
      <w:r>
        <w:rPr>
          <w:rFonts w:hint="eastAsia" w:ascii="宋体" w:hAnsi="宋体" w:eastAsia="宋体" w:cs="宋体"/>
          <w:b w:val="0"/>
          <w:bCs/>
          <w:sz w:val="21"/>
          <w:szCs w:val="21"/>
          <w:highlight w:val="none"/>
          <w:lang w:val="en-US" w:eastAsia="zh-CN"/>
        </w:rPr>
        <w:t>3倍</w:t>
      </w:r>
      <w:r>
        <w:rPr>
          <w:rFonts w:hint="eastAsia" w:ascii="宋体" w:hAnsi="宋体" w:eastAsia="宋体" w:cs="宋体"/>
          <w:b w:val="0"/>
          <w:bCs/>
          <w:sz w:val="21"/>
          <w:szCs w:val="21"/>
          <w:highlight w:val="none"/>
          <w:lang w:eastAsia="zh-CN"/>
        </w:rPr>
        <w:t>利息费用</w:t>
      </w: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保险费未拨付至乙方账户的除外。</w:t>
      </w:r>
    </w:p>
    <w:p w14:paraId="0B314EB2">
      <w:pPr>
        <w:pStyle w:val="4"/>
        <w:bidi w:val="0"/>
        <w:spacing w:line="36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1.5乙方有要求甲方提供相应理赔手续的权利，且手续齐全、真实。</w:t>
      </w:r>
    </w:p>
    <w:p w14:paraId="443ECAB8">
      <w:pPr>
        <w:pStyle w:val="3"/>
        <w:bidi w:val="0"/>
        <w:spacing w:line="240" w:lineRule="auto"/>
        <w:rPr>
          <w:rFonts w:hint="eastAsia" w:ascii="宋体" w:hAnsi="宋体" w:eastAsia="宋体" w:cs="宋体"/>
          <w:b/>
          <w:sz w:val="21"/>
          <w:szCs w:val="21"/>
          <w:lang w:val="en-US" w:eastAsia="zh-CN"/>
        </w:rPr>
      </w:pPr>
      <w:bookmarkStart w:id="397" w:name="_Toc23073_WPSOffice_Level2"/>
      <w:r>
        <w:rPr>
          <w:rFonts w:hint="eastAsia" w:ascii="宋体" w:hAnsi="宋体" w:eastAsia="宋体" w:cs="宋体"/>
          <w:b/>
          <w:sz w:val="21"/>
          <w:szCs w:val="21"/>
          <w:lang w:val="en-US" w:eastAsia="zh-CN"/>
        </w:rPr>
        <w:t>2.民生综合保险</w:t>
      </w:r>
      <w:bookmarkEnd w:id="397"/>
    </w:p>
    <w:p w14:paraId="6E51FAD0">
      <w:pPr>
        <w:pStyle w:val="4"/>
        <w:bidi w:val="0"/>
        <w:spacing w:line="240" w:lineRule="auto"/>
        <w:ind w:firstLine="211" w:firstLineChars="1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2.1保障对象：</w:t>
      </w:r>
    </w:p>
    <w:p w14:paraId="0326A4A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lang w:val="en-US" w:eastAsia="zh-CN"/>
        </w:rPr>
        <w:t>为</w:t>
      </w:r>
      <w:r>
        <w:rPr>
          <w:rFonts w:hint="eastAsia" w:ascii="宋体" w:hAnsi="宋体" w:eastAsia="宋体" w:cs="宋体"/>
          <w:sz w:val="21"/>
          <w:szCs w:val="21"/>
          <w:highlight w:val="none"/>
        </w:rPr>
        <w:t>具有平顶山市新华区户籍的自然人；本辖区务工人员；与本辖区居住户籍居民结婚后，但未取得本辖区户籍的人员；</w:t>
      </w:r>
      <w:r>
        <w:rPr>
          <w:rFonts w:hint="eastAsia" w:ascii="宋体" w:hAnsi="宋体" w:eastAsia="宋体" w:cs="宋体"/>
          <w:sz w:val="21"/>
          <w:szCs w:val="21"/>
          <w:highlight w:val="none"/>
          <w:lang w:val="en-US" w:eastAsia="zh-CN"/>
        </w:rPr>
        <w:t>与</w:t>
      </w:r>
      <w:r>
        <w:rPr>
          <w:rFonts w:hint="eastAsia" w:ascii="宋体" w:hAnsi="宋体" w:eastAsia="宋体" w:cs="宋体"/>
          <w:sz w:val="21"/>
          <w:szCs w:val="21"/>
          <w:highlight w:val="none"/>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户籍不在本辖区，但在承包区域范围的所有人员。</w:t>
      </w:r>
    </w:p>
    <w:p w14:paraId="40BAB0EC">
      <w:pPr>
        <w:pStyle w:val="4"/>
        <w:bidi w:val="0"/>
        <w:spacing w:line="24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2.2保险责任范围：</w:t>
      </w:r>
    </w:p>
    <w:p w14:paraId="370FEAA9">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为平顶山市新华区行政区域内。</w:t>
      </w:r>
    </w:p>
    <w:p w14:paraId="7D31E53D">
      <w:pPr>
        <w:pStyle w:val="4"/>
        <w:bidi w:val="0"/>
        <w:spacing w:line="24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凡涉及本保险</w:t>
      </w:r>
      <w:r>
        <w:rPr>
          <w:rFonts w:hint="eastAsia" w:ascii="宋体" w:hAnsi="宋体" w:eastAsia="宋体" w:cs="宋体"/>
          <w:sz w:val="21"/>
          <w:szCs w:val="21"/>
          <w:lang w:val="en-US" w:eastAsia="zh-CN"/>
        </w:rPr>
        <w:t>协议</w:t>
      </w:r>
      <w:r>
        <w:rPr>
          <w:rFonts w:hint="eastAsia" w:ascii="宋体" w:hAnsi="宋体" w:eastAsia="宋体" w:cs="宋体"/>
          <w:sz w:val="21"/>
          <w:szCs w:val="21"/>
        </w:rPr>
        <w:t>的约定，均应采用书面形式。</w:t>
      </w:r>
    </w:p>
    <w:p w14:paraId="7AE43C33">
      <w:pPr>
        <w:pStyle w:val="4"/>
        <w:bidi w:val="0"/>
        <w:spacing w:line="240" w:lineRule="auto"/>
        <w:ind w:firstLine="211" w:firstLineChars="100"/>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合同</w:t>
      </w:r>
      <w:r>
        <w:rPr>
          <w:rFonts w:hint="eastAsia" w:ascii="宋体" w:hAnsi="宋体" w:eastAsia="宋体" w:cs="宋体"/>
          <w:b/>
          <w:bCs/>
          <w:sz w:val="21"/>
          <w:szCs w:val="21"/>
          <w:lang w:val="en-US" w:eastAsia="zh-CN"/>
        </w:rPr>
        <w:t>双</w:t>
      </w:r>
      <w:r>
        <w:rPr>
          <w:rFonts w:hint="eastAsia" w:ascii="宋体" w:hAnsi="宋体" w:eastAsia="宋体" w:cs="宋体"/>
          <w:b/>
          <w:bCs/>
          <w:sz w:val="21"/>
          <w:szCs w:val="21"/>
        </w:rPr>
        <w:t>方的权利及义务</w:t>
      </w:r>
    </w:p>
    <w:p w14:paraId="0B9FBB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1、投保人（以下简称甲方）的权利和义务</w:t>
      </w:r>
    </w:p>
    <w:p w14:paraId="03C971B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）甲方有向乙方进行保险事故索赔的权利。</w:t>
      </w:r>
    </w:p>
    <w:p w14:paraId="40FAEE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）在保险责任事故发生后，甲方应该按要求提供其所能提供的与确认保险事故的性质 、原因、损失程度等有关的证明和资料。</w:t>
      </w:r>
    </w:p>
    <w:p w14:paraId="3843D5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）甲方有权对保险合同变更、修改和解除等做出申请。</w:t>
      </w:r>
    </w:p>
    <w:p w14:paraId="2AF2340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）甲方有权对保险索赔进行监督。</w:t>
      </w:r>
    </w:p>
    <w:p w14:paraId="35B77F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）甲方负责提供</w:t>
      </w:r>
      <w:r>
        <w:rPr>
          <w:rFonts w:hint="eastAsia" w:ascii="宋体" w:hAnsi="宋体" w:eastAsia="宋体" w:cs="宋体"/>
          <w:sz w:val="21"/>
          <w:szCs w:val="21"/>
          <w:lang w:val="en-US" w:eastAsia="zh-CN"/>
        </w:rPr>
        <w:t>乙</w:t>
      </w:r>
      <w:r>
        <w:rPr>
          <w:rFonts w:hint="eastAsia" w:ascii="宋体" w:hAnsi="宋体" w:eastAsia="宋体" w:cs="宋体"/>
          <w:sz w:val="21"/>
          <w:szCs w:val="21"/>
        </w:rPr>
        <w:t>方所需的相关资料和数据，有如实告知的义务。</w:t>
      </w:r>
    </w:p>
    <w:p w14:paraId="7372B2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甲方有按照保险合同的约定支付保险费的义务。若甲方未按约定支付保险费，乙方有权不承担自保险合同生效之日起至未按约定支付保费期间发生的一切保险赔偿责任，保险合同效力自动中止，直至甲方按约定支付保险费之日起，保险合同才能自动复效。</w:t>
      </w:r>
    </w:p>
    <w:p w14:paraId="4EF39F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7</w:t>
      </w:r>
      <w:r>
        <w:rPr>
          <w:rFonts w:hint="eastAsia" w:ascii="宋体" w:hAnsi="宋体" w:eastAsia="宋体" w:cs="宋体"/>
          <w:sz w:val="21"/>
          <w:szCs w:val="21"/>
        </w:rPr>
        <w:t>）相关法律、法规赋予甲方的其他权利和义务。</w:t>
      </w:r>
    </w:p>
    <w:p w14:paraId="26E6AC7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2、保险人（以下简称乙方）的权利和义务</w:t>
      </w:r>
    </w:p>
    <w:p w14:paraId="778A40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（1）乙方有按保险合同的相关约定收取保险费的权利。</w:t>
      </w:r>
    </w:p>
    <w:p w14:paraId="7BD28B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（2）乙方应该提供有关险种的格式条款，并按事先协商好的保险条件为甲方出据正式的保险单和增值税普通发票（保费中已经包含发票税金）。</w:t>
      </w:r>
    </w:p>
    <w:p w14:paraId="5A3BCD2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（3）乙方按保险合同约定，负责保险事故的处理查勘、理赔等有关事宜，并对发生的保险事故所造成的经济损失承担赔偿责任。</w:t>
      </w:r>
    </w:p>
    <w:p w14:paraId="2B28F5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）乙方有对甲方所提供的所有文件、资料或信息保密的义务。</w:t>
      </w:r>
    </w:p>
    <w:p w14:paraId="3F9C8F5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）相关法律、法规赋予保险人的其他权利和义务。</w:t>
      </w:r>
    </w:p>
    <w:p w14:paraId="104B56F1">
      <w:pPr>
        <w:pStyle w:val="4"/>
        <w:bidi w:val="0"/>
        <w:spacing w:line="24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2.5保险保障方案</w:t>
      </w:r>
    </w:p>
    <w:p w14:paraId="0A1E73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保险金额由投保人、被保险人双方约定，并在保险单中载明。甲方</w:t>
      </w:r>
      <w:r>
        <w:rPr>
          <w:rFonts w:hint="eastAsia" w:ascii="宋体" w:hAnsi="宋体" w:eastAsia="宋体" w:cs="宋体"/>
          <w:sz w:val="21"/>
          <w:szCs w:val="21"/>
          <w:lang w:val="en-US" w:eastAsia="zh-CN"/>
        </w:rPr>
        <w:t>应</w:t>
      </w:r>
      <w:r>
        <w:rPr>
          <w:rFonts w:hint="eastAsia" w:ascii="宋体" w:hAnsi="宋体" w:eastAsia="宋体" w:cs="宋体"/>
          <w:sz w:val="21"/>
          <w:szCs w:val="21"/>
        </w:rPr>
        <w:t>于</w:t>
      </w:r>
      <w:r>
        <w:rPr>
          <w:rFonts w:hint="eastAsia" w:ascii="宋体" w:hAnsi="宋体" w:eastAsia="宋体" w:cs="宋体"/>
          <w:sz w:val="21"/>
          <w:szCs w:val="21"/>
          <w:lang w:val="en-US" w:eastAsia="zh-CN"/>
        </w:rPr>
        <w:t>投保后保单生效前向乙方缴纳足额的</w:t>
      </w:r>
      <w:r>
        <w:rPr>
          <w:rFonts w:hint="eastAsia" w:ascii="宋体" w:hAnsi="宋体" w:eastAsia="宋体" w:cs="宋体"/>
          <w:sz w:val="21"/>
          <w:szCs w:val="21"/>
        </w:rPr>
        <w:t>的保险费。保险金额是保险人承担给付保险金责任的最高限额，保险金一经确定，中途不得变更。甲方在付清保险费后，乙方</w:t>
      </w:r>
      <w:r>
        <w:rPr>
          <w:rFonts w:hint="eastAsia" w:ascii="宋体" w:hAnsi="宋体" w:eastAsia="宋体" w:cs="宋体"/>
          <w:sz w:val="21"/>
          <w:szCs w:val="21"/>
          <w:lang w:val="en-US" w:eastAsia="zh-CN"/>
        </w:rPr>
        <w:t>按照保单载明时间</w:t>
      </w:r>
      <w:r>
        <w:rPr>
          <w:rFonts w:hint="eastAsia" w:ascii="宋体" w:hAnsi="宋体" w:eastAsia="宋体" w:cs="宋体"/>
          <w:sz w:val="21"/>
          <w:szCs w:val="21"/>
        </w:rPr>
        <w:t>开始履行保险责任。</w:t>
      </w:r>
    </w:p>
    <w:p w14:paraId="7979C6A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保险保障方案如下：</w:t>
      </w:r>
    </w:p>
    <w:tbl>
      <w:tblPr>
        <w:tblStyle w:val="34"/>
        <w:tblW w:w="4999" w:type="pct"/>
        <w:jc w:val="center"/>
        <w:tblLayout w:type="autofit"/>
        <w:tblCellMar>
          <w:top w:w="0" w:type="dxa"/>
          <w:left w:w="0" w:type="dxa"/>
          <w:bottom w:w="0" w:type="dxa"/>
          <w:right w:w="0" w:type="dxa"/>
        </w:tblCellMar>
      </w:tblPr>
      <w:tblGrid>
        <w:gridCol w:w="1830"/>
        <w:gridCol w:w="1609"/>
        <w:gridCol w:w="6335"/>
      </w:tblGrid>
      <w:tr w14:paraId="55F6E612">
        <w:tblPrEx>
          <w:tblCellMar>
            <w:top w:w="0" w:type="dxa"/>
            <w:left w:w="0" w:type="dxa"/>
            <w:bottom w:w="0" w:type="dxa"/>
            <w:right w:w="0" w:type="dxa"/>
          </w:tblCellMar>
        </w:tblPrEx>
        <w:trPr>
          <w:trHeight w:val="270" w:hRule="atLeast"/>
          <w:jc w:val="center"/>
        </w:trPr>
        <w:tc>
          <w:tcPr>
            <w:tcW w:w="6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010CB4">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保险名称</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D6E9A1">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保障内容</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2ADEAA">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lang w:val="en-US"/>
              </w:rPr>
            </w:pPr>
            <w:r>
              <w:rPr>
                <w:rFonts w:hint="eastAsia" w:ascii="宋体" w:hAnsi="宋体" w:eastAsia="宋体" w:cs="宋体"/>
                <w:b/>
                <w:i w:val="0"/>
                <w:color w:val="000000"/>
                <w:kern w:val="0"/>
                <w:sz w:val="18"/>
                <w:szCs w:val="18"/>
                <w:highlight w:val="none"/>
                <w:u w:val="none"/>
                <w:lang w:val="en-US" w:eastAsia="zh-CN" w:bidi="ar"/>
              </w:rPr>
              <w:t>保险责任及限额</w:t>
            </w:r>
          </w:p>
        </w:tc>
      </w:tr>
      <w:tr w14:paraId="2D9201F9">
        <w:tblPrEx>
          <w:tblCellMar>
            <w:top w:w="0" w:type="dxa"/>
            <w:left w:w="0" w:type="dxa"/>
            <w:bottom w:w="0" w:type="dxa"/>
            <w:right w:w="0" w:type="dxa"/>
          </w:tblCellMar>
        </w:tblPrEx>
        <w:trPr>
          <w:trHeight w:val="930"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44E1E3">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公共管理综合责任保险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A3FEEA">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突发公共安全事件意外伤害（被保险人为突发事件中的受害人）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0C4AC">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发生特定突发的公共安全事件导致被保险人受伤、身故或残疾的给付医疗、身故或伤残赔偿金。包括倒房、火灾、爆炸、生产安全事故、食物中毒、突发恶性事件、高空坠物伤人、拥挤踩踏、个人暴力、恐怖活动等意外事件。医疗费赔付限额5000元/人，伤残、死亡赔付限额5万元/人。 累计赔偿限额50万元。</w:t>
            </w:r>
          </w:p>
        </w:tc>
      </w:tr>
      <w:tr w14:paraId="2C19192B">
        <w:tblPrEx>
          <w:tblCellMar>
            <w:top w:w="0" w:type="dxa"/>
            <w:left w:w="0" w:type="dxa"/>
            <w:bottom w:w="0" w:type="dxa"/>
            <w:right w:w="0" w:type="dxa"/>
          </w:tblCellMar>
        </w:tblPrEx>
        <w:trPr>
          <w:trHeight w:val="91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6EA29">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FCAFA3">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市政设施公众意外伤害（被保险人为突发事件中的受害人）</w:t>
            </w:r>
          </w:p>
          <w:p w14:paraId="45F990F6">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C46C43">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市政非营利性质公共设施（仅包含：市政井盖、护栏、街路标牌），因为缺失、沉降、坠落、倒塌等原因造成第三方人员受伤、身故或残疾的给付医疗、身故或伤残赔偿金。医疗费赔付限额5000元/人，伤残、死亡赔付限额5万元/人。 累计赔偿限额50万元。保险人先期赔偿后有权向公共设施所有人、监管人或致害人追偿。</w:t>
            </w:r>
          </w:p>
        </w:tc>
      </w:tr>
      <w:tr w14:paraId="608ADA9D">
        <w:tblPrEx>
          <w:tblCellMar>
            <w:top w:w="0" w:type="dxa"/>
            <w:left w:w="0" w:type="dxa"/>
            <w:bottom w:w="0" w:type="dxa"/>
            <w:right w:w="0" w:type="dxa"/>
          </w:tblCellMar>
        </w:tblPrEx>
        <w:trPr>
          <w:trHeight w:val="705"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33DBB">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政府救助责任保险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1F248D">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见义勇为意外伤害</w:t>
            </w:r>
          </w:p>
          <w:p w14:paraId="3899D255">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3DB6A">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在保险期限内，在约定的行政区域范围内，经区级以上政府部门认定为见义勇为的，因见义勇为遭受伤害的，每人次医疗费、误工费限额合计</w:t>
            </w:r>
            <w:r>
              <w:rPr>
                <w:rStyle w:val="149"/>
                <w:rFonts w:hint="eastAsia" w:ascii="宋体" w:hAnsi="宋体" w:eastAsia="宋体" w:cs="宋体"/>
                <w:sz w:val="18"/>
                <w:szCs w:val="18"/>
                <w:highlight w:val="none"/>
                <w:lang w:val="en-US" w:eastAsia="zh-CN" w:bidi="ar"/>
              </w:rPr>
              <w:t>5000</w:t>
            </w:r>
            <w:r>
              <w:rPr>
                <w:rFonts w:hint="eastAsia" w:ascii="宋体" w:hAnsi="宋体" w:eastAsia="宋体" w:cs="宋体"/>
                <w:i w:val="0"/>
                <w:color w:val="000000"/>
                <w:kern w:val="0"/>
                <w:sz w:val="18"/>
                <w:szCs w:val="18"/>
                <w:highlight w:val="none"/>
                <w:u w:val="none"/>
                <w:lang w:val="en-US" w:eastAsia="zh-CN" w:bidi="ar"/>
              </w:rPr>
              <w:t>元（误工费按照</w:t>
            </w:r>
            <w:r>
              <w:rPr>
                <w:rStyle w:val="149"/>
                <w:rFonts w:hint="eastAsia" w:ascii="宋体" w:hAnsi="宋体" w:eastAsia="宋体" w:cs="宋体"/>
                <w:sz w:val="18"/>
                <w:szCs w:val="18"/>
                <w:highlight w:val="none"/>
                <w:lang w:val="en-US" w:eastAsia="zh-CN" w:bidi="ar"/>
              </w:rPr>
              <w:t>100</w:t>
            </w:r>
            <w:r>
              <w:rPr>
                <w:rFonts w:hint="eastAsia" w:ascii="宋体" w:hAnsi="宋体" w:eastAsia="宋体" w:cs="宋体"/>
                <w:i w:val="0"/>
                <w:color w:val="000000"/>
                <w:kern w:val="0"/>
                <w:sz w:val="18"/>
                <w:szCs w:val="18"/>
                <w:highlight w:val="none"/>
                <w:u w:val="none"/>
                <w:lang w:val="en-US" w:eastAsia="zh-CN" w:bidi="ar"/>
              </w:rPr>
              <w:t>元</w:t>
            </w:r>
            <w:r>
              <w:rPr>
                <w:rStyle w:val="149"/>
                <w:rFonts w:hint="eastAsia" w:ascii="宋体" w:hAnsi="宋体" w:eastAsia="宋体" w:cs="宋体"/>
                <w:sz w:val="18"/>
                <w:szCs w:val="18"/>
                <w:highlight w:val="none"/>
                <w:lang w:val="en-US" w:eastAsia="zh-CN" w:bidi="ar"/>
              </w:rPr>
              <w:t>/</w:t>
            </w:r>
            <w:r>
              <w:rPr>
                <w:rFonts w:hint="eastAsia" w:ascii="宋体" w:hAnsi="宋体" w:eastAsia="宋体" w:cs="宋体"/>
                <w:i w:val="0"/>
                <w:color w:val="000000"/>
                <w:kern w:val="0"/>
                <w:sz w:val="18"/>
                <w:szCs w:val="18"/>
                <w:highlight w:val="none"/>
                <w:u w:val="none"/>
                <w:lang w:val="en-US" w:eastAsia="zh-CN" w:bidi="ar"/>
              </w:rPr>
              <w:t>日计算）；伤残、死亡赔付限额5万元/人；累计赔偿限额</w:t>
            </w:r>
            <w:r>
              <w:rPr>
                <w:rStyle w:val="149"/>
                <w:rFonts w:hint="eastAsia" w:ascii="宋体" w:hAnsi="宋体" w:eastAsia="宋体" w:cs="宋体"/>
                <w:sz w:val="18"/>
                <w:szCs w:val="18"/>
                <w:highlight w:val="none"/>
                <w:lang w:val="en-US" w:eastAsia="zh-CN" w:bidi="ar"/>
              </w:rPr>
              <w:t>50</w:t>
            </w:r>
            <w:r>
              <w:rPr>
                <w:rFonts w:hint="eastAsia" w:ascii="宋体" w:hAnsi="宋体" w:eastAsia="宋体" w:cs="宋体"/>
                <w:i w:val="0"/>
                <w:color w:val="000000"/>
                <w:kern w:val="0"/>
                <w:sz w:val="18"/>
                <w:szCs w:val="18"/>
                <w:highlight w:val="none"/>
                <w:u w:val="none"/>
                <w:lang w:val="en-US" w:eastAsia="zh-CN" w:bidi="ar"/>
              </w:rPr>
              <w:t>万元。</w:t>
            </w:r>
          </w:p>
        </w:tc>
      </w:tr>
      <w:tr w14:paraId="13268F84">
        <w:tblPrEx>
          <w:tblCellMar>
            <w:top w:w="0" w:type="dxa"/>
            <w:left w:w="0" w:type="dxa"/>
            <w:bottom w:w="0" w:type="dxa"/>
            <w:right w:w="0" w:type="dxa"/>
          </w:tblCellMar>
        </w:tblPrEx>
        <w:trPr>
          <w:trHeight w:val="93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BFC4D">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CCC477">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自然灾害意外伤害</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05A1E7">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发生由于暴雨、暴风、崩塌、雷击、洪水、龙卷风（热带风暴）、海啸、泥石流、突发性滑坡、冰雹等自然灾害及在上述自然灾害中的抢险救灾行为导致的直接被保险人受伤、身故或残疾的给付医疗、身故或伤残赔偿金。医疗费赔付限额5000元/人，伤残、死亡赔付限额5万元/人。 累计赔偿限额50万元。</w:t>
            </w:r>
          </w:p>
        </w:tc>
      </w:tr>
      <w:tr w14:paraId="5C12A4A3">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CB8D63">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F7A26A">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精神障碍患者伤害救助保险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C51D14">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在保险期限内，在约定的行政区域范围内，因精神障碍患者袭击造成第三方人受伤、伤残、死亡的，每人次医疗限额10000元，每人次伤残、死亡限额20万元，每次事故赔偿限额400万元，总累计赔偿限额800万元。</w:t>
            </w:r>
          </w:p>
        </w:tc>
      </w:tr>
      <w:tr w14:paraId="204BD0F9">
        <w:tblPrEx>
          <w:tblCellMar>
            <w:top w:w="0" w:type="dxa"/>
            <w:left w:w="0" w:type="dxa"/>
            <w:bottom w:w="0" w:type="dxa"/>
            <w:right w:w="0" w:type="dxa"/>
          </w:tblCellMar>
        </w:tblPrEx>
        <w:trPr>
          <w:trHeight w:val="48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7A89D6">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1F2056">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未成年人溺水救助保险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AAF899">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未成年人因溺水受伤、死亡,经政府及相关部门认定后,医疗费赔付限额5000元/人，死亡赔付限额5万元/人。 累计赔偿限额50万元。</w:t>
            </w:r>
          </w:p>
        </w:tc>
      </w:tr>
      <w:tr w14:paraId="2E1617E1">
        <w:tblPrEx>
          <w:tblCellMar>
            <w:top w:w="0" w:type="dxa"/>
            <w:left w:w="0" w:type="dxa"/>
            <w:bottom w:w="0" w:type="dxa"/>
            <w:right w:w="0" w:type="dxa"/>
          </w:tblCellMar>
        </w:tblPrEx>
        <w:trPr>
          <w:trHeight w:val="72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8BF97">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C62F1">
            <w:pPr>
              <w:spacing w:line="360" w:lineRule="auto"/>
              <w:jc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sz w:val="18"/>
                <w:szCs w:val="18"/>
                <w:highlight w:val="none"/>
                <w:u w:val="none"/>
                <w:lang w:val="en-US" w:eastAsia="zh-CN"/>
              </w:rPr>
              <w:t>交通事故救助保险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D47606">
            <w:pPr>
              <w:spacing w:line="360" w:lineRule="auto"/>
              <w:jc w:val="left"/>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sz w:val="18"/>
                <w:szCs w:val="18"/>
                <w:highlight w:val="none"/>
                <w:u w:val="none"/>
                <w:lang w:val="en-US" w:eastAsia="zh-CN"/>
              </w:rPr>
              <w:t>发生道路交通事故致人重伤或死亡,责任人无能力赔偿或者肇事车辆逃逸的,按照《河南省道路交通事故社会救助基金管理办法》处理后,医疗费赔付限额5000元/人，死亡赔付限额5万元/人。 累计赔偿限额50万元。</w:t>
            </w:r>
          </w:p>
        </w:tc>
      </w:tr>
      <w:tr w14:paraId="2239CD71">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80A56">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F036D">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精神障碍患者贫困家庭医疗救助保险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EB52D">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在保险期限内，在约定的行政区域范围内，政府认定的贫困精神障碍患者住院治疗的医疗和护理费用，每人次限额5000元，累计赔偿限额50万元。</w:t>
            </w:r>
          </w:p>
        </w:tc>
      </w:tr>
      <w:tr w14:paraId="49EA76AC">
        <w:tblPrEx>
          <w:tblCellMar>
            <w:top w:w="0" w:type="dxa"/>
            <w:left w:w="0" w:type="dxa"/>
            <w:bottom w:w="0" w:type="dxa"/>
            <w:right w:w="0" w:type="dxa"/>
          </w:tblCellMar>
        </w:tblPrEx>
        <w:trPr>
          <w:trHeight w:val="46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DDEE5">
            <w:pPr>
              <w:spacing w:line="360" w:lineRule="auto"/>
              <w:jc w:val="center"/>
              <w:rPr>
                <w:rFonts w:hint="eastAsia" w:ascii="宋体" w:hAnsi="宋体" w:eastAsia="宋体" w:cs="宋体"/>
                <w:i w:val="0"/>
                <w:color w:val="auto"/>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25FE1">
            <w:pPr>
              <w:keepNext w:val="0"/>
              <w:keepLines w:val="0"/>
              <w:widowControl/>
              <w:suppressLineNumbers w:val="0"/>
              <w:spacing w:line="360" w:lineRule="auto"/>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公共安全事件安全处置人员意外伤害补偿保险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582F92">
            <w:pPr>
              <w:keepNext w:val="0"/>
              <w:keepLines w:val="0"/>
              <w:widowControl/>
              <w:suppressLineNumbers w:val="0"/>
              <w:spacing w:line="360" w:lineRule="auto"/>
              <w:jc w:val="left"/>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在保险期限内，在约定的行政区域范围内，相关政府处置人员因公遭受意外伤害的，每人次医疗费、误工费限额合计</w:t>
            </w:r>
            <w:r>
              <w:rPr>
                <w:rStyle w:val="149"/>
                <w:rFonts w:hint="eastAsia" w:ascii="宋体" w:hAnsi="宋体" w:eastAsia="宋体" w:cs="宋体"/>
                <w:color w:val="auto"/>
                <w:sz w:val="18"/>
                <w:szCs w:val="18"/>
                <w:highlight w:val="none"/>
                <w:lang w:val="en-US" w:eastAsia="zh-CN" w:bidi="ar"/>
              </w:rPr>
              <w:t>5000</w:t>
            </w:r>
            <w:r>
              <w:rPr>
                <w:rFonts w:hint="eastAsia" w:ascii="宋体" w:hAnsi="宋体" w:eastAsia="宋体" w:cs="宋体"/>
                <w:i w:val="0"/>
                <w:color w:val="auto"/>
                <w:kern w:val="0"/>
                <w:sz w:val="18"/>
                <w:szCs w:val="18"/>
                <w:highlight w:val="none"/>
                <w:u w:val="none"/>
                <w:lang w:val="en-US" w:eastAsia="zh-CN" w:bidi="ar"/>
              </w:rPr>
              <w:t>元（误工费按照</w:t>
            </w:r>
            <w:r>
              <w:rPr>
                <w:rStyle w:val="149"/>
                <w:rFonts w:hint="eastAsia" w:ascii="宋体" w:hAnsi="宋体" w:eastAsia="宋体" w:cs="宋体"/>
                <w:color w:val="auto"/>
                <w:sz w:val="18"/>
                <w:szCs w:val="18"/>
                <w:highlight w:val="none"/>
                <w:lang w:val="en-US" w:eastAsia="zh-CN" w:bidi="ar"/>
              </w:rPr>
              <w:t>100</w:t>
            </w:r>
            <w:r>
              <w:rPr>
                <w:rFonts w:hint="eastAsia" w:ascii="宋体" w:hAnsi="宋体" w:eastAsia="宋体" w:cs="宋体"/>
                <w:i w:val="0"/>
                <w:color w:val="auto"/>
                <w:kern w:val="0"/>
                <w:sz w:val="18"/>
                <w:szCs w:val="18"/>
                <w:highlight w:val="none"/>
                <w:u w:val="none"/>
                <w:lang w:val="en-US" w:eastAsia="zh-CN" w:bidi="ar"/>
              </w:rPr>
              <w:t>元</w:t>
            </w:r>
            <w:r>
              <w:rPr>
                <w:rStyle w:val="149"/>
                <w:rFonts w:hint="eastAsia" w:ascii="宋体" w:hAnsi="宋体" w:eastAsia="宋体" w:cs="宋体"/>
                <w:color w:val="auto"/>
                <w:sz w:val="18"/>
                <w:szCs w:val="18"/>
                <w:highlight w:val="none"/>
                <w:lang w:val="en-US" w:eastAsia="zh-CN" w:bidi="ar"/>
              </w:rPr>
              <w:t>/</w:t>
            </w:r>
            <w:r>
              <w:rPr>
                <w:rFonts w:hint="eastAsia" w:ascii="宋体" w:hAnsi="宋体" w:eastAsia="宋体" w:cs="宋体"/>
                <w:i w:val="0"/>
                <w:color w:val="auto"/>
                <w:kern w:val="0"/>
                <w:sz w:val="18"/>
                <w:szCs w:val="18"/>
                <w:highlight w:val="none"/>
                <w:u w:val="none"/>
                <w:lang w:val="en-US" w:eastAsia="zh-CN" w:bidi="ar"/>
              </w:rPr>
              <w:t>日计算）；伤残、死亡赔付限额5万元/人；累计赔偿限额</w:t>
            </w:r>
            <w:r>
              <w:rPr>
                <w:rStyle w:val="149"/>
                <w:rFonts w:hint="eastAsia" w:ascii="宋体" w:hAnsi="宋体" w:eastAsia="宋体" w:cs="宋体"/>
                <w:color w:val="auto"/>
                <w:sz w:val="18"/>
                <w:szCs w:val="18"/>
                <w:highlight w:val="none"/>
                <w:lang w:val="en-US" w:eastAsia="zh-CN" w:bidi="ar"/>
              </w:rPr>
              <w:t>50</w:t>
            </w:r>
            <w:r>
              <w:rPr>
                <w:rFonts w:hint="eastAsia" w:ascii="宋体" w:hAnsi="宋体" w:eastAsia="宋体" w:cs="宋体"/>
                <w:i w:val="0"/>
                <w:color w:val="auto"/>
                <w:kern w:val="0"/>
                <w:sz w:val="18"/>
                <w:szCs w:val="18"/>
                <w:highlight w:val="none"/>
                <w:u w:val="none"/>
                <w:lang w:val="en-US" w:eastAsia="zh-CN" w:bidi="ar"/>
              </w:rPr>
              <w:t>万元。</w:t>
            </w:r>
          </w:p>
        </w:tc>
      </w:tr>
      <w:tr w14:paraId="164B3113">
        <w:tblPrEx>
          <w:tblCellMar>
            <w:top w:w="0" w:type="dxa"/>
            <w:left w:w="0" w:type="dxa"/>
            <w:bottom w:w="0" w:type="dxa"/>
            <w:right w:w="0" w:type="dxa"/>
          </w:tblCellMar>
        </w:tblPrEx>
        <w:trPr>
          <w:trHeight w:val="465" w:hRule="atLeast"/>
          <w:jc w:val="center"/>
        </w:trPr>
        <w:tc>
          <w:tcPr>
            <w:tcW w:w="18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5EDA69E4">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4503E028">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3A6F81BE">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31863D69">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人身意</w:t>
            </w:r>
          </w:p>
          <w:p w14:paraId="38256C2F">
            <w:pPr>
              <w:keepNext w:val="0"/>
              <w:keepLines w:val="0"/>
              <w:widowControl/>
              <w:suppressLineNumbers w:val="0"/>
              <w:spacing w:line="360" w:lineRule="auto"/>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外险</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75C3634">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7E1436AC">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594E5F80">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7759A5E3">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巡防队员及专兼职网格员</w:t>
            </w:r>
          </w:p>
          <w:p w14:paraId="2E0C5243">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意外伤害保险（24小时）</w:t>
            </w:r>
          </w:p>
        </w:tc>
        <w:tc>
          <w:tcPr>
            <w:tcW w:w="63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D782F1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意外伤害5万/人，意外医疗1万/人，意外住院津贴18000/人</w:t>
            </w:r>
            <w:r>
              <w:rPr>
                <w:rFonts w:hint="eastAsia" w:ascii="宋体" w:hAnsi="宋体" w:cs="宋体"/>
                <w:i w:val="0"/>
                <w:color w:val="auto"/>
                <w:kern w:val="0"/>
                <w:sz w:val="18"/>
                <w:szCs w:val="18"/>
                <w:highlight w:val="none"/>
                <w:u w:val="none"/>
                <w:lang w:val="en-US" w:eastAsia="zh-CN" w:bidi="ar"/>
              </w:rPr>
              <w:t>。</w:t>
            </w:r>
          </w:p>
          <w:p w14:paraId="5458CB5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1、</w:t>
            </w:r>
            <w:r>
              <w:rPr>
                <w:rFonts w:hint="eastAsia" w:ascii="宋体" w:hAnsi="宋体" w:eastAsia="宋体" w:cs="宋体"/>
                <w:i w:val="0"/>
                <w:color w:val="auto"/>
                <w:kern w:val="0"/>
                <w:sz w:val="18"/>
                <w:szCs w:val="18"/>
                <w:highlight w:val="none"/>
                <w:u w:val="none"/>
                <w:lang w:val="en-US" w:eastAsia="zh-CN" w:bidi="ar"/>
              </w:rPr>
              <w:t>被保险人自遭受该意外之日起一百八十日内以该意外为直接、完全原因而导致《人身保险伤残评定标准及代码》（JR/T 0083—2013，保监发[2014]6号）中所列伤残的，保险人按该处残疾的伤残等级对应的给付比例和该被保险人的意外伤害保险金额的乘积给付意外伤残保险金。伤残等级对应的保险金给付比例分为十档，伤残程度第一级对应的保险金给付比例为100%，伤残程度第十级对应的保险金给付比例为10%，每级相差10%。</w:t>
            </w:r>
          </w:p>
          <w:p w14:paraId="1344B56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2、被保险人每次发生的符合本保单所约定的合理医疗费用，保险人在每次扣除免赔额100元后，按80%的比例进行赔付；</w:t>
            </w:r>
          </w:p>
          <w:p w14:paraId="2EAE061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3、附加团体意外住院津贴：被保险人因遭受意外伤害并在定点医疗机构接受住院治疗的，保险公司按照"(每次实际住院日数-免赔日数3天)x一般住院日津贴金额100元/日”计算并给付一般住院津贴保险金，累计给付以180天为限。</w:t>
            </w:r>
          </w:p>
        </w:tc>
      </w:tr>
    </w:tbl>
    <w:p w14:paraId="5DEDF422">
      <w:pPr>
        <w:rPr>
          <w:rStyle w:val="147"/>
          <w:rFonts w:hint="eastAsia" w:ascii="宋体" w:hAnsi="宋体" w:cs="宋体"/>
          <w:b/>
          <w:bCs w:val="0"/>
          <w:color w:val="auto"/>
          <w:sz w:val="21"/>
          <w:szCs w:val="21"/>
          <w:lang w:val="en-US"/>
        </w:rPr>
      </w:pPr>
    </w:p>
    <w:p w14:paraId="72DEE08C">
      <w:pPr>
        <w:rPr>
          <w:rStyle w:val="147"/>
          <w:rFonts w:hint="default" w:ascii="宋体" w:hAnsi="宋体" w:eastAsia="宋体" w:cs="宋体"/>
          <w:b/>
          <w:bCs w:val="0"/>
          <w:color w:val="auto"/>
          <w:sz w:val="21"/>
          <w:szCs w:val="21"/>
          <w:lang w:val="en-US"/>
        </w:rPr>
      </w:pPr>
      <w:r>
        <w:rPr>
          <w:rStyle w:val="147"/>
          <w:rFonts w:hint="eastAsia" w:ascii="宋体" w:hAnsi="宋体" w:cs="宋体"/>
          <w:b/>
          <w:bCs w:val="0"/>
          <w:color w:val="auto"/>
          <w:sz w:val="21"/>
          <w:szCs w:val="21"/>
          <w:lang w:val="en-US"/>
        </w:rPr>
        <w:t>备注：巡防队员及专兼职网格员需实名录单。若中途有人员变动，需及时申请保单批改。出险理赔时以保单实际载明人员为准。</w:t>
      </w:r>
    </w:p>
    <w:p w14:paraId="05600E17">
      <w:pPr>
        <w:bidi w:val="0"/>
        <w:spacing w:line="240" w:lineRule="auto"/>
        <w:ind w:firstLine="211" w:firstLineChars="100"/>
        <w:outlineLvl w:val="9"/>
        <w:rPr>
          <w:rFonts w:hint="eastAsia" w:ascii="宋体" w:hAnsi="宋体" w:eastAsia="宋体" w:cs="宋体"/>
          <w:b/>
          <w:bCs w:val="0"/>
          <w:color w:val="auto"/>
          <w:sz w:val="21"/>
          <w:szCs w:val="21"/>
          <w:lang w:val="en-US" w:eastAsia="zh-CN"/>
        </w:rPr>
      </w:pPr>
      <w:r>
        <w:rPr>
          <w:rStyle w:val="147"/>
          <w:rFonts w:hint="eastAsia" w:ascii="宋体" w:hAnsi="宋体" w:eastAsia="宋体" w:cs="宋体"/>
          <w:b/>
          <w:bCs w:val="0"/>
          <w:color w:val="auto"/>
          <w:sz w:val="21"/>
          <w:szCs w:val="21"/>
        </w:rPr>
        <w:t>附加：按采购人要求参加全年平安建设宣传活动，印制宣传册，提供小礼品。</w:t>
      </w:r>
    </w:p>
    <w:p w14:paraId="0A071038">
      <w:pPr>
        <w:pStyle w:val="4"/>
        <w:bidi w:val="0"/>
        <w:spacing w:line="24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color w:val="auto"/>
          <w:sz w:val="21"/>
          <w:szCs w:val="21"/>
          <w:lang w:val="en-US" w:eastAsia="zh-CN"/>
        </w:rPr>
        <w:t>2.6条款和特别约定</w:t>
      </w:r>
    </w:p>
    <w:p w14:paraId="324242DF">
      <w:pPr>
        <w:spacing w:line="360" w:lineRule="auto"/>
        <w:rPr>
          <w:rFonts w:hint="default" w:ascii="宋体" w:hAnsi="宋体" w:eastAsia="宋体" w:cs="宋体"/>
          <w:b w:val="0"/>
          <w:bCs/>
          <w:sz w:val="21"/>
          <w:szCs w:val="21"/>
          <w:u w:val="single"/>
          <w:lang w:val="en-US"/>
        </w:rPr>
      </w:pPr>
      <w:r>
        <w:rPr>
          <w:rFonts w:hint="eastAsia" w:ascii="宋体" w:hAnsi="宋体" w:eastAsia="宋体" w:cs="宋体"/>
          <w:sz w:val="21"/>
          <w:szCs w:val="21"/>
          <w:lang w:val="en-US" w:eastAsia="zh-CN"/>
        </w:rPr>
        <w:t>适用条款：</w:t>
      </w:r>
      <w:r>
        <w:rPr>
          <w:rFonts w:hint="eastAsia" w:ascii="宋体" w:hAnsi="宋体" w:cs="宋体"/>
          <w:b w:val="0"/>
          <w:bCs/>
          <w:sz w:val="21"/>
          <w:szCs w:val="21"/>
          <w:u w:val="single"/>
          <w:lang w:val="en-US" w:eastAsia="zh-CN"/>
        </w:rPr>
        <w:t xml:space="preserve">         </w:t>
      </w:r>
    </w:p>
    <w:p w14:paraId="5C741125">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特别约定：</w:t>
      </w:r>
    </w:p>
    <w:p w14:paraId="2373F396">
      <w:pPr>
        <w:spacing w:line="360" w:lineRule="auto"/>
        <w:ind w:firstLine="422" w:firstLineChars="200"/>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居民实施犯罪行为或者违反治安管理规定，造成自身人身伤亡的；居民实施自残、自杀等故意行为的；居民组织、实施或参与犯罪的；行政行为或司法行为的保险人不负责赔偿。</w:t>
      </w:r>
    </w:p>
    <w:p w14:paraId="5966FF0C">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对于属于保险责任的意外伤害，造成被保险人死亡的，按照限额赔付，残疾按照伤残等级与保额比例进行赔偿。</w:t>
      </w:r>
    </w:p>
    <w:p w14:paraId="4365EAE6">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精神障碍患者伤害救助保险中的第三人包含患者本人家庭成员。</w:t>
      </w:r>
    </w:p>
    <w:p w14:paraId="1388FD32">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对于已获得保险人经济赔偿的被保险人，保险人自动取得该案件的追偿权，由保险人向责任方或者致害人追偿，被保险人的放弃无效。</w:t>
      </w:r>
    </w:p>
    <w:p w14:paraId="2FFDF958">
      <w:pPr>
        <w:numPr>
          <w:ilvl w:val="0"/>
          <w:numId w:val="2"/>
        </w:numP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highlight w:val="none"/>
          <w:lang w:val="en-US" w:eastAsia="zh-CN"/>
        </w:rPr>
        <w:t>公共安全事件、安全处置人员的认定以区综治中心或其上级单位的书面证明为准。</w:t>
      </w:r>
      <w:bookmarkStart w:id="398" w:name="_Toc28761_WPSOffice_Level1"/>
      <w:bookmarkStart w:id="399" w:name="_Toc27784_WPSOffice_Level1"/>
    </w:p>
    <w:p w14:paraId="411D45A7">
      <w:pPr>
        <w:numPr>
          <w:ilvl w:val="0"/>
          <w:numId w:val="0"/>
        </w:numPr>
        <w:spacing w:line="360" w:lineRule="auto"/>
        <w:outlineLvl w:val="1"/>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七、保密义务</w:t>
      </w:r>
      <w:bookmarkEnd w:id="398"/>
      <w:bookmarkEnd w:id="399"/>
    </w:p>
    <w:p w14:paraId="7DEB4A38">
      <w:pPr>
        <w:bidi w:val="0"/>
        <w:spacing w:line="360" w:lineRule="auto"/>
        <w:ind w:firstLine="420" w:firstLineChars="200"/>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甲乙双方应遵循保密原则，双方均应采取不低于对其自身信息保密的措施，妥善保管并保护对方的保密信息。无论本协议是否终止、解除或撤销，任何一方均不得复制、印刷或通过任何形式向任何第三方传播对方提供的文件、资料等非公开信息以及合作业务中涉及的相关商业信息及客户信息，不得将对方的商业信息及客户信息用于双方合作业务之外的任何目的，无论该等信息是否标注为保密。一方泄密或不正当使用对方商业秘密给对方造成损失的，泄密方应当承担违约责任。</w:t>
      </w:r>
      <w:bookmarkStart w:id="400" w:name="_Toc8268_WPSOffice_Level1"/>
      <w:bookmarkStart w:id="401" w:name="_Toc27641_WPSOffice_Level1"/>
    </w:p>
    <w:p w14:paraId="1D711E95">
      <w:pPr>
        <w:bidi w:val="0"/>
        <w:spacing w:line="360" w:lineRule="auto"/>
        <w:outlineLvl w:val="1"/>
        <w:rPr>
          <w:rFonts w:hint="eastAsia" w:ascii="宋体" w:hAnsi="宋体" w:eastAsia="宋体" w:cs="宋体"/>
          <w:b/>
          <w:sz w:val="21"/>
          <w:szCs w:val="21"/>
        </w:rPr>
      </w:pPr>
      <w:r>
        <w:rPr>
          <w:rFonts w:hint="eastAsia" w:ascii="宋体" w:hAnsi="宋体" w:eastAsia="宋体" w:cs="宋体"/>
          <w:b/>
          <w:sz w:val="21"/>
          <w:szCs w:val="21"/>
          <w:lang w:eastAsia="zh-CN"/>
        </w:rPr>
        <w:t>八</w:t>
      </w:r>
      <w:r>
        <w:rPr>
          <w:rFonts w:hint="eastAsia" w:ascii="宋体" w:hAnsi="宋体" w:eastAsia="宋体" w:cs="宋体"/>
          <w:b/>
          <w:sz w:val="21"/>
          <w:szCs w:val="21"/>
        </w:rPr>
        <w:t>、合同的履约监督</w:t>
      </w:r>
      <w:bookmarkEnd w:id="400"/>
      <w:bookmarkEnd w:id="401"/>
    </w:p>
    <w:p w14:paraId="0EFAEE07">
      <w:pPr>
        <w:bidi w:val="0"/>
        <w:ind w:firstLine="420" w:firstLineChars="200"/>
        <w:rPr>
          <w:rFonts w:hint="eastAsia" w:ascii="宋体" w:hAnsi="宋体" w:eastAsia="宋体" w:cs="宋体"/>
          <w:sz w:val="21"/>
          <w:szCs w:val="21"/>
        </w:rPr>
      </w:pPr>
      <w:r>
        <w:rPr>
          <w:rFonts w:hint="eastAsia" w:ascii="宋体" w:hAnsi="宋体" w:eastAsia="宋体" w:cs="宋体"/>
          <w:sz w:val="21"/>
          <w:szCs w:val="21"/>
        </w:rPr>
        <w:t>甲乙双方应自觉接受监督部门对合同履行的监督与检查。</w:t>
      </w:r>
    </w:p>
    <w:p w14:paraId="6D88914F">
      <w:pPr>
        <w:spacing w:line="360" w:lineRule="auto"/>
        <w:outlineLvl w:val="1"/>
        <w:rPr>
          <w:rFonts w:hint="eastAsia" w:ascii="宋体" w:hAnsi="宋体" w:eastAsia="宋体" w:cs="宋体"/>
          <w:b/>
          <w:sz w:val="21"/>
          <w:szCs w:val="21"/>
        </w:rPr>
      </w:pPr>
      <w:bookmarkStart w:id="402" w:name="_Toc32341_WPSOffice_Level1"/>
      <w:bookmarkStart w:id="403" w:name="_Toc14860_WPSOffice_Level1"/>
      <w:r>
        <w:rPr>
          <w:rFonts w:hint="eastAsia" w:ascii="宋体" w:hAnsi="宋体" w:eastAsia="宋体" w:cs="宋体"/>
          <w:b/>
          <w:sz w:val="21"/>
          <w:szCs w:val="21"/>
          <w:lang w:eastAsia="zh-CN"/>
        </w:rPr>
        <w:t>九</w:t>
      </w:r>
      <w:r>
        <w:rPr>
          <w:rFonts w:hint="eastAsia" w:ascii="宋体" w:hAnsi="宋体" w:eastAsia="宋体" w:cs="宋体"/>
          <w:b/>
          <w:sz w:val="21"/>
          <w:szCs w:val="21"/>
        </w:rPr>
        <w:t>、争议</w:t>
      </w:r>
      <w:bookmarkEnd w:id="402"/>
      <w:bookmarkEnd w:id="403"/>
    </w:p>
    <w:p w14:paraId="1EDF2F4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双方约定，凡因执行本合同所发生的与本合同有关的一切争议，当和解或调解不成时，选择下列第</w:t>
      </w:r>
      <w:r>
        <w:rPr>
          <w:rFonts w:hint="eastAsia" w:ascii="宋体" w:hAnsi="宋体" w:eastAsia="宋体" w:cs="宋体"/>
          <w:b/>
          <w:bCs/>
          <w:sz w:val="21"/>
          <w:szCs w:val="21"/>
          <w:u w:val="single"/>
        </w:rPr>
        <w:t>　（</w:t>
      </w:r>
      <w:r>
        <w:rPr>
          <w:rFonts w:hint="eastAsia" w:ascii="宋体" w:hAnsi="宋体" w:eastAsia="宋体" w:cs="宋体"/>
          <w:b/>
          <w:bCs/>
          <w:sz w:val="21"/>
          <w:szCs w:val="21"/>
          <w:u w:val="single"/>
          <w:lang w:val="en-US" w:eastAsia="zh-CN"/>
        </w:rPr>
        <w:t>2</w:t>
      </w:r>
      <w:r>
        <w:rPr>
          <w:rFonts w:hint="eastAsia" w:ascii="宋体" w:hAnsi="宋体" w:eastAsia="宋体" w:cs="宋体"/>
          <w:b/>
          <w:bCs/>
          <w:sz w:val="21"/>
          <w:szCs w:val="21"/>
          <w:u w:val="single"/>
        </w:rPr>
        <w:t>）</w:t>
      </w:r>
      <w:r>
        <w:rPr>
          <w:rFonts w:hint="eastAsia" w:ascii="宋体" w:hAnsi="宋体" w:eastAsia="宋体" w:cs="宋体"/>
          <w:bCs/>
          <w:sz w:val="21"/>
          <w:szCs w:val="21"/>
          <w:u w:val="single"/>
        </w:rPr>
        <w:t xml:space="preserve"> </w:t>
      </w:r>
      <w:r>
        <w:rPr>
          <w:rFonts w:hint="eastAsia" w:ascii="宋体" w:hAnsi="宋体" w:eastAsia="宋体" w:cs="宋体"/>
          <w:sz w:val="21"/>
          <w:szCs w:val="21"/>
        </w:rPr>
        <w:t>种方式解决：</w:t>
      </w:r>
    </w:p>
    <w:p w14:paraId="55B62A6E">
      <w:pPr>
        <w:spacing w:line="360" w:lineRule="auto"/>
        <w:ind w:firstLine="420" w:firstLineChars="200"/>
        <w:rPr>
          <w:rFonts w:hint="eastAsia" w:ascii="宋体" w:hAnsi="宋体" w:eastAsia="宋体" w:cs="宋体"/>
          <w:sz w:val="21"/>
          <w:szCs w:val="21"/>
        </w:rPr>
      </w:pPr>
      <w:bookmarkStart w:id="404" w:name="_Toc4245_WPSOffice_Level2"/>
      <w:bookmarkStart w:id="405" w:name="_Toc9168_WPSOffice_Level2"/>
      <w:r>
        <w:rPr>
          <w:rFonts w:hint="eastAsia" w:ascii="宋体" w:hAnsi="宋体" w:eastAsia="宋体" w:cs="宋体"/>
          <w:sz w:val="21"/>
          <w:szCs w:val="21"/>
        </w:rPr>
        <w:t>（1）将争议提交</w:t>
      </w:r>
      <w:r>
        <w:rPr>
          <w:rFonts w:hint="eastAsia" w:ascii="宋体" w:hAnsi="宋体" w:eastAsia="宋体" w:cs="宋体"/>
          <w:b/>
          <w:bCs/>
          <w:sz w:val="21"/>
          <w:szCs w:val="21"/>
          <w:u w:val="single"/>
        </w:rPr>
        <w:t>　项目所在地　</w:t>
      </w:r>
      <w:r>
        <w:rPr>
          <w:rFonts w:hint="eastAsia" w:ascii="宋体" w:hAnsi="宋体" w:eastAsia="宋体" w:cs="宋体"/>
          <w:b/>
          <w:bCs/>
          <w:sz w:val="21"/>
          <w:szCs w:val="21"/>
          <w:u w:val="single"/>
        </w:rPr>
        <w:tab/>
      </w:r>
      <w:r>
        <w:rPr>
          <w:rFonts w:hint="eastAsia" w:ascii="宋体" w:hAnsi="宋体" w:eastAsia="宋体" w:cs="宋体"/>
          <w:sz w:val="21"/>
          <w:szCs w:val="21"/>
        </w:rPr>
        <w:t>仲裁委员会仲裁；</w:t>
      </w:r>
      <w:bookmarkEnd w:id="404"/>
      <w:bookmarkEnd w:id="405"/>
    </w:p>
    <w:p w14:paraId="625F3D2A">
      <w:pPr>
        <w:spacing w:line="360" w:lineRule="auto"/>
        <w:ind w:firstLine="420" w:firstLineChars="200"/>
        <w:rPr>
          <w:rFonts w:hint="eastAsia" w:ascii="宋体" w:hAnsi="宋体" w:eastAsia="宋体" w:cs="宋体"/>
          <w:b/>
          <w:sz w:val="21"/>
          <w:szCs w:val="21"/>
        </w:rPr>
      </w:pPr>
      <w:bookmarkStart w:id="406" w:name="_Toc5251_WPSOffice_Level2"/>
      <w:bookmarkStart w:id="407" w:name="_Toc2184_WPSOffice_Level2"/>
      <w:r>
        <w:rPr>
          <w:rFonts w:hint="eastAsia" w:ascii="宋体" w:hAnsi="宋体" w:eastAsia="宋体" w:cs="宋体"/>
          <w:sz w:val="21"/>
          <w:szCs w:val="21"/>
        </w:rPr>
        <w:t>（2）依法向</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b/>
          <w:bCs/>
          <w:sz w:val="21"/>
          <w:szCs w:val="21"/>
          <w:u w:val="single"/>
          <w:lang w:val="en-US" w:eastAsia="zh-CN"/>
        </w:rPr>
        <w:t>合同履行地</w:t>
      </w:r>
      <w:r>
        <w:rPr>
          <w:rFonts w:hint="eastAsia" w:ascii="宋体" w:hAnsi="宋体" w:eastAsia="宋体" w:cs="宋体"/>
          <w:b/>
          <w:bCs/>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人民法院提起诉讼。</w:t>
      </w:r>
      <w:bookmarkEnd w:id="406"/>
      <w:bookmarkEnd w:id="407"/>
    </w:p>
    <w:p w14:paraId="1303A954">
      <w:pPr>
        <w:spacing w:line="360" w:lineRule="auto"/>
        <w:outlineLvl w:val="1"/>
        <w:rPr>
          <w:rFonts w:hint="eastAsia" w:ascii="宋体" w:hAnsi="宋体" w:eastAsia="宋体" w:cs="宋体"/>
          <w:b/>
          <w:sz w:val="21"/>
          <w:szCs w:val="21"/>
        </w:rPr>
      </w:pPr>
      <w:bookmarkStart w:id="408" w:name="_Toc23155_WPSOffice_Level1"/>
      <w:bookmarkStart w:id="409" w:name="_Toc24482_WPSOffice_Level1"/>
      <w:r>
        <w:rPr>
          <w:rFonts w:hint="eastAsia" w:ascii="宋体" w:hAnsi="宋体" w:eastAsia="宋体" w:cs="宋体"/>
          <w:b/>
          <w:sz w:val="21"/>
          <w:szCs w:val="21"/>
          <w:lang w:eastAsia="zh-CN"/>
        </w:rPr>
        <w:t>十</w:t>
      </w:r>
      <w:r>
        <w:rPr>
          <w:rFonts w:hint="eastAsia" w:ascii="宋体" w:hAnsi="宋体" w:eastAsia="宋体" w:cs="宋体"/>
          <w:b/>
          <w:sz w:val="21"/>
          <w:szCs w:val="21"/>
        </w:rPr>
        <w:t>、合同修改</w:t>
      </w:r>
      <w:bookmarkEnd w:id="408"/>
      <w:bookmarkEnd w:id="409"/>
    </w:p>
    <w:p w14:paraId="0FD79B9E">
      <w:pPr>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合同条款的任何改动，均须由合同签署双方签署合同修改书或合同补充协议。该合同修改或补充被视为本合同的组成部分，具有与本合同同等法律效力。</w:t>
      </w:r>
    </w:p>
    <w:p w14:paraId="0EDD933D">
      <w:pPr>
        <w:spacing w:line="360" w:lineRule="auto"/>
        <w:outlineLvl w:val="1"/>
        <w:rPr>
          <w:rFonts w:hint="eastAsia" w:ascii="宋体" w:hAnsi="宋体" w:eastAsia="宋体" w:cs="宋体"/>
          <w:b/>
          <w:sz w:val="21"/>
          <w:szCs w:val="21"/>
          <w:lang w:eastAsia="zh-CN"/>
        </w:rPr>
      </w:pPr>
      <w:bookmarkStart w:id="410" w:name="_Toc21323_WPSOffice_Level1"/>
      <w:bookmarkStart w:id="411" w:name="_Toc12534_WPSOffice_Level1"/>
      <w:r>
        <w:rPr>
          <w:rFonts w:hint="eastAsia" w:ascii="宋体" w:hAnsi="宋体" w:eastAsia="宋体" w:cs="宋体"/>
          <w:b/>
          <w:sz w:val="21"/>
          <w:szCs w:val="21"/>
          <w:lang w:eastAsia="zh-CN"/>
        </w:rPr>
        <w:t>十一、反商业贿赂</w:t>
      </w:r>
      <w:bookmarkEnd w:id="410"/>
      <w:bookmarkEnd w:id="411"/>
    </w:p>
    <w:p w14:paraId="4CC13E25">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1.甲、乙双方明确知晓并愿意严格遵守其居住地或经营所在地或其他任何有效适用的反商业贿赂、反腐败的法律法规、双方明确意识到任何形式的贿赂和贪渎行为将触犯法律、并将收到法律的严惩。</w:t>
      </w:r>
    </w:p>
    <w:p w14:paraId="6090F515">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2.甲乙双方应严格禁止其经办人员的任何商业贿赂行为（包括行贿和受贿），不得向对方或对方经办人或其他相关人员索要、收受、提供、给予合同约定外的任何利益，包括但不限于暗扣、现金、购物卡、实物、有价证券、旅游或其他非物质性利益等，但如该等利益属于行业惯例或通常做法，则须在合同中明示。</w:t>
      </w:r>
    </w:p>
    <w:p w14:paraId="5B4F053B">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3.甲乙双方人员在签订、履行合同过程中及其后发生本协议第二条所示的任何一种行为，均是违反法律规定和双方公司制度规定的，其他合同当事人及其工作人员均有义务举报有关人员及其行为，对方应当履行协助并配合调查等义务。</w:t>
      </w:r>
    </w:p>
    <w:p w14:paraId="29E87021">
      <w:pPr>
        <w:spacing w:line="360" w:lineRule="auto"/>
        <w:outlineLvl w:val="1"/>
        <w:rPr>
          <w:rFonts w:hint="eastAsia" w:ascii="宋体" w:hAnsi="宋体" w:eastAsia="宋体" w:cs="宋体"/>
          <w:b/>
          <w:sz w:val="21"/>
          <w:szCs w:val="21"/>
          <w:lang w:eastAsia="zh-CN"/>
        </w:rPr>
      </w:pPr>
      <w:bookmarkStart w:id="412" w:name="_Toc17465_WPSOffice_Level1"/>
      <w:bookmarkStart w:id="413" w:name="_Toc20373_WPSOffice_Level1"/>
      <w:r>
        <w:rPr>
          <w:rFonts w:hint="eastAsia" w:ascii="宋体" w:hAnsi="宋体" w:eastAsia="宋体" w:cs="宋体"/>
          <w:b/>
          <w:sz w:val="21"/>
          <w:szCs w:val="21"/>
          <w:lang w:eastAsia="zh-CN"/>
        </w:rPr>
        <w:t>十二、合同订立</w:t>
      </w:r>
      <w:bookmarkEnd w:id="412"/>
      <w:bookmarkEnd w:id="413"/>
    </w:p>
    <w:p w14:paraId="7701A98C">
      <w:pPr>
        <w:adjustRightInd w:val="0"/>
        <w:snapToGrid w:val="0"/>
        <w:spacing w:line="360" w:lineRule="auto"/>
        <w:ind w:firstLine="415" w:firstLineChars="198"/>
        <w:rPr>
          <w:rFonts w:hint="eastAsia" w:ascii="宋体" w:hAnsi="宋体" w:eastAsia="宋体" w:cs="宋体"/>
          <w:sz w:val="21"/>
          <w:szCs w:val="21"/>
        </w:rPr>
      </w:pPr>
      <w:bookmarkStart w:id="414" w:name="_Toc3002_WPSOffice_Level2"/>
      <w:bookmarkStart w:id="415" w:name="_Toc27784_WPSOffice_Level2"/>
      <w:r>
        <w:rPr>
          <w:rFonts w:hint="eastAsia" w:ascii="宋体" w:hAnsi="宋体" w:eastAsia="宋体" w:cs="宋体"/>
          <w:sz w:val="21"/>
          <w:szCs w:val="21"/>
        </w:rPr>
        <w:t>1. 订立时间：</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日。</w:t>
      </w:r>
      <w:bookmarkEnd w:id="414"/>
      <w:bookmarkEnd w:id="415"/>
    </w:p>
    <w:p w14:paraId="4C64B0BB">
      <w:pPr>
        <w:adjustRightInd w:val="0"/>
        <w:snapToGrid w:val="0"/>
        <w:spacing w:line="360" w:lineRule="auto"/>
        <w:ind w:firstLine="415" w:firstLineChars="198"/>
        <w:jc w:val="left"/>
        <w:rPr>
          <w:rFonts w:hint="eastAsia" w:ascii="宋体" w:hAnsi="宋体" w:eastAsia="宋体" w:cs="宋体"/>
          <w:sz w:val="21"/>
          <w:szCs w:val="21"/>
        </w:rPr>
      </w:pPr>
      <w:bookmarkStart w:id="416" w:name="_Toc27641_WPSOffice_Level2"/>
      <w:bookmarkStart w:id="417" w:name="_Toc3975_WPSOffice_Level2"/>
      <w:r>
        <w:rPr>
          <w:rFonts w:hint="eastAsia" w:ascii="宋体" w:hAnsi="宋体" w:eastAsia="宋体" w:cs="宋体"/>
          <w:sz w:val="21"/>
          <w:szCs w:val="21"/>
        </w:rPr>
        <w:t>2. 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平顶山市新华区  </w:t>
      </w:r>
      <w:r>
        <w:rPr>
          <w:rFonts w:hint="eastAsia" w:ascii="宋体" w:hAnsi="宋体" w:eastAsia="宋体" w:cs="宋体"/>
          <w:sz w:val="21"/>
          <w:szCs w:val="21"/>
          <w:u w:val="single"/>
        </w:rPr>
        <w:t xml:space="preserve">  </w:t>
      </w:r>
      <w:r>
        <w:rPr>
          <w:rFonts w:hint="eastAsia" w:ascii="宋体" w:hAnsi="宋体" w:eastAsia="宋体" w:cs="宋体"/>
          <w:sz w:val="21"/>
          <w:szCs w:val="21"/>
        </w:rPr>
        <w:t>。</w:t>
      </w:r>
      <w:bookmarkEnd w:id="416"/>
      <w:bookmarkEnd w:id="417"/>
    </w:p>
    <w:p w14:paraId="0362138F">
      <w:pPr>
        <w:spacing w:line="360" w:lineRule="auto"/>
        <w:ind w:firstLine="420" w:firstLineChars="200"/>
        <w:outlineLvl w:val="9"/>
        <w:rPr>
          <w:rFonts w:hint="eastAsia" w:ascii="宋体" w:hAnsi="宋体" w:eastAsia="宋体" w:cs="宋体"/>
          <w:sz w:val="21"/>
          <w:szCs w:val="21"/>
        </w:rPr>
      </w:pPr>
      <w:bookmarkStart w:id="418" w:name="_Toc14244_WPSOffice_Level2"/>
      <w:bookmarkStart w:id="419" w:name="_Toc32341_WPSOffice_Level2"/>
      <w:r>
        <w:rPr>
          <w:rFonts w:hint="eastAsia" w:ascii="宋体" w:hAnsi="宋体" w:eastAsia="宋体" w:cs="宋体"/>
          <w:sz w:val="21"/>
          <w:szCs w:val="21"/>
        </w:rPr>
        <w:t>3. 本合同一式</w:t>
      </w:r>
      <w:r>
        <w:rPr>
          <w:rFonts w:hint="eastAsia" w:ascii="宋体" w:hAnsi="宋体" w:eastAsia="宋体" w:cs="宋体"/>
          <w:sz w:val="21"/>
          <w:szCs w:val="21"/>
          <w:u w:val="single"/>
        </w:rPr>
        <w:t xml:space="preserve"> 捌 </w:t>
      </w:r>
      <w:r>
        <w:rPr>
          <w:rFonts w:hint="eastAsia" w:ascii="宋体" w:hAnsi="宋体" w:eastAsia="宋体" w:cs="宋体"/>
          <w:sz w:val="21"/>
          <w:szCs w:val="21"/>
        </w:rPr>
        <w:t>份，具有同等法律效力，双方各执</w:t>
      </w:r>
      <w:r>
        <w:rPr>
          <w:rFonts w:hint="eastAsia" w:ascii="宋体" w:hAnsi="宋体" w:eastAsia="宋体" w:cs="宋体"/>
          <w:sz w:val="21"/>
          <w:szCs w:val="21"/>
          <w:u w:val="single"/>
        </w:rPr>
        <w:t xml:space="preserve"> 肆 </w:t>
      </w:r>
      <w:r>
        <w:rPr>
          <w:rFonts w:hint="eastAsia" w:ascii="宋体" w:hAnsi="宋体" w:eastAsia="宋体" w:cs="宋体"/>
          <w:sz w:val="21"/>
          <w:szCs w:val="21"/>
        </w:rPr>
        <w:t>份。</w:t>
      </w:r>
      <w:bookmarkEnd w:id="418"/>
      <w:bookmarkEnd w:id="419"/>
      <w:bookmarkStart w:id="420" w:name="_Toc15131_WPSOffice_Level1"/>
      <w:bookmarkStart w:id="421" w:name="_Toc19516_WPSOffice_Level1"/>
    </w:p>
    <w:bookmarkEnd w:id="420"/>
    <w:bookmarkEnd w:id="421"/>
    <w:tbl>
      <w:tblPr>
        <w:tblStyle w:val="3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7211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3" w:hRule="atLeast"/>
          <w:jc w:val="center"/>
        </w:trPr>
        <w:tc>
          <w:tcPr>
            <w:tcW w:w="2500" w:type="pct"/>
            <w:tcBorders>
              <w:tl2br w:val="nil"/>
              <w:tr2bl w:val="nil"/>
            </w:tcBorders>
            <w:noWrap w:val="0"/>
            <w:vAlign w:val="top"/>
          </w:tcPr>
          <w:p w14:paraId="71D40ACF">
            <w:pPr>
              <w:adjustRightInd w:val="0"/>
              <w:snapToGrid w:val="0"/>
              <w:spacing w:line="360" w:lineRule="auto"/>
              <w:rPr>
                <w:rFonts w:hint="eastAsia" w:ascii="宋体" w:hAnsi="宋体" w:eastAsia="宋体" w:cs="宋体"/>
                <w:sz w:val="21"/>
                <w:szCs w:val="21"/>
              </w:rPr>
            </w:pPr>
          </w:p>
          <w:p w14:paraId="6E21E2F2">
            <w:pPr>
              <w:adjustRightInd w:val="0"/>
              <w:snapToGrid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甲方</w:t>
            </w:r>
            <w:r>
              <w:rPr>
                <w:rFonts w:hint="eastAsia" w:ascii="宋体" w:hAnsi="宋体" w:eastAsia="宋体" w:cs="宋体"/>
                <w:sz w:val="21"/>
                <w:szCs w:val="21"/>
                <w:u w:val="none"/>
              </w:rPr>
              <w:t>（盖章）：</w:t>
            </w:r>
            <w:r>
              <w:rPr>
                <w:rFonts w:hint="eastAsia" w:ascii="宋体" w:hAnsi="宋体" w:eastAsia="宋体" w:cs="宋体"/>
                <w:b/>
                <w:bCs/>
                <w:sz w:val="21"/>
                <w:szCs w:val="21"/>
                <w:u w:val="single"/>
                <w:lang w:val="en-US" w:eastAsia="zh-CN"/>
              </w:rPr>
              <w:t>中共平顶山市新华区委政法委员会</w:t>
            </w:r>
            <w:r>
              <w:rPr>
                <w:rFonts w:hint="eastAsia" w:ascii="宋体" w:hAnsi="宋体" w:eastAsia="宋体" w:cs="宋体"/>
                <w:sz w:val="21"/>
                <w:szCs w:val="21"/>
                <w:u w:val="single"/>
              </w:rPr>
              <w:t xml:space="preserve"> </w:t>
            </w:r>
          </w:p>
          <w:p w14:paraId="589BE4A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1A8F2BC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44EA7E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法定代表人或</w:t>
            </w:r>
            <w:r>
              <w:rPr>
                <w:rFonts w:hint="eastAsia" w:ascii="宋体" w:hAnsi="宋体" w:eastAsia="宋体" w:cs="宋体"/>
                <w:sz w:val="21"/>
                <w:szCs w:val="21"/>
                <w:lang w:val="en-US" w:eastAsia="zh-CN"/>
              </w:rPr>
              <w:t>授权代理人</w:t>
            </w:r>
            <w:r>
              <w:rPr>
                <w:rFonts w:hint="eastAsia" w:ascii="宋体" w:hAnsi="宋体" w:eastAsia="宋体" w:cs="宋体"/>
                <w:sz w:val="21"/>
                <w:szCs w:val="21"/>
              </w:rPr>
              <w:t>：</w:t>
            </w:r>
            <w:r>
              <w:rPr>
                <w:rFonts w:hint="eastAsia" w:ascii="宋体" w:hAnsi="宋体" w:eastAsia="宋体" w:cs="宋体"/>
                <w:sz w:val="21"/>
                <w:szCs w:val="21"/>
                <w:u w:val="single"/>
              </w:rPr>
              <w:t xml:space="preserve">（签字）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440D1DEF">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2290F25">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73055C1">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F2E0F8D">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传真：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54994BC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电子邮箱：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tc>
        <w:tc>
          <w:tcPr>
            <w:tcW w:w="2500" w:type="pct"/>
            <w:tcBorders>
              <w:tl2br w:val="nil"/>
              <w:tr2bl w:val="nil"/>
            </w:tcBorders>
            <w:noWrap w:val="0"/>
            <w:vAlign w:val="top"/>
          </w:tcPr>
          <w:p w14:paraId="384226A6">
            <w:pPr>
              <w:adjustRightInd w:val="0"/>
              <w:snapToGrid w:val="0"/>
              <w:spacing w:line="360" w:lineRule="auto"/>
              <w:rPr>
                <w:rFonts w:hint="eastAsia" w:ascii="宋体" w:hAnsi="宋体" w:eastAsia="宋体" w:cs="宋体"/>
                <w:sz w:val="21"/>
                <w:szCs w:val="21"/>
              </w:rPr>
            </w:pPr>
          </w:p>
          <w:p w14:paraId="5AC3DE3B">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u w:val="none"/>
              </w:rPr>
              <w:t>（盖章）</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p>
          <w:p w14:paraId="02C297C4">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4D36B2DC">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31FDAD4D">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法定代表人或其授权代理人：</w:t>
            </w:r>
            <w:r>
              <w:rPr>
                <w:rFonts w:hint="eastAsia" w:ascii="宋体" w:hAnsi="宋体" w:eastAsia="宋体" w:cs="宋体"/>
                <w:sz w:val="21"/>
                <w:szCs w:val="21"/>
                <w:u w:val="single"/>
              </w:rPr>
              <w:t xml:space="preserve">（签字）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2AB516A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62C3188">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w:t>
            </w:r>
          </w:p>
          <w:p w14:paraId="4A64609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65038F34">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传真：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83AF2DF">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电子邮箱：</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tc>
      </w:tr>
    </w:tbl>
    <w:p w14:paraId="785A669D">
      <w:pPr>
        <w:pStyle w:val="140"/>
        <w:spacing w:line="360" w:lineRule="auto"/>
        <w:rPr>
          <w:rFonts w:hint="eastAsia" w:ascii="宋体" w:hAnsi="宋体" w:eastAsia="宋体" w:cs="宋体"/>
        </w:rPr>
      </w:pPr>
      <w:r>
        <w:rPr>
          <w:rFonts w:hint="eastAsia" w:ascii="宋体" w:hAnsi="宋体" w:eastAsia="宋体" w:cs="宋体"/>
          <w:sz w:val="21"/>
          <w:szCs w:val="21"/>
        </w:rPr>
        <w:t>签订时间：     年   月   日               签订时间：     年   月   日</w:t>
      </w:r>
      <w:bookmarkStart w:id="422" w:name="page36"/>
      <w:bookmarkEnd w:id="422"/>
    </w:p>
    <w:bookmarkEnd w:id="373"/>
    <w:p w14:paraId="13F3EEE1">
      <w:pPr>
        <w:widowControl/>
        <w:jc w:val="left"/>
        <w:rPr>
          <w:rFonts w:hint="eastAsia" w:ascii="宋体" w:hAnsi="宋体" w:eastAsia="宋体" w:cs="宋体"/>
          <w:b/>
          <w:sz w:val="32"/>
        </w:rPr>
      </w:pPr>
      <w:bookmarkStart w:id="423" w:name="_Toc11081"/>
      <w:bookmarkStart w:id="424" w:name="_Toc45177863"/>
      <w:r>
        <w:rPr>
          <w:rFonts w:hint="eastAsia" w:ascii="宋体" w:hAnsi="宋体" w:eastAsia="宋体" w:cs="宋体"/>
          <w:b/>
          <w:sz w:val="32"/>
        </w:rPr>
        <w:br w:type="page"/>
      </w:r>
    </w:p>
    <w:p w14:paraId="10AE857B">
      <w:pPr>
        <w:jc w:val="center"/>
        <w:outlineLvl w:val="0"/>
        <w:rPr>
          <w:rFonts w:hint="eastAsia" w:ascii="宋体" w:hAnsi="宋体" w:eastAsia="宋体" w:cs="宋体"/>
          <w:b/>
          <w:color w:val="auto"/>
          <w:sz w:val="32"/>
        </w:rPr>
      </w:pPr>
      <w:bookmarkStart w:id="425" w:name="_Toc17924"/>
      <w:r>
        <w:rPr>
          <w:rFonts w:hint="eastAsia" w:ascii="宋体" w:hAnsi="宋体" w:eastAsia="宋体" w:cs="宋体"/>
          <w:b/>
          <w:color w:val="auto"/>
          <w:sz w:val="32"/>
        </w:rPr>
        <w:t xml:space="preserve">第五章  </w:t>
      </w:r>
      <w:bookmarkEnd w:id="423"/>
      <w:bookmarkEnd w:id="424"/>
      <w:bookmarkEnd w:id="425"/>
      <w:r>
        <w:rPr>
          <w:rFonts w:hint="eastAsia" w:ascii="宋体" w:hAnsi="宋体" w:eastAsia="宋体" w:cs="宋体"/>
          <w:b/>
          <w:color w:val="auto"/>
          <w:sz w:val="32"/>
        </w:rPr>
        <w:t>采购需求</w:t>
      </w:r>
    </w:p>
    <w:p w14:paraId="77CFFD4C">
      <w:pPr>
        <w:pStyle w:val="2"/>
        <w:pageBreakBefore w:val="0"/>
        <w:kinsoku/>
        <w:wordWrap/>
        <w:overflowPunct/>
        <w:topLinePunct w:val="0"/>
        <w:autoSpaceDE/>
        <w:autoSpaceDN/>
        <w:bidi w:val="0"/>
        <w:adjustRightInd/>
        <w:snapToGrid/>
        <w:spacing w:before="0" w:after="0" w:line="360" w:lineRule="auto"/>
        <w:ind w:firstLine="422" w:firstLineChars="200"/>
        <w:jc w:val="left"/>
        <w:rPr>
          <w:rFonts w:hint="eastAsia" w:ascii="宋体" w:hAnsi="宋体" w:eastAsia="宋体" w:cs="宋体"/>
          <w:b/>
          <w:bCs/>
          <w:sz w:val="21"/>
          <w:szCs w:val="21"/>
          <w:highlight w:val="none"/>
          <w:lang w:eastAsia="zh-CN"/>
        </w:rPr>
      </w:pPr>
      <w:bookmarkStart w:id="426" w:name="_Toc45177864"/>
      <w:bookmarkStart w:id="427" w:name="_Toc15754"/>
      <w:r>
        <w:rPr>
          <w:rFonts w:hint="eastAsia" w:ascii="宋体" w:hAnsi="宋体" w:eastAsia="宋体" w:cs="宋体"/>
          <w:b/>
          <w:bCs/>
          <w:sz w:val="21"/>
          <w:szCs w:val="21"/>
          <w:highlight w:val="none"/>
          <w:lang w:eastAsia="zh-CN"/>
        </w:rPr>
        <w:t>一、项目概况：</w:t>
      </w:r>
    </w:p>
    <w:p w14:paraId="1AEF37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1.为</w:t>
      </w:r>
      <w:r>
        <w:rPr>
          <w:rFonts w:hint="eastAsia" w:ascii="宋体" w:hAnsi="宋体" w:eastAsia="宋体" w:cs="宋体"/>
          <w:sz w:val="21"/>
          <w:szCs w:val="21"/>
          <w:highlight w:val="none"/>
          <w:lang w:val="en-US" w:eastAsia="zh-CN"/>
        </w:rPr>
        <w:t>进一步深化平安建设，改善社会治安环境，打造和谐平安家园，促进社会和谐稳定，新华区根据上级关于保险业参与平安建设、鼓励发展治安保险的精神，结合我区实际，在全区范围内陆续推行“平安家园民生综合保险”工</w:t>
      </w:r>
      <w:r>
        <w:rPr>
          <w:rFonts w:hint="eastAsia" w:ascii="宋体" w:hAnsi="宋体" w:eastAsia="宋体" w:cs="宋体"/>
          <w:color w:val="auto"/>
          <w:sz w:val="21"/>
          <w:szCs w:val="21"/>
          <w:highlight w:val="none"/>
          <w:lang w:val="en-US" w:eastAsia="zh-CN"/>
        </w:rPr>
        <w:t>作，保险覆盖辖区1个镇、1个管委会和9个街道，总人口数336957人，总户数为95763户，覆盖率100%。</w:t>
      </w:r>
    </w:p>
    <w:p w14:paraId="0B8CF3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标段：以光明路为界，以东为第一标段，矿工路街道、中兴路街道、光明路街道、湛北路街道4个街道辖区境内约153578人。二标段：以光明路为界，以西为第二标段，曙光街、西市场、西高皇、焦店、新新街、青石山、香山7个镇街道辖区境内约183379人。</w:t>
      </w:r>
    </w:p>
    <w:p w14:paraId="5528AC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2.采购内容：中共平顶山市新华</w:t>
      </w:r>
      <w:r>
        <w:rPr>
          <w:rFonts w:hint="eastAsia" w:ascii="宋体" w:hAnsi="宋体" w:eastAsia="宋体" w:cs="宋体"/>
          <w:sz w:val="21"/>
          <w:szCs w:val="21"/>
          <w:highlight w:val="none"/>
          <w:lang w:val="en-US" w:eastAsia="zh-CN"/>
        </w:rPr>
        <w:t>区委政法委员会2026年新华区平安家园民生综合保险项目，在辖区内，当灾难降临后，由保险公司对受灾群众的人身伤亡、财物损失等进行赔付。</w:t>
      </w:r>
    </w:p>
    <w:p w14:paraId="01F55F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3.服务地点：平顶山市新华区。</w:t>
      </w:r>
    </w:p>
    <w:p w14:paraId="242E8D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4.服务期限：1年。</w:t>
      </w:r>
    </w:p>
    <w:p w14:paraId="58BE34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5.质量要求：合格，符合国家相关规定及行业标准要求。</w:t>
      </w:r>
    </w:p>
    <w:p w14:paraId="12BEF176">
      <w:pPr>
        <w:pStyle w:val="2"/>
        <w:pageBreakBefore w:val="0"/>
        <w:kinsoku/>
        <w:wordWrap/>
        <w:overflowPunct/>
        <w:topLinePunct w:val="0"/>
        <w:autoSpaceDE/>
        <w:autoSpaceDN/>
        <w:bidi w:val="0"/>
        <w:adjustRightInd/>
        <w:snapToGrid/>
        <w:spacing w:before="0" w:after="0" w:line="360" w:lineRule="auto"/>
        <w:ind w:firstLine="422" w:firstLineChars="200"/>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二、具体保险内容：</w:t>
      </w:r>
    </w:p>
    <w:p w14:paraId="5696513C">
      <w:pPr>
        <w:pStyle w:val="3"/>
        <w:pageBreakBefore w:val="0"/>
        <w:kinsoku/>
        <w:wordWrap/>
        <w:overflowPunct/>
        <w:topLinePunct w:val="0"/>
        <w:autoSpaceDE/>
        <w:autoSpaceDN/>
        <w:bidi w:val="0"/>
        <w:adjustRightInd/>
        <w:snapToGrid/>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1.平安家园保险</w:t>
      </w:r>
    </w:p>
    <w:p w14:paraId="23245298">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保险范围</w:t>
      </w:r>
    </w:p>
    <w:p w14:paraId="0D894A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人员范围：</w:t>
      </w:r>
      <w:r>
        <w:rPr>
          <w:rFonts w:hint="eastAsia" w:ascii="宋体" w:hAnsi="宋体" w:eastAsia="宋体" w:cs="宋体"/>
          <w:sz w:val="21"/>
          <w:szCs w:val="21"/>
          <w:lang w:eastAsia="zh-CN"/>
        </w:rPr>
        <w:t>平顶山新华区户籍在册人员</w:t>
      </w:r>
      <w:r>
        <w:rPr>
          <w:rFonts w:hint="eastAsia" w:ascii="宋体" w:hAnsi="宋体" w:eastAsia="宋体" w:cs="宋体"/>
          <w:sz w:val="21"/>
          <w:szCs w:val="21"/>
        </w:rPr>
        <w:t>（含农</w:t>
      </w:r>
      <w:r>
        <w:rPr>
          <w:rFonts w:hint="eastAsia" w:ascii="宋体" w:hAnsi="宋体" w:eastAsia="宋体" w:cs="宋体"/>
          <w:sz w:val="21"/>
          <w:szCs w:val="21"/>
          <w:lang w:eastAsia="zh-CN"/>
        </w:rPr>
        <w:t>业和非农业人口），具有平顶山市新华区户籍的自然人；本辖区务工人员；与本辖区居住户籍居民结婚后，但未取得本辖区户籍的人员；</w:t>
      </w:r>
      <w:r>
        <w:rPr>
          <w:rFonts w:hint="eastAsia" w:ascii="宋体" w:hAnsi="宋体" w:eastAsia="宋体" w:cs="宋体"/>
          <w:sz w:val="21"/>
          <w:szCs w:val="21"/>
          <w:lang w:val="en-US" w:eastAsia="zh-CN"/>
        </w:rPr>
        <w:t>与</w:t>
      </w:r>
      <w:r>
        <w:rPr>
          <w:rFonts w:hint="eastAsia" w:ascii="宋体" w:hAnsi="宋体" w:eastAsia="宋体" w:cs="宋体"/>
          <w:sz w:val="21"/>
          <w:szCs w:val="21"/>
          <w:lang w:eastAsia="zh-CN"/>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val="en-US" w:eastAsia="zh-CN"/>
        </w:rPr>
        <w:t>户籍不在本辖区，但在承包区域范围的所有人员</w:t>
      </w:r>
      <w:r>
        <w:rPr>
          <w:rFonts w:hint="eastAsia" w:ascii="宋体" w:hAnsi="宋体" w:eastAsia="宋体" w:cs="宋体"/>
          <w:sz w:val="21"/>
          <w:szCs w:val="21"/>
          <w:lang w:eastAsia="zh-CN"/>
        </w:rPr>
        <w:t>。</w:t>
      </w:r>
    </w:p>
    <w:p w14:paraId="0934A7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财产范</w:t>
      </w:r>
      <w:r>
        <w:rPr>
          <w:rFonts w:hint="eastAsia" w:ascii="宋体" w:hAnsi="宋体" w:eastAsia="宋体" w:cs="宋体"/>
          <w:sz w:val="21"/>
          <w:szCs w:val="21"/>
          <w:lang w:eastAsia="zh-CN"/>
        </w:rPr>
        <w:t>围：辖区内全部常住人口所有且有人长期居住的居民房屋、室内相关财产、电动（两轮、三轮）车等</w:t>
      </w:r>
      <w:r>
        <w:rPr>
          <w:rFonts w:hint="eastAsia" w:ascii="宋体" w:hAnsi="宋体" w:eastAsia="宋体" w:cs="宋体"/>
          <w:sz w:val="21"/>
          <w:szCs w:val="21"/>
          <w:lang w:val="en-US" w:eastAsia="zh-CN"/>
        </w:rPr>
        <w:t>包括</w:t>
      </w:r>
      <w:r>
        <w:rPr>
          <w:rFonts w:hint="eastAsia" w:ascii="宋体" w:hAnsi="宋体" w:eastAsia="宋体" w:cs="宋体"/>
          <w:sz w:val="21"/>
          <w:szCs w:val="21"/>
          <w:highlight w:val="none"/>
          <w:lang w:val="en-US" w:eastAsia="zh-CN"/>
        </w:rPr>
        <w:t>户籍不在本辖区，但在承包区域范围的所有人员财产</w:t>
      </w:r>
      <w:r>
        <w:rPr>
          <w:rFonts w:hint="eastAsia" w:ascii="宋体" w:hAnsi="宋体" w:eastAsia="宋体" w:cs="宋体"/>
          <w:sz w:val="21"/>
          <w:szCs w:val="21"/>
          <w:lang w:eastAsia="zh-CN"/>
        </w:rPr>
        <w:t>；</w:t>
      </w:r>
    </w:p>
    <w:p w14:paraId="144C05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承保</w:t>
      </w:r>
      <w:r>
        <w:rPr>
          <w:rFonts w:hint="eastAsia" w:ascii="宋体" w:hAnsi="宋体" w:eastAsia="宋体" w:cs="宋体"/>
          <w:sz w:val="21"/>
          <w:szCs w:val="21"/>
        </w:rPr>
        <w:t>区域范围：</w:t>
      </w:r>
      <w:r>
        <w:rPr>
          <w:rFonts w:hint="eastAsia" w:ascii="宋体" w:hAnsi="宋体" w:eastAsia="宋体" w:cs="宋体"/>
          <w:sz w:val="21"/>
          <w:szCs w:val="21"/>
          <w:lang w:eastAsia="zh-CN"/>
        </w:rPr>
        <w:t>平顶山市新华区区域内</w:t>
      </w:r>
      <w:r>
        <w:rPr>
          <w:rFonts w:hint="eastAsia" w:ascii="宋体" w:hAnsi="宋体" w:eastAsia="宋体" w:cs="宋体"/>
          <w:sz w:val="21"/>
          <w:szCs w:val="21"/>
        </w:rPr>
        <w:t>。</w:t>
      </w:r>
    </w:p>
    <w:p w14:paraId="5ACE2BF6">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1.2社会治安综合保险保险责任</w:t>
      </w:r>
    </w:p>
    <w:p w14:paraId="37EBC4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1.2.1</w:t>
      </w:r>
      <w:r>
        <w:rPr>
          <w:rFonts w:hint="eastAsia" w:ascii="宋体" w:hAnsi="宋体" w:eastAsia="宋体" w:cs="宋体"/>
          <w:b w:val="0"/>
          <w:bCs/>
          <w:sz w:val="21"/>
          <w:szCs w:val="21"/>
        </w:rPr>
        <w:t>因火灾、爆炸、雷电、台风、龙卷风、暴风、暴雨、洪水、雪灾、雹灾、冰凌、地面突然下陷，飞行物体及其他空中运行物体坠落，外来不属于被保险人所有或使用的建筑物和其他固定物体的倒塌，造成被保险标的损失的，保险人负责负责赔偿责任。</w:t>
      </w:r>
    </w:p>
    <w:p w14:paraId="6CB435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1.2.2</w:t>
      </w:r>
      <w:r>
        <w:rPr>
          <w:rFonts w:hint="eastAsia" w:ascii="宋体" w:hAnsi="宋体" w:eastAsia="宋体" w:cs="宋体"/>
          <w:b w:val="0"/>
          <w:bCs/>
          <w:sz w:val="21"/>
          <w:szCs w:val="21"/>
        </w:rPr>
        <w:t>保险期间内，</w:t>
      </w:r>
      <w:r>
        <w:rPr>
          <w:rFonts w:hint="eastAsia" w:ascii="宋体" w:hAnsi="宋体" w:eastAsia="宋体" w:cs="宋体"/>
          <w:b w:val="0"/>
          <w:bCs/>
          <w:sz w:val="21"/>
          <w:szCs w:val="21"/>
          <w:lang w:eastAsia="zh-CN"/>
        </w:rPr>
        <w:t>因发生盗抢事件导致被保险财产损失的</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辖区少儿或老人走失、贫困家庭子女升学救助的</w:t>
      </w:r>
      <w:r>
        <w:rPr>
          <w:rFonts w:hint="eastAsia" w:ascii="宋体" w:hAnsi="宋体" w:eastAsia="宋体" w:cs="宋体"/>
          <w:b w:val="0"/>
          <w:bCs/>
          <w:sz w:val="21"/>
          <w:szCs w:val="21"/>
        </w:rPr>
        <w:t>保险人按照保险合同的约定负责赔偿。</w:t>
      </w:r>
    </w:p>
    <w:p w14:paraId="7A6DDB8B">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1.3治安保险承保方案</w:t>
      </w:r>
    </w:p>
    <w:p w14:paraId="1A31D2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1.3.1保险方案：</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1660"/>
        <w:gridCol w:w="1203"/>
        <w:gridCol w:w="5109"/>
      </w:tblGrid>
      <w:tr w14:paraId="41DB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noWrap w:val="0"/>
            <w:vAlign w:val="top"/>
          </w:tcPr>
          <w:p w14:paraId="18A295C9">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险种</w:t>
            </w:r>
          </w:p>
        </w:tc>
        <w:tc>
          <w:tcPr>
            <w:tcW w:w="833" w:type="pct"/>
            <w:noWrap w:val="0"/>
            <w:vAlign w:val="top"/>
          </w:tcPr>
          <w:p w14:paraId="29C4716E">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保障内容</w:t>
            </w:r>
          </w:p>
        </w:tc>
        <w:tc>
          <w:tcPr>
            <w:tcW w:w="604" w:type="pct"/>
            <w:noWrap w:val="0"/>
            <w:vAlign w:val="top"/>
          </w:tcPr>
          <w:p w14:paraId="4485EE28">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保险金额</w:t>
            </w:r>
          </w:p>
        </w:tc>
        <w:tc>
          <w:tcPr>
            <w:tcW w:w="2564" w:type="pct"/>
            <w:noWrap w:val="0"/>
            <w:vAlign w:val="top"/>
          </w:tcPr>
          <w:p w14:paraId="4F22A55C">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保险责任</w:t>
            </w:r>
          </w:p>
        </w:tc>
      </w:tr>
      <w:tr w14:paraId="5A73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1FC5F1B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非农业户口/农业户口</w:t>
            </w:r>
          </w:p>
        </w:tc>
        <w:tc>
          <w:tcPr>
            <w:tcW w:w="833" w:type="pct"/>
            <w:noWrap w:val="0"/>
            <w:vAlign w:val="top"/>
          </w:tcPr>
          <w:p w14:paraId="15F87F7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室内财产(含:家用电器及主体娱乐用品，衣物和床上用品、家具及其他生活用品）</w:t>
            </w:r>
          </w:p>
        </w:tc>
        <w:tc>
          <w:tcPr>
            <w:tcW w:w="604" w:type="pct"/>
            <w:noWrap w:val="0"/>
            <w:vAlign w:val="top"/>
          </w:tcPr>
          <w:p w14:paraId="1B58EF33">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73E4A5F6">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本险种主要保障居民所有且有人长期居住的房屋，因自然灾害(包括暴雨、洪水、泥石流、山体滑坡;台风、暴风、龙卷风;雷击、冰雹、雪灾、崖崩;自然灾害引起的地陷或下沉)和意外事故(包括火灾、爆炸;空中运行物体坠落;外来不属于被保险人所有或使用的建筑和其他固定物体倒塌等)造成的损失，及合理的施救费用。</w:t>
            </w:r>
          </w:p>
        </w:tc>
      </w:tr>
      <w:tr w14:paraId="73BB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5B092C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2D2A1B7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附加电动车盗抢保险（两轮、三轮）</w:t>
            </w:r>
          </w:p>
        </w:tc>
        <w:tc>
          <w:tcPr>
            <w:tcW w:w="604" w:type="pct"/>
            <w:noWrap w:val="0"/>
            <w:vAlign w:val="top"/>
          </w:tcPr>
          <w:p w14:paraId="3D83C5A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1800元</w:t>
            </w:r>
          </w:p>
        </w:tc>
        <w:tc>
          <w:tcPr>
            <w:tcW w:w="2564" w:type="pct"/>
            <w:noWrap w:val="0"/>
            <w:vAlign w:val="top"/>
          </w:tcPr>
          <w:p w14:paraId="60599AB3">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遭受盗抢，经公安部门确认，有明显现场痕迹的盗窃、抢劫行为所致丢失的直接损失。赔偿标准:(1)电动车限整车丢失，电池等零部件丢失不负责赔偿;(2)3个月以内1800元;一年以上(含一年)1000元;(3)既无购车发票或收据，也无合格证或保修卡的，最高赔偿500元;</w:t>
            </w:r>
          </w:p>
        </w:tc>
      </w:tr>
      <w:tr w14:paraId="6BBB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171BCFBC">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6795345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附加盗抢保险（室内财产）</w:t>
            </w:r>
          </w:p>
        </w:tc>
        <w:tc>
          <w:tcPr>
            <w:tcW w:w="604" w:type="pct"/>
            <w:noWrap w:val="0"/>
            <w:vAlign w:val="top"/>
          </w:tcPr>
          <w:p w14:paraId="1768132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5F536DA9">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遭受外来人员盗抢或抢劫，并经公安部门确认为盗抢行为所致的直接损失。</w:t>
            </w:r>
          </w:p>
        </w:tc>
      </w:tr>
      <w:tr w14:paraId="23BB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477203C9">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保险服务</w:t>
            </w:r>
          </w:p>
        </w:tc>
        <w:tc>
          <w:tcPr>
            <w:tcW w:w="833" w:type="pct"/>
            <w:noWrap w:val="0"/>
            <w:vAlign w:val="top"/>
          </w:tcPr>
          <w:p w14:paraId="07C523C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户外抢夺抢劫、盗窃保险</w:t>
            </w:r>
          </w:p>
        </w:tc>
        <w:tc>
          <w:tcPr>
            <w:tcW w:w="604" w:type="pct"/>
            <w:noWrap w:val="0"/>
            <w:vAlign w:val="top"/>
          </w:tcPr>
          <w:p w14:paraId="496406DC">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3000元</w:t>
            </w:r>
          </w:p>
        </w:tc>
        <w:tc>
          <w:tcPr>
            <w:tcW w:w="2564" w:type="pct"/>
            <w:noWrap w:val="0"/>
            <w:vAlign w:val="top"/>
          </w:tcPr>
          <w:p w14:paraId="225D0FE1">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被保险人在户外活动时遭受第三者抢夺、抢劫或盗窃而导致随身携带的现金、手机等财产的损失。</w:t>
            </w:r>
          </w:p>
        </w:tc>
      </w:tr>
      <w:tr w14:paraId="296B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CEADEFB">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3A803CE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少儿走失保险</w:t>
            </w:r>
          </w:p>
        </w:tc>
        <w:tc>
          <w:tcPr>
            <w:tcW w:w="604" w:type="pct"/>
            <w:noWrap w:val="0"/>
            <w:vAlign w:val="top"/>
          </w:tcPr>
          <w:p w14:paraId="32EDCA94">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3D38B78D">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年龄在12周岁(含)以下的子女在国内(不含港澳台地区)走丢后自公安立案起，下落不明超过30日，用于找寻过程中发生的食宿、交通费、及在广告媒体上刊登附照片寻人广告后，对被保险人因此而实际发生的找寻费用。</w:t>
            </w:r>
          </w:p>
        </w:tc>
      </w:tr>
      <w:tr w14:paraId="1C05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3511C937">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122B4E0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老人寻找费用保险</w:t>
            </w:r>
          </w:p>
        </w:tc>
        <w:tc>
          <w:tcPr>
            <w:tcW w:w="604" w:type="pct"/>
            <w:noWrap w:val="0"/>
            <w:vAlign w:val="top"/>
          </w:tcPr>
          <w:p w14:paraId="3098540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161AFB4E">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被保险人所赡养的年龄在50周岁及以上的的老人发生丢失，用于找寻过程中发生的食宿、交通费及在广告媒体上刊登附照片寻人广告后，对被保险人因此而实际发生的找寻费用。</w:t>
            </w:r>
          </w:p>
        </w:tc>
      </w:tr>
      <w:tr w14:paraId="2675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AD9302F">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5BA34CB7">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贫困家庭子女升学补助金保险</w:t>
            </w:r>
          </w:p>
        </w:tc>
        <w:tc>
          <w:tcPr>
            <w:tcW w:w="604" w:type="pct"/>
            <w:noWrap w:val="0"/>
            <w:vAlign w:val="top"/>
          </w:tcPr>
          <w:p w14:paraId="4206529A">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3000</w:t>
            </w:r>
            <w:r>
              <w:rPr>
                <w:rFonts w:hint="eastAsia" w:ascii="宋体" w:hAnsi="宋体" w:eastAsia="宋体" w:cs="宋体"/>
                <w:b w:val="0"/>
                <w:bCs/>
                <w:color w:val="auto"/>
                <w:sz w:val="21"/>
                <w:szCs w:val="21"/>
                <w:highlight w:val="none"/>
              </w:rPr>
              <w:t>元</w:t>
            </w:r>
          </w:p>
        </w:tc>
        <w:tc>
          <w:tcPr>
            <w:tcW w:w="2564" w:type="pct"/>
            <w:noWrap w:val="0"/>
            <w:vAlign w:val="top"/>
          </w:tcPr>
          <w:p w14:paraId="7CB329D1">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 政府认定的贫困家庭中，被保险人在当年参加高考被全日制大专以上高等院校录取入学给予一次性补助金。</w:t>
            </w:r>
          </w:p>
        </w:tc>
      </w:tr>
    </w:tbl>
    <w:p w14:paraId="2F436DEA">
      <w:pPr>
        <w:pageBreakBefore w:val="0"/>
        <w:kinsoku/>
        <w:wordWrap/>
        <w:overflowPunct/>
        <w:topLinePunct w:val="0"/>
        <w:autoSpaceDE/>
        <w:autoSpaceDN/>
        <w:bidi w:val="0"/>
        <w:adjustRightInd/>
        <w:snapToGrid/>
        <w:spacing w:line="360" w:lineRule="auto"/>
        <w:ind w:firstLine="422" w:firstLineChars="200"/>
        <w:rPr>
          <w:rStyle w:val="147"/>
          <w:rFonts w:hint="eastAsia" w:ascii="宋体" w:hAnsi="宋体" w:eastAsia="宋体" w:cs="宋体"/>
          <w:b/>
          <w:bCs w:val="0"/>
          <w:sz w:val="21"/>
          <w:szCs w:val="21"/>
          <w:highlight w:val="none"/>
        </w:rPr>
      </w:pPr>
      <w:r>
        <w:rPr>
          <w:rStyle w:val="147"/>
          <w:rFonts w:hint="eastAsia" w:ascii="宋体" w:hAnsi="宋体" w:eastAsia="宋体" w:cs="宋体"/>
          <w:b/>
          <w:bCs w:val="0"/>
          <w:sz w:val="21"/>
          <w:szCs w:val="21"/>
        </w:rPr>
        <w:t>附加：按采购人要求参加全年平安建设宣传活动，印制宣传册，提供小礼品。</w:t>
      </w:r>
    </w:p>
    <w:p w14:paraId="72059DF9">
      <w:pPr>
        <w:pStyle w:val="3"/>
        <w:pageBreakBefore w:val="0"/>
        <w:kinsoku/>
        <w:wordWrap/>
        <w:overflowPunct/>
        <w:topLinePunct w:val="0"/>
        <w:autoSpaceDE/>
        <w:autoSpaceDN/>
        <w:bidi w:val="0"/>
        <w:adjustRightInd/>
        <w:snapToGrid/>
        <w:spacing w:before="0" w:after="0"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2.民生综合保险</w:t>
      </w:r>
    </w:p>
    <w:p w14:paraId="2B7B348D">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2.1保障对象：</w:t>
      </w:r>
    </w:p>
    <w:p w14:paraId="0F8934F2">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lang w:val="en-US" w:eastAsia="zh-CN"/>
        </w:rPr>
        <w:t>为</w:t>
      </w:r>
      <w:r>
        <w:rPr>
          <w:rFonts w:hint="eastAsia" w:ascii="宋体" w:hAnsi="宋体" w:eastAsia="宋体" w:cs="宋体"/>
          <w:sz w:val="21"/>
          <w:szCs w:val="21"/>
          <w:highlight w:val="none"/>
        </w:rPr>
        <w:t>具有平顶山市新华区户籍的自然人；本辖区务工人员；与本辖区居住户籍居民结婚后，但未取得本辖区户籍的人员；</w:t>
      </w:r>
      <w:r>
        <w:rPr>
          <w:rFonts w:hint="eastAsia" w:ascii="宋体" w:hAnsi="宋体" w:eastAsia="宋体" w:cs="宋体"/>
          <w:sz w:val="21"/>
          <w:szCs w:val="21"/>
          <w:highlight w:val="none"/>
          <w:lang w:val="en-US" w:eastAsia="zh-CN"/>
        </w:rPr>
        <w:t>与</w:t>
      </w:r>
      <w:r>
        <w:rPr>
          <w:rFonts w:hint="eastAsia" w:ascii="宋体" w:hAnsi="宋体" w:eastAsia="宋体" w:cs="宋体"/>
          <w:sz w:val="21"/>
          <w:szCs w:val="21"/>
          <w:highlight w:val="none"/>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户籍不在本辖区，但在承包区域范围的所有人员。</w:t>
      </w:r>
    </w:p>
    <w:p w14:paraId="6828E059">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2.2保险责任范围：</w:t>
      </w:r>
    </w:p>
    <w:p w14:paraId="1FB873AC">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为平顶山市新华区行政区域内。</w:t>
      </w:r>
    </w:p>
    <w:p w14:paraId="2E57C2A1">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2.3保险保障方案</w:t>
      </w:r>
    </w:p>
    <w:p w14:paraId="0B4A615A">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保险金额由投保人、被保险人双方约定，并在保险单中载明。甲方</w:t>
      </w:r>
      <w:r>
        <w:rPr>
          <w:rFonts w:hint="eastAsia" w:ascii="宋体" w:hAnsi="宋体" w:eastAsia="宋体" w:cs="宋体"/>
          <w:sz w:val="21"/>
          <w:szCs w:val="21"/>
          <w:lang w:val="en-US" w:eastAsia="zh-CN"/>
        </w:rPr>
        <w:t>应</w:t>
      </w:r>
      <w:r>
        <w:rPr>
          <w:rFonts w:hint="eastAsia" w:ascii="宋体" w:hAnsi="宋体" w:eastAsia="宋体" w:cs="宋体"/>
          <w:sz w:val="21"/>
          <w:szCs w:val="21"/>
        </w:rPr>
        <w:t>于</w:t>
      </w:r>
      <w:r>
        <w:rPr>
          <w:rFonts w:hint="eastAsia" w:ascii="宋体" w:hAnsi="宋体" w:eastAsia="宋体" w:cs="宋体"/>
          <w:sz w:val="21"/>
          <w:szCs w:val="21"/>
          <w:lang w:val="en-US" w:eastAsia="zh-CN"/>
        </w:rPr>
        <w:t>投保后保单生效前向乙方缴纳足额的</w:t>
      </w:r>
      <w:r>
        <w:rPr>
          <w:rFonts w:hint="eastAsia" w:ascii="宋体" w:hAnsi="宋体" w:eastAsia="宋体" w:cs="宋体"/>
          <w:sz w:val="21"/>
          <w:szCs w:val="21"/>
        </w:rPr>
        <w:t>的保险费。保险金额是保险人承担给付保险金责任的最高限额，保险金一经确定，中途不得变更。甲方在付清保险费后，乙方</w:t>
      </w:r>
      <w:r>
        <w:rPr>
          <w:rFonts w:hint="eastAsia" w:ascii="宋体" w:hAnsi="宋体" w:eastAsia="宋体" w:cs="宋体"/>
          <w:sz w:val="21"/>
          <w:szCs w:val="21"/>
          <w:lang w:val="en-US" w:eastAsia="zh-CN"/>
        </w:rPr>
        <w:t>按照保单载明时间</w:t>
      </w:r>
      <w:r>
        <w:rPr>
          <w:rFonts w:hint="eastAsia" w:ascii="宋体" w:hAnsi="宋体" w:eastAsia="宋体" w:cs="宋体"/>
          <w:sz w:val="21"/>
          <w:szCs w:val="21"/>
        </w:rPr>
        <w:t>开始履行保险责任。</w:t>
      </w:r>
    </w:p>
    <w:p w14:paraId="50AA6FDA">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保险保障方案如下：</w:t>
      </w:r>
    </w:p>
    <w:tbl>
      <w:tblPr>
        <w:tblStyle w:val="34"/>
        <w:tblW w:w="4999" w:type="pct"/>
        <w:jc w:val="center"/>
        <w:tblLayout w:type="autofit"/>
        <w:tblCellMar>
          <w:top w:w="0" w:type="dxa"/>
          <w:left w:w="0" w:type="dxa"/>
          <w:bottom w:w="0" w:type="dxa"/>
          <w:right w:w="0" w:type="dxa"/>
        </w:tblCellMar>
      </w:tblPr>
      <w:tblGrid>
        <w:gridCol w:w="2130"/>
        <w:gridCol w:w="1459"/>
        <w:gridCol w:w="6185"/>
      </w:tblGrid>
      <w:tr w14:paraId="1B323426">
        <w:tblPrEx>
          <w:tblCellMar>
            <w:top w:w="0" w:type="dxa"/>
            <w:left w:w="0" w:type="dxa"/>
            <w:bottom w:w="0" w:type="dxa"/>
            <w:right w:w="0" w:type="dxa"/>
          </w:tblCellMar>
        </w:tblPrEx>
        <w:trPr>
          <w:trHeight w:val="270" w:hRule="atLeast"/>
          <w:jc w:val="center"/>
        </w:trPr>
        <w:tc>
          <w:tcPr>
            <w:tcW w:w="6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3FF1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保险名称</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6985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保障内容</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8443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lang w:val="en-US"/>
              </w:rPr>
            </w:pPr>
            <w:r>
              <w:rPr>
                <w:rFonts w:hint="eastAsia" w:ascii="宋体" w:hAnsi="宋体" w:eastAsia="宋体" w:cs="宋体"/>
                <w:b/>
                <w:i w:val="0"/>
                <w:color w:val="000000"/>
                <w:kern w:val="0"/>
                <w:sz w:val="21"/>
                <w:szCs w:val="21"/>
                <w:highlight w:val="none"/>
                <w:u w:val="none"/>
                <w:lang w:val="en-US" w:eastAsia="zh-CN" w:bidi="ar"/>
              </w:rPr>
              <w:t>保险责任及限额</w:t>
            </w:r>
          </w:p>
        </w:tc>
      </w:tr>
      <w:tr w14:paraId="2DE56E0D">
        <w:tblPrEx>
          <w:tblCellMar>
            <w:top w:w="0" w:type="dxa"/>
            <w:left w:w="0" w:type="dxa"/>
            <w:bottom w:w="0" w:type="dxa"/>
            <w:right w:w="0" w:type="dxa"/>
          </w:tblCellMar>
        </w:tblPrEx>
        <w:trPr>
          <w:trHeight w:val="930"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0310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公共管理综合责任保险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1A17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突发公共安全事件意外伤害（被保险人为突发事件中的受害人）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ED303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发生特定突发的公共安全事件导致被保险人受伤、身故或残疾的给付医疗、身故或伤残赔偿金。包括倒房、火灾、爆炸、生产安全事故、食物中毒、突发恶性事件、高空坠物伤人、拥挤踩踏、个人暴力、恐怖活动等意外事件。医疗费赔付限额5000元/人，伤残、死亡赔付限额5万元/人。 累计赔偿限额50万元。</w:t>
            </w:r>
          </w:p>
        </w:tc>
      </w:tr>
      <w:tr w14:paraId="51AA0142">
        <w:tblPrEx>
          <w:tblCellMar>
            <w:top w:w="0" w:type="dxa"/>
            <w:left w:w="0" w:type="dxa"/>
            <w:bottom w:w="0" w:type="dxa"/>
            <w:right w:w="0" w:type="dxa"/>
          </w:tblCellMar>
        </w:tblPrEx>
        <w:trPr>
          <w:trHeight w:val="91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EE15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D22E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市政设施公众意外伤害（被保险人为突发事件中的受害人）</w:t>
            </w:r>
          </w:p>
          <w:p w14:paraId="776C2F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54705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市政非营利性质公共设施（仅包含：市政井盖、护栏、街路标牌），因为缺失、沉降、坠落、倒塌等原因造成第三方人员受伤、身故或残疾的给付医疗、身故或伤残赔偿金。医疗费赔付限额5000元/人，伤残、死亡赔付限额5万元/人。 累计赔偿限额50万元。保险人先期赔偿后有权向公共设施所有人、监管人或致害人追偿。</w:t>
            </w:r>
          </w:p>
        </w:tc>
      </w:tr>
      <w:tr w14:paraId="35BE437C">
        <w:tblPrEx>
          <w:tblCellMar>
            <w:top w:w="0" w:type="dxa"/>
            <w:left w:w="0" w:type="dxa"/>
            <w:bottom w:w="0" w:type="dxa"/>
            <w:right w:w="0" w:type="dxa"/>
          </w:tblCellMar>
        </w:tblPrEx>
        <w:trPr>
          <w:trHeight w:val="705"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638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政府救助责任保险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04AF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见义勇为意外伤害</w:t>
            </w:r>
          </w:p>
          <w:p w14:paraId="6B0DEC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3BBE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在保险期限内，在约定的行政区域范围内，经区级以上政府部门认定为见义勇为的，因见义勇为遭受伤害的，每人次医疗费、误工费限额合计</w:t>
            </w:r>
            <w:r>
              <w:rPr>
                <w:rStyle w:val="149"/>
                <w:rFonts w:hint="eastAsia" w:ascii="宋体" w:hAnsi="宋体" w:eastAsia="宋体" w:cs="宋体"/>
                <w:sz w:val="21"/>
                <w:szCs w:val="21"/>
                <w:highlight w:val="none"/>
                <w:lang w:val="en-US" w:eastAsia="zh-CN" w:bidi="ar"/>
              </w:rPr>
              <w:t>5000</w:t>
            </w:r>
            <w:r>
              <w:rPr>
                <w:rFonts w:hint="eastAsia" w:ascii="宋体" w:hAnsi="宋体" w:eastAsia="宋体" w:cs="宋体"/>
                <w:i w:val="0"/>
                <w:color w:val="000000"/>
                <w:kern w:val="0"/>
                <w:sz w:val="21"/>
                <w:szCs w:val="21"/>
                <w:highlight w:val="none"/>
                <w:u w:val="none"/>
                <w:lang w:val="en-US" w:eastAsia="zh-CN" w:bidi="ar"/>
              </w:rPr>
              <w:t>元（误工费按照</w:t>
            </w:r>
            <w:r>
              <w:rPr>
                <w:rStyle w:val="149"/>
                <w:rFonts w:hint="eastAsia" w:ascii="宋体" w:hAnsi="宋体" w:eastAsia="宋体" w:cs="宋体"/>
                <w:sz w:val="21"/>
                <w:szCs w:val="21"/>
                <w:highlight w:val="none"/>
                <w:lang w:val="en-US" w:eastAsia="zh-CN" w:bidi="ar"/>
              </w:rPr>
              <w:t>100</w:t>
            </w:r>
            <w:r>
              <w:rPr>
                <w:rFonts w:hint="eastAsia" w:ascii="宋体" w:hAnsi="宋体" w:eastAsia="宋体" w:cs="宋体"/>
                <w:i w:val="0"/>
                <w:color w:val="000000"/>
                <w:kern w:val="0"/>
                <w:sz w:val="21"/>
                <w:szCs w:val="21"/>
                <w:highlight w:val="none"/>
                <w:u w:val="none"/>
                <w:lang w:val="en-US" w:eastAsia="zh-CN" w:bidi="ar"/>
              </w:rPr>
              <w:t>元</w:t>
            </w:r>
            <w:r>
              <w:rPr>
                <w:rStyle w:val="149"/>
                <w:rFonts w:hint="eastAsia" w:ascii="宋体" w:hAnsi="宋体" w:eastAsia="宋体" w:cs="宋体"/>
                <w:sz w:val="21"/>
                <w:szCs w:val="21"/>
                <w:highlight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日计算）；伤残、死亡赔付限额5万元/人；累计赔偿限额</w:t>
            </w:r>
            <w:r>
              <w:rPr>
                <w:rStyle w:val="149"/>
                <w:rFonts w:hint="eastAsia" w:ascii="宋体" w:hAnsi="宋体" w:eastAsia="宋体" w:cs="宋体"/>
                <w:sz w:val="21"/>
                <w:szCs w:val="21"/>
                <w:highlight w:val="none"/>
                <w:lang w:val="en-US" w:eastAsia="zh-CN" w:bidi="ar"/>
              </w:rPr>
              <w:t>50</w:t>
            </w:r>
            <w:r>
              <w:rPr>
                <w:rFonts w:hint="eastAsia" w:ascii="宋体" w:hAnsi="宋体" w:eastAsia="宋体" w:cs="宋体"/>
                <w:i w:val="0"/>
                <w:color w:val="000000"/>
                <w:kern w:val="0"/>
                <w:sz w:val="21"/>
                <w:szCs w:val="21"/>
                <w:highlight w:val="none"/>
                <w:u w:val="none"/>
                <w:lang w:val="en-US" w:eastAsia="zh-CN" w:bidi="ar"/>
              </w:rPr>
              <w:t>万元。</w:t>
            </w:r>
          </w:p>
        </w:tc>
      </w:tr>
      <w:tr w14:paraId="699DEF7D">
        <w:tblPrEx>
          <w:tblCellMar>
            <w:top w:w="0" w:type="dxa"/>
            <w:left w:w="0" w:type="dxa"/>
            <w:bottom w:w="0" w:type="dxa"/>
            <w:right w:w="0" w:type="dxa"/>
          </w:tblCellMar>
        </w:tblPrEx>
        <w:trPr>
          <w:trHeight w:val="93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9833D">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7054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自然灾害意外伤害</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BCDEA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发生由于暴雨、暴风、崩塌、雷击、洪水、龙卷风（热带风暴）、海啸、泥石流、突发性滑坡、冰雹等自然灾害及在上述自然灾害中的抢险救灾行为导致的直接被保险人受伤、身故或残疾的给付医疗、身故或伤残赔偿金。医疗费赔付限额5000元/人，伤残、死亡赔付限额5万元/人。 累计赔偿限额50万元。</w:t>
            </w:r>
          </w:p>
        </w:tc>
      </w:tr>
      <w:tr w14:paraId="6B60726C">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FA85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E8D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精神障碍患者伤害救助保险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2A09B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在保险期限内，在约定的行政区域范围内，因精神障碍患者袭击造成第三方人受伤、伤残、死亡的，每人次医疗限额10000元，每人次伤残、死亡限额20万元，每次事故赔偿限额400万元，总累计赔偿限额800万元。</w:t>
            </w:r>
          </w:p>
        </w:tc>
      </w:tr>
      <w:tr w14:paraId="26AF5E00">
        <w:tblPrEx>
          <w:tblCellMar>
            <w:top w:w="0" w:type="dxa"/>
            <w:left w:w="0" w:type="dxa"/>
            <w:bottom w:w="0" w:type="dxa"/>
            <w:right w:w="0" w:type="dxa"/>
          </w:tblCellMar>
        </w:tblPrEx>
        <w:trPr>
          <w:trHeight w:val="48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1772B">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8314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未成年人溺水救助保险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A46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未成年人因溺水受伤、死亡,经政府及相关部门认定后,医疗费赔付限额5000元/人，死亡赔付限额5万元/人。 累计赔偿限额50万元。</w:t>
            </w:r>
          </w:p>
        </w:tc>
      </w:tr>
      <w:tr w14:paraId="0B2BCCD0">
        <w:tblPrEx>
          <w:tblCellMar>
            <w:top w:w="0" w:type="dxa"/>
            <w:left w:w="0" w:type="dxa"/>
            <w:bottom w:w="0" w:type="dxa"/>
            <w:right w:w="0" w:type="dxa"/>
          </w:tblCellMar>
        </w:tblPrEx>
        <w:trPr>
          <w:trHeight w:val="72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B4BCA3">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B7304">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交通事故救助保险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09279F">
            <w:pPr>
              <w:pageBreakBefore w:val="0"/>
              <w:kinsoku/>
              <w:wordWrap/>
              <w:overflowPunct/>
              <w:topLinePunct w:val="0"/>
              <w:autoSpaceDE/>
              <w:autoSpaceDN/>
              <w:bidi w:val="0"/>
              <w:adjustRightInd/>
              <w:snapToGrid/>
              <w:spacing w:line="360" w:lineRule="auto"/>
              <w:jc w:val="left"/>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发生道路交通事故致人重伤或死亡,责任人无能力赔偿或者肇事车辆逃逸的,按照《河南省道路交通事故社会救助基金管理办法》处理后,医疗费赔付限额5000元/人，死亡赔付限额5万元/人。 累计赔偿限额50万元。</w:t>
            </w:r>
          </w:p>
        </w:tc>
      </w:tr>
      <w:tr w14:paraId="0D83737B">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77A726">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787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精神障碍患者贫困家庭医疗救助保险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E8C1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在保险期限内，在约定的行政区域范围内，政府认定的贫困精神障碍患者住院治疗的医疗和护理费用，每人次限额5000元，累计赔偿限额50万元。</w:t>
            </w:r>
          </w:p>
        </w:tc>
      </w:tr>
      <w:tr w14:paraId="4503F628">
        <w:tblPrEx>
          <w:tblCellMar>
            <w:top w:w="0" w:type="dxa"/>
            <w:left w:w="0" w:type="dxa"/>
            <w:bottom w:w="0" w:type="dxa"/>
            <w:right w:w="0" w:type="dxa"/>
          </w:tblCellMar>
        </w:tblPrEx>
        <w:trPr>
          <w:trHeight w:val="46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47E46">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FFD1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公共安全事件安全处置人员意外伤害补偿保险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6461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在保险期限内，在约定的行政区域范围内，相关政府处置人员因公遭受意外伤害的，每人次医疗费、误工费限额合计</w:t>
            </w:r>
            <w:r>
              <w:rPr>
                <w:rStyle w:val="149"/>
                <w:rFonts w:hint="eastAsia" w:ascii="宋体" w:hAnsi="宋体" w:eastAsia="宋体" w:cs="宋体"/>
                <w:sz w:val="21"/>
                <w:szCs w:val="21"/>
                <w:highlight w:val="none"/>
                <w:lang w:val="en-US" w:eastAsia="zh-CN" w:bidi="ar"/>
              </w:rPr>
              <w:t>5000</w:t>
            </w:r>
            <w:r>
              <w:rPr>
                <w:rFonts w:hint="eastAsia" w:ascii="宋体" w:hAnsi="宋体" w:eastAsia="宋体" w:cs="宋体"/>
                <w:i w:val="0"/>
                <w:color w:val="000000"/>
                <w:kern w:val="0"/>
                <w:sz w:val="21"/>
                <w:szCs w:val="21"/>
                <w:highlight w:val="none"/>
                <w:u w:val="none"/>
                <w:lang w:val="en-US" w:eastAsia="zh-CN" w:bidi="ar"/>
              </w:rPr>
              <w:t>元（误工费按照</w:t>
            </w:r>
            <w:r>
              <w:rPr>
                <w:rStyle w:val="149"/>
                <w:rFonts w:hint="eastAsia" w:ascii="宋体" w:hAnsi="宋体" w:eastAsia="宋体" w:cs="宋体"/>
                <w:sz w:val="21"/>
                <w:szCs w:val="21"/>
                <w:highlight w:val="none"/>
                <w:lang w:val="en-US" w:eastAsia="zh-CN" w:bidi="ar"/>
              </w:rPr>
              <w:t>100</w:t>
            </w:r>
            <w:r>
              <w:rPr>
                <w:rFonts w:hint="eastAsia" w:ascii="宋体" w:hAnsi="宋体" w:eastAsia="宋体" w:cs="宋体"/>
                <w:i w:val="0"/>
                <w:color w:val="000000"/>
                <w:kern w:val="0"/>
                <w:sz w:val="21"/>
                <w:szCs w:val="21"/>
                <w:highlight w:val="none"/>
                <w:u w:val="none"/>
                <w:lang w:val="en-US" w:eastAsia="zh-CN" w:bidi="ar"/>
              </w:rPr>
              <w:t>元</w:t>
            </w:r>
            <w:r>
              <w:rPr>
                <w:rStyle w:val="149"/>
                <w:rFonts w:hint="eastAsia" w:ascii="宋体" w:hAnsi="宋体" w:eastAsia="宋体" w:cs="宋体"/>
                <w:sz w:val="21"/>
                <w:szCs w:val="21"/>
                <w:highlight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日计算）；伤残、死亡赔付限额5万元/人；累计赔偿限额</w:t>
            </w:r>
            <w:r>
              <w:rPr>
                <w:rStyle w:val="149"/>
                <w:rFonts w:hint="eastAsia" w:ascii="宋体" w:hAnsi="宋体" w:eastAsia="宋体" w:cs="宋体"/>
                <w:sz w:val="21"/>
                <w:szCs w:val="21"/>
                <w:highlight w:val="none"/>
                <w:lang w:val="en-US" w:eastAsia="zh-CN" w:bidi="ar"/>
              </w:rPr>
              <w:t>50</w:t>
            </w:r>
            <w:r>
              <w:rPr>
                <w:rFonts w:hint="eastAsia" w:ascii="宋体" w:hAnsi="宋体" w:eastAsia="宋体" w:cs="宋体"/>
                <w:i w:val="0"/>
                <w:color w:val="000000"/>
                <w:kern w:val="0"/>
                <w:sz w:val="21"/>
                <w:szCs w:val="21"/>
                <w:highlight w:val="none"/>
                <w:u w:val="none"/>
                <w:lang w:val="en-US" w:eastAsia="zh-CN" w:bidi="ar"/>
              </w:rPr>
              <w:t>万元。</w:t>
            </w:r>
          </w:p>
        </w:tc>
      </w:tr>
      <w:tr w14:paraId="2F43F69C">
        <w:tblPrEx>
          <w:tblCellMar>
            <w:top w:w="0" w:type="dxa"/>
            <w:left w:w="0" w:type="dxa"/>
            <w:bottom w:w="0" w:type="dxa"/>
            <w:right w:w="0" w:type="dxa"/>
          </w:tblCellMar>
        </w:tblPrEx>
        <w:trPr>
          <w:trHeight w:val="465" w:hRule="atLeast"/>
          <w:jc w:val="center"/>
        </w:trPr>
        <w:tc>
          <w:tcPr>
            <w:tcW w:w="61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488A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人身意</w:t>
            </w:r>
          </w:p>
          <w:p w14:paraId="24A18B9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077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巡防队员及专兼职网格员</w:t>
            </w:r>
          </w:p>
          <w:p w14:paraId="72B2D5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意外伤害保险（24小时）</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41B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意外伤害5万/人，意外医疗1万/人，意外住院津贴18000/人</w:t>
            </w:r>
            <w:r>
              <w:rPr>
                <w:rFonts w:hint="eastAsia" w:ascii="宋体" w:hAnsi="宋体" w:cs="宋体"/>
                <w:i w:val="0"/>
                <w:color w:val="auto"/>
                <w:kern w:val="0"/>
                <w:sz w:val="21"/>
                <w:szCs w:val="21"/>
                <w:highlight w:val="none"/>
                <w:u w:val="none"/>
                <w:lang w:val="en-US" w:eastAsia="zh-CN" w:bidi="ar"/>
              </w:rPr>
              <w:t>。</w:t>
            </w:r>
          </w:p>
          <w:p w14:paraId="6AA095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w:t>
            </w:r>
            <w:r>
              <w:rPr>
                <w:rFonts w:hint="eastAsia" w:ascii="宋体" w:hAnsi="宋体" w:eastAsia="宋体" w:cs="宋体"/>
                <w:i w:val="0"/>
                <w:color w:val="auto"/>
                <w:kern w:val="0"/>
                <w:sz w:val="21"/>
                <w:szCs w:val="21"/>
                <w:highlight w:val="none"/>
                <w:u w:val="none"/>
                <w:lang w:val="en-US" w:eastAsia="zh-CN" w:bidi="ar"/>
              </w:rPr>
              <w:t>被保险人自遭受该意外之日起一百八十日内以该意外为直接、完全原因而导致《人身保险伤残评定标准及代码》（JR/T 0083—2013，保监发[2014]6号）中所列伤残的，保险人按该处残疾的伤残等级对应的给付比例和该被保险人的意外伤害保险金额的乘积给付意外伤残保险金。伤残等级对应的保险金给付比例分为十档，伤残程度第一级对应的保险金给付比例为100%，伤残程度第十级对应的保险金给付比例为10%，每级相差10%。</w:t>
            </w:r>
          </w:p>
          <w:p w14:paraId="348B18C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2、被保险人每次发生的符合本保单所约定的合理医疗费用，保险人在每次扣除免赔额100元后，按80%的比例进行赔付；</w:t>
            </w:r>
          </w:p>
          <w:p w14:paraId="18357A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3、附加团体意外住院津贴：被保险人因遭受意外伤害并在定点医疗机构接受住院治疗的，保险公司按照"(每次实际住院日数-免赔日数3天)x一般住院日津贴金额100元/日”计算并给付一般住院津贴保险金，累计给付以180天为限。</w:t>
            </w:r>
          </w:p>
        </w:tc>
      </w:tr>
    </w:tbl>
    <w:p w14:paraId="67945755">
      <w:pPr>
        <w:pageBreakBefore w:val="0"/>
        <w:kinsoku/>
        <w:wordWrap/>
        <w:overflowPunct/>
        <w:topLinePunct w:val="0"/>
        <w:autoSpaceDE/>
        <w:autoSpaceDN/>
        <w:bidi w:val="0"/>
        <w:adjustRightInd/>
        <w:snapToGrid/>
        <w:spacing w:before="0" w:after="0" w:line="360" w:lineRule="auto"/>
        <w:ind w:firstLine="211" w:firstLineChars="100"/>
        <w:outlineLvl w:val="9"/>
        <w:rPr>
          <w:rFonts w:hint="eastAsia" w:ascii="宋体" w:hAnsi="宋体" w:eastAsia="宋体" w:cs="宋体"/>
          <w:b/>
          <w:bCs w:val="0"/>
          <w:sz w:val="21"/>
          <w:szCs w:val="21"/>
          <w:lang w:val="en-US" w:eastAsia="zh-CN"/>
        </w:rPr>
      </w:pPr>
      <w:r>
        <w:rPr>
          <w:rStyle w:val="147"/>
          <w:rFonts w:hint="eastAsia" w:ascii="宋体" w:hAnsi="宋体" w:eastAsia="宋体" w:cs="宋体"/>
          <w:b/>
          <w:bCs w:val="0"/>
          <w:sz w:val="21"/>
          <w:szCs w:val="21"/>
        </w:rPr>
        <w:t>附加：按采购人要求参加全年平安建设宣传活动，印制宣传册，提供小礼品。</w:t>
      </w:r>
    </w:p>
    <w:p w14:paraId="39FA3954">
      <w:pPr>
        <w:ind w:firstLine="617" w:firstLineChars="192"/>
        <w:rPr>
          <w:rFonts w:hint="eastAsia" w:ascii="宋体" w:hAnsi="宋体" w:eastAsia="宋体" w:cs="宋体"/>
          <w:b/>
          <w:color w:val="auto"/>
          <w:sz w:val="32"/>
        </w:rPr>
      </w:pPr>
      <w:r>
        <w:rPr>
          <w:rFonts w:hint="eastAsia" w:ascii="宋体" w:hAnsi="宋体" w:eastAsia="宋体" w:cs="宋体"/>
          <w:b/>
          <w:color w:val="auto"/>
          <w:sz w:val="32"/>
        </w:rPr>
        <w:br w:type="page"/>
      </w:r>
      <w:bookmarkEnd w:id="426"/>
      <w:bookmarkEnd w:id="427"/>
      <w:bookmarkStart w:id="428" w:name="_Toc18128"/>
      <w:bookmarkStart w:id="429" w:name="_Toc45177866"/>
    </w:p>
    <w:p w14:paraId="7E5D3106">
      <w:pPr>
        <w:jc w:val="center"/>
        <w:outlineLvl w:val="0"/>
        <w:rPr>
          <w:rFonts w:hint="eastAsia" w:ascii="宋体" w:hAnsi="宋体" w:eastAsia="宋体" w:cs="宋体"/>
          <w:b/>
          <w:sz w:val="32"/>
        </w:rPr>
      </w:pPr>
      <w:bookmarkStart w:id="430" w:name="_Toc9976"/>
      <w:r>
        <w:rPr>
          <w:rFonts w:hint="eastAsia" w:ascii="宋体" w:hAnsi="宋体" w:eastAsia="宋体" w:cs="宋体"/>
          <w:b/>
          <w:sz w:val="32"/>
        </w:rPr>
        <w:t>第六章  响应文件格式</w:t>
      </w:r>
      <w:bookmarkEnd w:id="428"/>
      <w:bookmarkEnd w:id="429"/>
      <w:bookmarkEnd w:id="430"/>
    </w:p>
    <w:p w14:paraId="7954E7CA">
      <w:pPr>
        <w:jc w:val="center"/>
        <w:rPr>
          <w:rFonts w:hint="eastAsia" w:ascii="宋体" w:hAnsi="宋体" w:eastAsia="宋体" w:cs="宋体"/>
          <w:sz w:val="32"/>
          <w:szCs w:val="32"/>
        </w:rPr>
      </w:pPr>
    </w:p>
    <w:p w14:paraId="14DB8CF0">
      <w:pPr>
        <w:jc w:val="center"/>
        <w:rPr>
          <w:rFonts w:hint="eastAsia" w:ascii="宋体" w:hAnsi="宋体" w:eastAsia="宋体" w:cs="宋体"/>
          <w:sz w:val="32"/>
          <w:szCs w:val="32"/>
        </w:rPr>
      </w:pPr>
    </w:p>
    <w:p w14:paraId="60704CC1">
      <w:pPr>
        <w:jc w:val="center"/>
        <w:rPr>
          <w:rFonts w:hint="eastAsia" w:ascii="宋体" w:hAnsi="宋体" w:eastAsia="宋体" w:cs="宋体"/>
          <w:sz w:val="28"/>
          <w:szCs w:val="28"/>
        </w:rPr>
      </w:pPr>
      <w:r>
        <w:rPr>
          <w:rFonts w:hint="eastAsia" w:ascii="宋体" w:hAnsi="宋体" w:eastAsia="宋体" w:cs="宋体"/>
          <w:sz w:val="32"/>
          <w:szCs w:val="32"/>
          <w:u w:val="single"/>
        </w:rPr>
        <w:t xml:space="preserve">                           </w:t>
      </w:r>
      <w:r>
        <w:rPr>
          <w:rFonts w:hint="eastAsia" w:ascii="宋体" w:hAnsi="宋体" w:eastAsia="宋体" w:cs="宋体"/>
          <w:sz w:val="28"/>
          <w:szCs w:val="28"/>
        </w:rPr>
        <w:t>（项目名称</w:t>
      </w:r>
      <w:r>
        <w:rPr>
          <w:rFonts w:hint="eastAsia" w:ascii="宋体" w:hAnsi="宋体" w:eastAsia="宋体" w:cs="宋体"/>
          <w:sz w:val="28"/>
          <w:szCs w:val="28"/>
          <w:lang w:val="en-US" w:eastAsia="zh-CN"/>
        </w:rPr>
        <w:t>及标段</w:t>
      </w:r>
      <w:r>
        <w:rPr>
          <w:rFonts w:hint="eastAsia" w:ascii="宋体" w:hAnsi="宋体" w:eastAsia="宋体" w:cs="宋体"/>
          <w:sz w:val="28"/>
          <w:szCs w:val="28"/>
        </w:rPr>
        <w:t>）</w:t>
      </w:r>
    </w:p>
    <w:p w14:paraId="00E63D05">
      <w:pPr>
        <w:spacing w:before="326" w:beforeLines="100"/>
        <w:jc w:val="center"/>
        <w:rPr>
          <w:rFonts w:hint="eastAsia" w:ascii="宋体" w:hAnsi="宋体" w:eastAsia="宋体" w:cs="宋体"/>
          <w:sz w:val="44"/>
          <w:szCs w:val="44"/>
        </w:rPr>
      </w:pPr>
      <w:r>
        <w:rPr>
          <w:rFonts w:hint="eastAsia" w:ascii="宋体" w:hAnsi="宋体" w:eastAsia="宋体" w:cs="宋体"/>
          <w:sz w:val="44"/>
          <w:szCs w:val="44"/>
        </w:rPr>
        <w:t>磋 商 响 应 文 件</w:t>
      </w:r>
    </w:p>
    <w:p w14:paraId="3307576D">
      <w:pPr>
        <w:pStyle w:val="32"/>
        <w:ind w:firstLine="210"/>
        <w:rPr>
          <w:rFonts w:hint="eastAsia" w:ascii="宋体" w:hAnsi="宋体" w:eastAsia="宋体" w:cs="宋体"/>
        </w:rPr>
      </w:pPr>
    </w:p>
    <w:p w14:paraId="6F1C87EF">
      <w:pPr>
        <w:jc w:val="center"/>
        <w:rPr>
          <w:rFonts w:hint="eastAsia" w:ascii="宋体" w:hAnsi="宋体" w:eastAsia="宋体" w:cs="宋体"/>
          <w:sz w:val="32"/>
          <w:szCs w:val="32"/>
        </w:rPr>
      </w:pPr>
    </w:p>
    <w:p w14:paraId="58F08F4B">
      <w:pPr>
        <w:rPr>
          <w:rFonts w:hint="eastAsia" w:ascii="宋体" w:hAnsi="宋体" w:eastAsia="宋体" w:cs="宋体"/>
          <w:sz w:val="32"/>
          <w:szCs w:val="32"/>
        </w:rPr>
      </w:pPr>
    </w:p>
    <w:p w14:paraId="548E4C76">
      <w:pPr>
        <w:jc w:val="center"/>
        <w:rPr>
          <w:rFonts w:hint="eastAsia" w:ascii="宋体" w:hAnsi="宋体" w:eastAsia="宋体" w:cs="宋体"/>
          <w:sz w:val="32"/>
          <w:szCs w:val="32"/>
        </w:rPr>
      </w:pPr>
    </w:p>
    <w:p w14:paraId="70A22E29">
      <w:pPr>
        <w:jc w:val="center"/>
        <w:rPr>
          <w:rFonts w:hint="eastAsia" w:ascii="宋体" w:hAnsi="宋体" w:eastAsia="宋体" w:cs="宋体"/>
          <w:sz w:val="32"/>
          <w:szCs w:val="32"/>
        </w:rPr>
      </w:pPr>
    </w:p>
    <w:p w14:paraId="2816A323">
      <w:pPr>
        <w:jc w:val="center"/>
        <w:rPr>
          <w:rFonts w:hint="eastAsia" w:ascii="宋体" w:hAnsi="宋体" w:eastAsia="宋体" w:cs="宋体"/>
          <w:sz w:val="32"/>
          <w:szCs w:val="32"/>
        </w:rPr>
      </w:pPr>
    </w:p>
    <w:p w14:paraId="421DA749">
      <w:pPr>
        <w:jc w:val="center"/>
        <w:rPr>
          <w:rFonts w:hint="eastAsia" w:ascii="宋体" w:hAnsi="宋体" w:eastAsia="宋体" w:cs="宋体"/>
          <w:sz w:val="32"/>
          <w:szCs w:val="32"/>
        </w:rPr>
      </w:pPr>
    </w:p>
    <w:p w14:paraId="5E5E1AFA">
      <w:pPr>
        <w:jc w:val="center"/>
        <w:rPr>
          <w:rFonts w:hint="eastAsia" w:ascii="宋体" w:hAnsi="宋体" w:eastAsia="宋体" w:cs="宋体"/>
          <w:sz w:val="32"/>
          <w:szCs w:val="32"/>
        </w:rPr>
      </w:pPr>
    </w:p>
    <w:p w14:paraId="0D41A06E">
      <w:pPr>
        <w:jc w:val="center"/>
        <w:rPr>
          <w:rFonts w:hint="eastAsia" w:ascii="宋体" w:hAnsi="宋体" w:eastAsia="宋体" w:cs="宋体"/>
          <w:sz w:val="32"/>
          <w:szCs w:val="32"/>
        </w:rPr>
      </w:pPr>
    </w:p>
    <w:p w14:paraId="37C8973A">
      <w:pPr>
        <w:jc w:val="center"/>
        <w:rPr>
          <w:rFonts w:hint="eastAsia" w:ascii="宋体" w:hAnsi="宋体" w:eastAsia="宋体" w:cs="宋体"/>
          <w:sz w:val="32"/>
          <w:szCs w:val="32"/>
        </w:rPr>
      </w:pPr>
    </w:p>
    <w:p w14:paraId="35518F56">
      <w:pPr>
        <w:rPr>
          <w:rFonts w:hint="eastAsia" w:ascii="宋体" w:hAnsi="宋体" w:eastAsia="宋体" w:cs="宋体"/>
          <w:sz w:val="32"/>
          <w:szCs w:val="32"/>
        </w:rPr>
      </w:pPr>
    </w:p>
    <w:p w14:paraId="3D774CFD">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1AADC065">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法定代表人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负责人</w:t>
      </w:r>
      <w:r>
        <w:rPr>
          <w:rFonts w:hint="eastAsia" w:ascii="宋体" w:hAnsi="宋体" w:eastAsia="宋体" w:cs="宋体"/>
          <w:sz w:val="28"/>
          <w:szCs w:val="28"/>
          <w:lang w:eastAsia="zh-CN"/>
        </w:rPr>
        <w:t>）</w:t>
      </w:r>
      <w:r>
        <w:rPr>
          <w:rFonts w:hint="eastAsia" w:ascii="宋体" w:hAnsi="宋体" w:eastAsia="宋体" w:cs="宋体"/>
          <w:sz w:val="28"/>
          <w:szCs w:val="28"/>
        </w:rPr>
        <w:t>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2B1FDCB4">
      <w:pPr>
        <w:jc w:val="center"/>
        <w:rPr>
          <w:rFonts w:hint="eastAsia" w:ascii="宋体" w:hAnsi="宋体" w:eastAsia="宋体" w:cs="宋体"/>
          <w:sz w:val="28"/>
          <w:szCs w:val="28"/>
        </w:rPr>
      </w:pPr>
    </w:p>
    <w:p w14:paraId="4DA94577">
      <w:pPr>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0BD67344">
      <w:pPr>
        <w:spacing w:before="326" w:beforeLines="100" w:after="326" w:afterLines="100"/>
        <w:jc w:val="center"/>
        <w:rPr>
          <w:rFonts w:hint="eastAsia" w:ascii="宋体" w:hAnsi="宋体" w:eastAsia="宋体" w:cs="宋体"/>
          <w:sz w:val="36"/>
          <w:szCs w:val="36"/>
        </w:rPr>
      </w:pPr>
      <w:r>
        <w:rPr>
          <w:rFonts w:hint="eastAsia" w:ascii="宋体" w:hAnsi="宋体" w:eastAsia="宋体" w:cs="宋体"/>
          <w:sz w:val="28"/>
          <w:szCs w:val="28"/>
        </w:rPr>
        <w:br w:type="page"/>
      </w:r>
      <w:r>
        <w:rPr>
          <w:rFonts w:hint="eastAsia" w:ascii="宋体" w:hAnsi="宋体" w:eastAsia="宋体" w:cs="宋体"/>
          <w:sz w:val="36"/>
          <w:szCs w:val="36"/>
        </w:rPr>
        <w:t>目    录</w:t>
      </w:r>
    </w:p>
    <w:p w14:paraId="7BEFC185">
      <w:pPr>
        <w:spacing w:line="600" w:lineRule="exact"/>
        <w:jc w:val="center"/>
        <w:rPr>
          <w:rFonts w:hint="eastAsia" w:ascii="宋体" w:hAnsi="宋体" w:eastAsia="宋体" w:cs="宋体"/>
          <w:szCs w:val="21"/>
        </w:rPr>
      </w:pPr>
      <w:bookmarkStart w:id="431" w:name="_Toc356205633"/>
      <w:bookmarkStart w:id="432" w:name="_Toc299523092"/>
      <w:r>
        <w:rPr>
          <w:rFonts w:hint="eastAsia" w:ascii="宋体" w:hAnsi="宋体" w:eastAsia="宋体" w:cs="宋体"/>
          <w:szCs w:val="21"/>
        </w:rPr>
        <w:t>（根据响应文件内容自行编制）</w:t>
      </w:r>
    </w:p>
    <w:p w14:paraId="4AF95906">
      <w:pPr>
        <w:spacing w:line="600" w:lineRule="exact"/>
        <w:rPr>
          <w:rFonts w:hint="eastAsia" w:ascii="宋体" w:hAnsi="宋体" w:eastAsia="宋体" w:cs="宋体"/>
          <w:szCs w:val="21"/>
        </w:rPr>
      </w:pPr>
    </w:p>
    <w:p w14:paraId="66ABD83F">
      <w:pPr>
        <w:spacing w:line="600" w:lineRule="exact"/>
        <w:rPr>
          <w:rFonts w:hint="eastAsia" w:ascii="宋体" w:hAnsi="宋体" w:eastAsia="宋体" w:cs="宋体"/>
          <w:szCs w:val="21"/>
        </w:rPr>
      </w:pPr>
    </w:p>
    <w:p w14:paraId="1212A5DF">
      <w:pPr>
        <w:spacing w:line="600" w:lineRule="exact"/>
        <w:rPr>
          <w:rFonts w:hint="eastAsia" w:ascii="宋体" w:hAnsi="宋体" w:eastAsia="宋体" w:cs="宋体"/>
          <w:szCs w:val="21"/>
        </w:rPr>
      </w:pPr>
    </w:p>
    <w:p w14:paraId="5FD90ED3">
      <w:pPr>
        <w:spacing w:line="600" w:lineRule="exact"/>
        <w:rPr>
          <w:rFonts w:hint="eastAsia" w:ascii="宋体" w:hAnsi="宋体" w:eastAsia="宋体" w:cs="宋体"/>
          <w:szCs w:val="21"/>
        </w:rPr>
      </w:pPr>
    </w:p>
    <w:p w14:paraId="67725BC5">
      <w:pPr>
        <w:spacing w:line="600" w:lineRule="exact"/>
        <w:rPr>
          <w:rFonts w:hint="eastAsia" w:ascii="宋体" w:hAnsi="宋体" w:eastAsia="宋体" w:cs="宋体"/>
          <w:szCs w:val="21"/>
        </w:rPr>
      </w:pPr>
    </w:p>
    <w:p w14:paraId="60635AC2">
      <w:pPr>
        <w:spacing w:line="600" w:lineRule="exact"/>
        <w:rPr>
          <w:rFonts w:hint="eastAsia" w:ascii="宋体" w:hAnsi="宋体" w:eastAsia="宋体" w:cs="宋体"/>
          <w:szCs w:val="21"/>
        </w:rPr>
      </w:pPr>
    </w:p>
    <w:p w14:paraId="76F47386">
      <w:pPr>
        <w:spacing w:line="600" w:lineRule="exact"/>
        <w:rPr>
          <w:rFonts w:hint="eastAsia" w:ascii="宋体" w:hAnsi="宋体" w:eastAsia="宋体" w:cs="宋体"/>
          <w:szCs w:val="21"/>
        </w:rPr>
      </w:pPr>
    </w:p>
    <w:p w14:paraId="175D35CF">
      <w:pPr>
        <w:spacing w:line="600" w:lineRule="exact"/>
        <w:rPr>
          <w:rFonts w:hint="eastAsia" w:ascii="宋体" w:hAnsi="宋体" w:eastAsia="宋体" w:cs="宋体"/>
          <w:szCs w:val="21"/>
        </w:rPr>
      </w:pPr>
    </w:p>
    <w:p w14:paraId="5BA98261">
      <w:pPr>
        <w:pStyle w:val="33"/>
        <w:ind w:left="480"/>
        <w:rPr>
          <w:rFonts w:hint="eastAsia" w:ascii="宋体" w:hAnsi="宋体" w:eastAsia="宋体" w:cs="宋体"/>
          <w:szCs w:val="21"/>
        </w:rPr>
      </w:pPr>
    </w:p>
    <w:p w14:paraId="3202EB1F">
      <w:pPr>
        <w:pStyle w:val="33"/>
        <w:ind w:left="480"/>
        <w:rPr>
          <w:rFonts w:hint="eastAsia" w:ascii="宋体" w:hAnsi="宋体" w:eastAsia="宋体" w:cs="宋体"/>
          <w:szCs w:val="21"/>
        </w:rPr>
      </w:pPr>
    </w:p>
    <w:p w14:paraId="52ED6206">
      <w:pPr>
        <w:pStyle w:val="33"/>
        <w:ind w:left="480"/>
        <w:rPr>
          <w:rFonts w:hint="eastAsia" w:ascii="宋体" w:hAnsi="宋体" w:eastAsia="宋体" w:cs="宋体"/>
          <w:szCs w:val="21"/>
        </w:rPr>
      </w:pPr>
    </w:p>
    <w:p w14:paraId="2136198B">
      <w:pPr>
        <w:pStyle w:val="33"/>
        <w:ind w:left="480"/>
        <w:rPr>
          <w:rFonts w:hint="eastAsia" w:ascii="宋体" w:hAnsi="宋体" w:eastAsia="宋体" w:cs="宋体"/>
          <w:szCs w:val="21"/>
        </w:rPr>
      </w:pPr>
    </w:p>
    <w:p w14:paraId="42D41986">
      <w:pPr>
        <w:pStyle w:val="33"/>
        <w:ind w:left="480"/>
        <w:rPr>
          <w:rFonts w:hint="eastAsia" w:ascii="宋体" w:hAnsi="宋体" w:eastAsia="宋体" w:cs="宋体"/>
          <w:szCs w:val="21"/>
        </w:rPr>
      </w:pPr>
    </w:p>
    <w:p w14:paraId="7F668607">
      <w:pPr>
        <w:pStyle w:val="33"/>
        <w:ind w:left="480"/>
        <w:rPr>
          <w:rFonts w:hint="eastAsia" w:ascii="宋体" w:hAnsi="宋体" w:eastAsia="宋体" w:cs="宋体"/>
          <w:szCs w:val="21"/>
        </w:rPr>
      </w:pPr>
    </w:p>
    <w:p w14:paraId="4416692A">
      <w:pPr>
        <w:pStyle w:val="33"/>
        <w:ind w:left="480"/>
        <w:rPr>
          <w:rFonts w:hint="eastAsia" w:ascii="宋体" w:hAnsi="宋体" w:eastAsia="宋体" w:cs="宋体"/>
          <w:szCs w:val="21"/>
        </w:rPr>
      </w:pPr>
    </w:p>
    <w:p w14:paraId="0FC5890F">
      <w:pPr>
        <w:pStyle w:val="33"/>
        <w:ind w:left="480"/>
        <w:rPr>
          <w:rFonts w:hint="eastAsia" w:ascii="宋体" w:hAnsi="宋体" w:eastAsia="宋体" w:cs="宋体"/>
          <w:szCs w:val="21"/>
        </w:rPr>
      </w:pPr>
    </w:p>
    <w:p w14:paraId="146BB6E7">
      <w:pPr>
        <w:pStyle w:val="33"/>
        <w:ind w:left="480"/>
        <w:rPr>
          <w:rFonts w:hint="eastAsia" w:ascii="宋体" w:hAnsi="宋体" w:eastAsia="宋体" w:cs="宋体"/>
          <w:szCs w:val="21"/>
        </w:rPr>
      </w:pPr>
    </w:p>
    <w:p w14:paraId="7FFE29A5">
      <w:pPr>
        <w:pStyle w:val="33"/>
        <w:ind w:left="480"/>
        <w:rPr>
          <w:rFonts w:hint="eastAsia" w:ascii="宋体" w:hAnsi="宋体" w:eastAsia="宋体" w:cs="宋体"/>
          <w:szCs w:val="21"/>
        </w:rPr>
      </w:pPr>
    </w:p>
    <w:p w14:paraId="00737A25">
      <w:pPr>
        <w:pStyle w:val="33"/>
        <w:ind w:left="480"/>
        <w:rPr>
          <w:rFonts w:hint="eastAsia" w:ascii="宋体" w:hAnsi="宋体" w:eastAsia="宋体" w:cs="宋体"/>
          <w:szCs w:val="21"/>
        </w:rPr>
      </w:pPr>
    </w:p>
    <w:p w14:paraId="21AB1CD9">
      <w:pPr>
        <w:pStyle w:val="33"/>
        <w:ind w:left="480"/>
        <w:rPr>
          <w:rFonts w:hint="eastAsia" w:ascii="宋体" w:hAnsi="宋体" w:eastAsia="宋体" w:cs="宋体"/>
          <w:szCs w:val="21"/>
        </w:rPr>
      </w:pPr>
    </w:p>
    <w:p w14:paraId="27252A0F">
      <w:pPr>
        <w:spacing w:line="600" w:lineRule="exact"/>
        <w:rPr>
          <w:rFonts w:hint="eastAsia" w:ascii="宋体" w:hAnsi="宋体" w:eastAsia="宋体" w:cs="宋体"/>
          <w:szCs w:val="21"/>
        </w:rPr>
      </w:pPr>
    </w:p>
    <w:p w14:paraId="490D311F">
      <w:pPr>
        <w:spacing w:line="600" w:lineRule="exact"/>
        <w:rPr>
          <w:rFonts w:hint="eastAsia" w:ascii="宋体" w:hAnsi="宋体" w:eastAsia="宋体" w:cs="宋体"/>
          <w:szCs w:val="21"/>
        </w:rPr>
      </w:pPr>
    </w:p>
    <w:bookmarkEnd w:id="431"/>
    <w:bookmarkEnd w:id="432"/>
    <w:p w14:paraId="51EDD3F3">
      <w:pPr>
        <w:spacing w:before="326" w:beforeLines="100" w:after="163" w:afterLines="50"/>
        <w:jc w:val="center"/>
        <w:outlineLvl w:val="1"/>
        <w:rPr>
          <w:rFonts w:hint="eastAsia" w:ascii="宋体" w:hAnsi="宋体" w:eastAsia="宋体" w:cs="宋体"/>
          <w:b/>
          <w:bCs w:val="0"/>
          <w:sz w:val="28"/>
          <w:szCs w:val="28"/>
          <w:lang w:eastAsia="zh-CN"/>
        </w:rPr>
      </w:pPr>
      <w:bookmarkStart w:id="433" w:name="_Toc45177867"/>
      <w:bookmarkStart w:id="434" w:name="_Toc30706"/>
      <w:bookmarkStart w:id="435" w:name="_Toc740"/>
      <w:r>
        <w:rPr>
          <w:rFonts w:hint="eastAsia" w:ascii="宋体" w:hAnsi="宋体" w:eastAsia="宋体" w:cs="宋体"/>
          <w:b/>
          <w:bCs w:val="0"/>
          <w:sz w:val="28"/>
          <w:szCs w:val="28"/>
        </w:rPr>
        <w:t>一、</w:t>
      </w:r>
      <w:bookmarkEnd w:id="433"/>
      <w:bookmarkEnd w:id="434"/>
      <w:r>
        <w:rPr>
          <w:rFonts w:hint="eastAsia" w:ascii="宋体" w:hAnsi="宋体" w:eastAsia="宋体" w:cs="宋体"/>
          <w:b/>
          <w:bCs w:val="0"/>
          <w:sz w:val="28"/>
          <w:szCs w:val="28"/>
        </w:rPr>
        <w:t>磋商</w:t>
      </w:r>
      <w:bookmarkEnd w:id="435"/>
      <w:r>
        <w:rPr>
          <w:rFonts w:hint="eastAsia" w:ascii="宋体" w:hAnsi="宋体" w:eastAsia="宋体" w:cs="宋体"/>
          <w:b/>
          <w:bCs w:val="0"/>
          <w:sz w:val="28"/>
          <w:szCs w:val="28"/>
          <w:lang w:val="en-US" w:eastAsia="zh-CN"/>
        </w:rPr>
        <w:t>函</w:t>
      </w:r>
    </w:p>
    <w:p w14:paraId="350BB6D9">
      <w:pPr>
        <w:spacing w:line="360" w:lineRule="auto"/>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（采购人名称）：</w:t>
      </w:r>
    </w:p>
    <w:p w14:paraId="556AC65B">
      <w:pPr>
        <w:spacing w:line="360" w:lineRule="auto"/>
        <w:rPr>
          <w:rFonts w:hint="eastAsia" w:ascii="宋体" w:hAnsi="宋体" w:eastAsia="宋体" w:cs="宋体"/>
          <w:sz w:val="21"/>
          <w:szCs w:val="21"/>
        </w:rPr>
      </w:pPr>
    </w:p>
    <w:p w14:paraId="1513BA19">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我方已仔细研究了</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w:t>
      </w:r>
      <w:r>
        <w:rPr>
          <w:rFonts w:hint="eastAsia" w:ascii="宋体" w:hAnsi="宋体" w:eastAsia="宋体" w:cs="宋体"/>
          <w:sz w:val="21"/>
          <w:szCs w:val="21"/>
          <w:lang w:val="en-US" w:eastAsia="zh-CN"/>
        </w:rPr>
        <w:t>及标段</w:t>
      </w:r>
      <w:r>
        <w:rPr>
          <w:rFonts w:hint="eastAsia" w:ascii="宋体" w:hAnsi="宋体" w:eastAsia="宋体" w:cs="宋体"/>
          <w:sz w:val="21"/>
          <w:szCs w:val="21"/>
        </w:rPr>
        <w:t>）的</w:t>
      </w:r>
      <w:r>
        <w:rPr>
          <w:rFonts w:hint="eastAsia" w:ascii="宋体" w:hAnsi="宋体" w:eastAsia="宋体" w:cs="宋体"/>
          <w:bCs/>
          <w:sz w:val="21"/>
          <w:szCs w:val="21"/>
        </w:rPr>
        <w:t>竞争性磋商文件</w:t>
      </w:r>
      <w:r>
        <w:rPr>
          <w:rFonts w:hint="eastAsia" w:ascii="宋体" w:hAnsi="宋体" w:eastAsia="宋体" w:cs="宋体"/>
          <w:sz w:val="21"/>
          <w:szCs w:val="21"/>
        </w:rPr>
        <w:t>的全部内容，愿意以人民币（大写）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（小写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lang w:val="en-US" w:eastAsia="zh-CN"/>
        </w:rPr>
        <w:t>作为</w:t>
      </w:r>
      <w:r>
        <w:rPr>
          <w:rFonts w:hint="eastAsia" w:ascii="宋体" w:hAnsi="宋体" w:eastAsia="宋体" w:cs="宋体"/>
          <w:sz w:val="21"/>
          <w:szCs w:val="21"/>
        </w:rPr>
        <w:t>首次磋商报价，最终以磋商小组与我方代表磋商确定的成交价实施和完成本项目的全部内容。</w:t>
      </w:r>
    </w:p>
    <w:p w14:paraId="5BF53A95">
      <w:pPr>
        <w:pStyle w:val="33"/>
        <w:spacing w:after="0" w:line="360" w:lineRule="auto"/>
        <w:ind w:left="0" w:leftChars="0"/>
        <w:rPr>
          <w:rFonts w:hint="eastAsia" w:ascii="宋体" w:hAnsi="宋体" w:eastAsia="宋体" w:cs="宋体"/>
        </w:rPr>
      </w:pPr>
      <w:r>
        <w:rPr>
          <w:rFonts w:hint="eastAsia" w:ascii="宋体" w:hAnsi="宋体" w:cs="宋体"/>
          <w:lang w:val="en-US" w:eastAsia="zh-CN"/>
        </w:rPr>
        <w:t>2.</w:t>
      </w:r>
      <w:r>
        <w:rPr>
          <w:rFonts w:hint="eastAsia" w:ascii="宋体" w:hAnsi="宋体" w:eastAsia="宋体" w:cs="宋体"/>
        </w:rPr>
        <w:t>我方承诺在磋商有效期内不修改、撤销竞争性磋商响应文件。</w:t>
      </w:r>
    </w:p>
    <w:p w14:paraId="066E9B6A">
      <w:pPr>
        <w:pStyle w:val="33"/>
        <w:spacing w:after="0" w:line="360" w:lineRule="auto"/>
        <w:ind w:left="0" w:leftChars="0"/>
        <w:rPr>
          <w:rFonts w:hint="eastAsia" w:ascii="宋体" w:hAnsi="宋体" w:eastAsia="宋体" w:cs="宋体"/>
        </w:rPr>
      </w:pPr>
      <w:r>
        <w:rPr>
          <w:rFonts w:hint="eastAsia" w:ascii="宋体" w:hAnsi="宋体" w:cs="宋体"/>
          <w:lang w:val="en-US" w:eastAsia="zh-CN"/>
        </w:rPr>
        <w:t>3.</w:t>
      </w:r>
      <w:r>
        <w:rPr>
          <w:rFonts w:hint="eastAsia" w:ascii="宋体" w:hAnsi="宋体" w:eastAsia="宋体" w:cs="宋体"/>
        </w:rPr>
        <w:t>如我方成交：</w:t>
      </w:r>
    </w:p>
    <w:p w14:paraId="000F66BA">
      <w:pPr>
        <w:pStyle w:val="33"/>
        <w:spacing w:after="0" w:line="360" w:lineRule="auto"/>
        <w:ind w:left="0" w:leftChars="0"/>
        <w:rPr>
          <w:rFonts w:hint="eastAsia" w:ascii="宋体" w:hAnsi="宋体" w:eastAsia="宋体" w:cs="宋体"/>
        </w:rPr>
      </w:pPr>
      <w:r>
        <w:rPr>
          <w:rFonts w:hint="eastAsia" w:ascii="宋体" w:hAnsi="宋体" w:eastAsia="宋体" w:cs="宋体"/>
        </w:rPr>
        <w:t>（1）我方承诺在收到成交通知书后，在成交通知书规定的期限内与你方签订合同。</w:t>
      </w:r>
    </w:p>
    <w:p w14:paraId="77A0C08E">
      <w:pPr>
        <w:pStyle w:val="33"/>
        <w:spacing w:after="0" w:line="360" w:lineRule="auto"/>
        <w:ind w:left="0" w:leftChars="0"/>
        <w:rPr>
          <w:rFonts w:hint="eastAsia" w:ascii="宋体" w:hAnsi="宋体" w:eastAsia="宋体" w:cs="宋体"/>
        </w:rPr>
      </w:pPr>
      <w:r>
        <w:rPr>
          <w:rFonts w:hint="eastAsia" w:ascii="宋体" w:hAnsi="宋体" w:eastAsia="宋体" w:cs="宋体"/>
        </w:rPr>
        <w:t>（2）随同本磋商函递交的磋商报价表属于合同文件的组成部分。</w:t>
      </w:r>
    </w:p>
    <w:p w14:paraId="13A3D8F1">
      <w:pPr>
        <w:pStyle w:val="33"/>
        <w:spacing w:after="0" w:line="360" w:lineRule="auto"/>
        <w:ind w:left="0" w:leftChars="0"/>
        <w:rPr>
          <w:rFonts w:hint="eastAsia" w:ascii="宋体" w:hAnsi="宋体" w:eastAsia="宋体" w:cs="宋体"/>
        </w:rPr>
      </w:pPr>
      <w:r>
        <w:rPr>
          <w:rFonts w:hint="eastAsia" w:ascii="宋体" w:hAnsi="宋体" w:eastAsia="宋体" w:cs="宋体"/>
        </w:rPr>
        <w:t>（3）我方承诺在合同约定的期限内完成全部合同内容。</w:t>
      </w:r>
    </w:p>
    <w:p w14:paraId="34D881B5">
      <w:pPr>
        <w:pStyle w:val="33"/>
        <w:spacing w:after="0" w:line="360" w:lineRule="auto"/>
        <w:ind w:left="0" w:leftChars="0"/>
        <w:rPr>
          <w:rFonts w:hint="eastAsia" w:ascii="宋体" w:hAnsi="宋体" w:eastAsia="宋体" w:cs="宋体"/>
        </w:rPr>
      </w:pPr>
      <w:r>
        <w:rPr>
          <w:rFonts w:hint="eastAsia" w:ascii="宋体" w:hAnsi="宋体" w:eastAsia="宋体" w:cs="宋体"/>
        </w:rPr>
        <w:t>（4）我方将按照招标文件的具体规定向采购代理机构交纳代理服务费。否则，视为我方中标后自动放弃中标资格，并承担由此引起的一切后果。</w:t>
      </w:r>
    </w:p>
    <w:p w14:paraId="6FBCC998">
      <w:pPr>
        <w:pStyle w:val="33"/>
        <w:spacing w:after="0" w:line="360" w:lineRule="auto"/>
        <w:ind w:left="0" w:leftChars="0"/>
        <w:rPr>
          <w:rFonts w:hint="eastAsia" w:ascii="宋体" w:hAnsi="宋体" w:eastAsia="宋体" w:cs="宋体"/>
        </w:rPr>
      </w:pPr>
      <w:r>
        <w:rPr>
          <w:rFonts w:hint="eastAsia" w:ascii="宋体" w:hAnsi="宋体" w:cs="宋体"/>
          <w:lang w:val="en-US" w:eastAsia="zh-CN"/>
        </w:rPr>
        <w:t>4.</w:t>
      </w:r>
      <w:r>
        <w:rPr>
          <w:rFonts w:hint="eastAsia" w:ascii="宋体" w:hAnsi="宋体" w:eastAsia="宋体" w:cs="宋体"/>
        </w:rPr>
        <w:t>我方在此声明，所递交的竞争性磋商响应文件及有关资料内容完整、真实和准确，且不存在第二章“供应商须知”第1.4项规定的任何一种情形。</w:t>
      </w:r>
    </w:p>
    <w:p w14:paraId="666766DD">
      <w:pPr>
        <w:pStyle w:val="33"/>
        <w:spacing w:after="0" w:line="360" w:lineRule="auto"/>
        <w:ind w:left="0" w:leftChars="0"/>
        <w:rPr>
          <w:rFonts w:hint="eastAsia" w:ascii="宋体" w:hAnsi="宋体" w:eastAsia="宋体" w:cs="宋体"/>
        </w:rPr>
      </w:pPr>
      <w:r>
        <w:rPr>
          <w:rFonts w:hint="eastAsia" w:ascii="宋体" w:hAnsi="宋体" w:cs="宋体"/>
          <w:lang w:val="en-US" w:eastAsia="zh-CN"/>
        </w:rPr>
        <w:t>5.</w:t>
      </w:r>
      <w:r>
        <w:rPr>
          <w:rFonts w:hint="eastAsia" w:ascii="宋体" w:hAnsi="宋体" w:eastAsia="宋体" w:cs="宋体"/>
        </w:rPr>
        <w:t>我方已详细审查全部竞争性磋商文件，包括修改文件（如有）和有关附件等，将自行承担因对全部竞争性磋商文件理解不正确或误解而产生的相应后果。</w:t>
      </w:r>
    </w:p>
    <w:p w14:paraId="7C5252C6">
      <w:pPr>
        <w:pStyle w:val="33"/>
        <w:spacing w:after="0" w:line="360" w:lineRule="auto"/>
        <w:ind w:left="0" w:leftChars="0"/>
        <w:rPr>
          <w:rFonts w:hint="eastAsia" w:ascii="宋体" w:hAnsi="宋体" w:eastAsia="宋体" w:cs="宋体"/>
        </w:rPr>
      </w:pPr>
      <w:r>
        <w:rPr>
          <w:rFonts w:hint="eastAsia" w:ascii="宋体" w:hAnsi="宋体" w:cs="宋体"/>
          <w:lang w:val="en-US" w:eastAsia="zh-CN"/>
        </w:rPr>
        <w:t>6.</w:t>
      </w:r>
      <w:r>
        <w:rPr>
          <w:rFonts w:hint="eastAsia" w:ascii="宋体" w:hAnsi="宋体" w:eastAsia="宋体" w:cs="宋体"/>
        </w:rPr>
        <w:t>我方保证尊重磋商小组的评标结果，完全理解本招标项目最低投标价不作为中标的保证。</w:t>
      </w:r>
    </w:p>
    <w:p w14:paraId="66292108">
      <w:pPr>
        <w:pStyle w:val="33"/>
        <w:spacing w:after="0" w:line="360" w:lineRule="auto"/>
        <w:ind w:left="0" w:leftChars="0"/>
        <w:rPr>
          <w:rFonts w:hint="eastAsia" w:ascii="宋体" w:hAnsi="宋体" w:eastAsia="宋体" w:cs="宋体"/>
        </w:rPr>
      </w:pPr>
      <w:r>
        <w:rPr>
          <w:rFonts w:hint="eastAsia" w:ascii="宋体" w:hAnsi="宋体" w:eastAsia="宋体" w:cs="宋体"/>
        </w:rPr>
        <w:t>7</w:t>
      </w:r>
      <w:r>
        <w:rPr>
          <w:rFonts w:hint="eastAsia" w:ascii="宋体" w:hAnsi="宋体" w:cs="宋体"/>
          <w:lang w:val="en-US" w:eastAsia="zh-CN"/>
        </w:rPr>
        <w:t>.</w:t>
      </w:r>
      <w:r>
        <w:rPr>
          <w:rFonts w:hint="eastAsia" w:ascii="宋体" w:hAnsi="宋体" w:eastAsia="宋体" w:cs="宋体"/>
        </w:rPr>
        <w:t xml:space="preserve">其他补充说明在“其他材料”中列明。 </w:t>
      </w:r>
    </w:p>
    <w:p w14:paraId="42F23420">
      <w:pPr>
        <w:spacing w:line="360" w:lineRule="auto"/>
        <w:rPr>
          <w:rFonts w:hint="eastAsia" w:ascii="宋体" w:hAnsi="宋体" w:eastAsia="宋体" w:cs="宋体"/>
          <w:sz w:val="21"/>
          <w:szCs w:val="21"/>
        </w:rPr>
      </w:pPr>
    </w:p>
    <w:p w14:paraId="73888B4D">
      <w:pPr>
        <w:spacing w:line="360" w:lineRule="auto"/>
        <w:ind w:right="420"/>
        <w:jc w:val="center"/>
        <w:rPr>
          <w:rFonts w:hint="eastAsia" w:ascii="宋体" w:hAnsi="宋体" w:eastAsia="宋体" w:cs="宋体"/>
          <w:sz w:val="21"/>
          <w:szCs w:val="21"/>
        </w:rPr>
      </w:pPr>
    </w:p>
    <w:p w14:paraId="174087DD">
      <w:pPr>
        <w:spacing w:line="360" w:lineRule="auto"/>
        <w:ind w:right="420"/>
        <w:jc w:val="center"/>
        <w:rPr>
          <w:rFonts w:hint="eastAsia" w:ascii="宋体" w:hAnsi="宋体" w:eastAsia="宋体" w:cs="宋体"/>
          <w:sz w:val="21"/>
          <w:szCs w:val="21"/>
        </w:rPr>
      </w:pPr>
    </w:p>
    <w:p w14:paraId="6C0BD193">
      <w:pPr>
        <w:spacing w:line="360" w:lineRule="auto"/>
        <w:ind w:right="420"/>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2E48319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25A978C">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3F3FD4B">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6A81C13B">
      <w:pPr>
        <w:pStyle w:val="33"/>
        <w:ind w:left="480"/>
        <w:rPr>
          <w:rFonts w:hint="eastAsia" w:ascii="宋体" w:hAnsi="宋体" w:eastAsia="宋体" w:cs="宋体"/>
          <w:szCs w:val="21"/>
        </w:rPr>
      </w:pPr>
    </w:p>
    <w:p w14:paraId="31904D46">
      <w:pPr>
        <w:widowControl/>
        <w:jc w:val="left"/>
        <w:rPr>
          <w:rFonts w:hint="eastAsia" w:ascii="宋体" w:hAnsi="宋体" w:eastAsia="宋体" w:cs="宋体"/>
          <w:sz w:val="28"/>
          <w:szCs w:val="28"/>
        </w:rPr>
      </w:pPr>
      <w:bookmarkStart w:id="436" w:name="_Toc45177868"/>
      <w:r>
        <w:rPr>
          <w:rFonts w:hint="eastAsia" w:ascii="宋体" w:hAnsi="宋体" w:eastAsia="宋体" w:cs="宋体"/>
          <w:sz w:val="28"/>
          <w:szCs w:val="28"/>
        </w:rPr>
        <w:br w:type="page"/>
      </w:r>
    </w:p>
    <w:p w14:paraId="53B738C1">
      <w:pPr>
        <w:spacing w:before="326" w:beforeLines="100" w:after="163" w:afterLines="50"/>
        <w:jc w:val="center"/>
        <w:outlineLvl w:val="1"/>
        <w:rPr>
          <w:rFonts w:hint="eastAsia" w:ascii="宋体" w:hAnsi="宋体" w:eastAsia="宋体" w:cs="宋体"/>
          <w:b/>
          <w:sz w:val="28"/>
          <w:szCs w:val="28"/>
        </w:rPr>
      </w:pPr>
      <w:bookmarkStart w:id="437" w:name="_Toc3507"/>
      <w:r>
        <w:rPr>
          <w:rFonts w:hint="eastAsia" w:ascii="宋体" w:hAnsi="宋体" w:eastAsia="宋体" w:cs="宋体"/>
          <w:b/>
          <w:sz w:val="28"/>
          <w:szCs w:val="28"/>
        </w:rPr>
        <w:t>二、</w:t>
      </w:r>
      <w:r>
        <w:rPr>
          <w:rFonts w:hint="eastAsia" w:ascii="宋体" w:hAnsi="宋体" w:eastAsia="宋体" w:cs="宋体"/>
          <w:b/>
          <w:sz w:val="28"/>
          <w:szCs w:val="28"/>
          <w:lang w:val="en-US" w:eastAsia="zh-CN"/>
        </w:rPr>
        <w:t>磋商</w:t>
      </w:r>
      <w:r>
        <w:rPr>
          <w:rFonts w:hint="eastAsia" w:ascii="宋体" w:hAnsi="宋体" w:eastAsia="宋体" w:cs="宋体"/>
          <w:b/>
          <w:sz w:val="28"/>
          <w:szCs w:val="28"/>
        </w:rPr>
        <w:t>报价表</w:t>
      </w:r>
      <w:bookmarkEnd w:id="436"/>
      <w:bookmarkEnd w:id="437"/>
    </w:p>
    <w:tbl>
      <w:tblPr>
        <w:tblStyle w:val="34"/>
        <w:tblW w:w="9739" w:type="dxa"/>
        <w:jc w:val="center"/>
        <w:tblLayout w:type="fixed"/>
        <w:tblCellMar>
          <w:top w:w="0" w:type="dxa"/>
          <w:left w:w="0" w:type="dxa"/>
          <w:bottom w:w="0" w:type="dxa"/>
          <w:right w:w="0" w:type="dxa"/>
        </w:tblCellMar>
      </w:tblPr>
      <w:tblGrid>
        <w:gridCol w:w="2551"/>
        <w:gridCol w:w="7188"/>
      </w:tblGrid>
      <w:tr w14:paraId="398F9590">
        <w:tblPrEx>
          <w:tblCellMar>
            <w:top w:w="0" w:type="dxa"/>
            <w:left w:w="0" w:type="dxa"/>
            <w:bottom w:w="0" w:type="dxa"/>
            <w:right w:w="0" w:type="dxa"/>
          </w:tblCellMar>
        </w:tblPrEx>
        <w:trPr>
          <w:trHeight w:val="941" w:hRule="exact"/>
          <w:jc w:val="center"/>
        </w:trPr>
        <w:tc>
          <w:tcPr>
            <w:tcW w:w="2551" w:type="dxa"/>
            <w:tcBorders>
              <w:top w:val="single" w:color="auto" w:sz="4" w:space="0"/>
              <w:left w:val="single" w:color="auto" w:sz="4" w:space="0"/>
              <w:bottom w:val="nil"/>
              <w:right w:val="nil"/>
            </w:tcBorders>
            <w:shd w:val="clear" w:color="auto" w:fill="FFFFFF"/>
            <w:vAlign w:val="center"/>
          </w:tcPr>
          <w:p w14:paraId="05DBA738">
            <w:pPr>
              <w:jc w:val="center"/>
              <w:rPr>
                <w:rFonts w:hint="default" w:ascii="宋体" w:hAnsi="宋体" w:eastAsia="宋体" w:cs="宋体"/>
                <w:sz w:val="21"/>
                <w:szCs w:val="21"/>
                <w:lang w:val="en-US" w:eastAsia="zh-CN"/>
              </w:rPr>
            </w:pPr>
            <w:bookmarkStart w:id="438" w:name="_Toc258505710"/>
            <w:bookmarkStart w:id="439" w:name="_Toc298522708"/>
            <w:bookmarkStart w:id="440" w:name="_Toc258441081"/>
            <w:bookmarkStart w:id="441" w:name="_Toc258431082"/>
            <w:bookmarkStart w:id="442" w:name="_Toc298522540"/>
            <w:bookmarkStart w:id="443" w:name="_Toc258440232"/>
            <w:r>
              <w:rPr>
                <w:rFonts w:hint="eastAsia" w:ascii="宋体" w:hAnsi="宋体" w:eastAsia="宋体" w:cs="宋体"/>
                <w:sz w:val="21"/>
                <w:szCs w:val="21"/>
                <w:lang w:val="en-US" w:eastAsia="zh-CN"/>
              </w:rPr>
              <w:t>项目名称及标段</w:t>
            </w:r>
          </w:p>
        </w:tc>
        <w:tc>
          <w:tcPr>
            <w:tcW w:w="7188" w:type="dxa"/>
            <w:tcBorders>
              <w:top w:val="single" w:color="auto" w:sz="4" w:space="0"/>
              <w:left w:val="single" w:color="auto" w:sz="4" w:space="0"/>
              <w:bottom w:val="nil"/>
              <w:right w:val="single" w:color="auto" w:sz="4" w:space="0"/>
            </w:tcBorders>
            <w:shd w:val="clear" w:color="auto" w:fill="FFFFFF"/>
          </w:tcPr>
          <w:p w14:paraId="47BD8CB0">
            <w:pPr>
              <w:rPr>
                <w:rFonts w:hint="eastAsia" w:ascii="宋体" w:hAnsi="宋体" w:eastAsia="宋体" w:cs="宋体"/>
                <w:sz w:val="21"/>
                <w:szCs w:val="21"/>
              </w:rPr>
            </w:pPr>
          </w:p>
        </w:tc>
      </w:tr>
      <w:tr w14:paraId="272344EE">
        <w:tblPrEx>
          <w:tblCellMar>
            <w:top w:w="0" w:type="dxa"/>
            <w:left w:w="0" w:type="dxa"/>
            <w:bottom w:w="0" w:type="dxa"/>
            <w:right w:w="0" w:type="dxa"/>
          </w:tblCellMar>
        </w:tblPrEx>
        <w:trPr>
          <w:trHeight w:val="941" w:hRule="exact"/>
          <w:jc w:val="center"/>
        </w:trPr>
        <w:tc>
          <w:tcPr>
            <w:tcW w:w="2551" w:type="dxa"/>
            <w:tcBorders>
              <w:top w:val="single" w:color="auto" w:sz="4" w:space="0"/>
              <w:left w:val="single" w:color="auto" w:sz="4" w:space="0"/>
              <w:bottom w:val="nil"/>
              <w:right w:val="nil"/>
            </w:tcBorders>
            <w:shd w:val="clear" w:color="auto" w:fill="FFFFFF"/>
            <w:vAlign w:val="center"/>
          </w:tcPr>
          <w:p w14:paraId="4EBB7608">
            <w:pPr>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7188" w:type="dxa"/>
            <w:tcBorders>
              <w:top w:val="single" w:color="auto" w:sz="4" w:space="0"/>
              <w:left w:val="single" w:color="auto" w:sz="4" w:space="0"/>
              <w:bottom w:val="nil"/>
              <w:right w:val="single" w:color="auto" w:sz="4" w:space="0"/>
            </w:tcBorders>
            <w:shd w:val="clear" w:color="auto" w:fill="FFFFFF"/>
          </w:tcPr>
          <w:p w14:paraId="51389B81">
            <w:pPr>
              <w:rPr>
                <w:rFonts w:hint="eastAsia" w:ascii="宋体" w:hAnsi="宋体" w:eastAsia="宋体" w:cs="宋体"/>
                <w:sz w:val="21"/>
                <w:szCs w:val="21"/>
              </w:rPr>
            </w:pPr>
          </w:p>
        </w:tc>
      </w:tr>
      <w:tr w14:paraId="42F797FC">
        <w:tblPrEx>
          <w:tblCellMar>
            <w:top w:w="0" w:type="dxa"/>
            <w:left w:w="0" w:type="dxa"/>
            <w:bottom w:w="0" w:type="dxa"/>
            <w:right w:w="0" w:type="dxa"/>
          </w:tblCellMar>
        </w:tblPrEx>
        <w:trPr>
          <w:trHeight w:val="937" w:hRule="exact"/>
          <w:jc w:val="center"/>
        </w:trPr>
        <w:tc>
          <w:tcPr>
            <w:tcW w:w="2551" w:type="dxa"/>
            <w:tcBorders>
              <w:top w:val="single" w:color="auto" w:sz="4" w:space="0"/>
              <w:left w:val="single" w:color="auto" w:sz="4" w:space="0"/>
              <w:bottom w:val="nil"/>
              <w:right w:val="nil"/>
            </w:tcBorders>
            <w:shd w:val="clear" w:color="auto" w:fill="FFFFFF"/>
            <w:vAlign w:val="center"/>
          </w:tcPr>
          <w:p w14:paraId="332CCBD7">
            <w:pPr>
              <w:jc w:val="center"/>
              <w:rPr>
                <w:rFonts w:hint="eastAsia" w:ascii="宋体" w:hAnsi="宋体" w:eastAsia="宋体" w:cs="宋体"/>
                <w:sz w:val="21"/>
                <w:szCs w:val="21"/>
              </w:rPr>
            </w:pPr>
            <w:r>
              <w:rPr>
                <w:rFonts w:hint="eastAsia" w:ascii="宋体" w:hAnsi="宋体" w:eastAsia="宋体" w:cs="宋体"/>
                <w:sz w:val="21"/>
                <w:szCs w:val="21"/>
              </w:rPr>
              <w:t>首次磋商报价</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5BC9C093">
            <w:pPr>
              <w:rPr>
                <w:rFonts w:hint="eastAsia" w:ascii="宋体" w:hAnsi="宋体" w:eastAsia="宋体" w:cs="宋体"/>
                <w:sz w:val="21"/>
                <w:szCs w:val="21"/>
              </w:rPr>
            </w:pPr>
            <w:r>
              <w:rPr>
                <w:rFonts w:hint="eastAsia" w:ascii="宋体" w:hAnsi="宋体" w:eastAsia="宋体" w:cs="宋体"/>
                <w:sz w:val="21"/>
                <w:szCs w:val="21"/>
              </w:rPr>
              <w:t>大写：</w:t>
            </w:r>
          </w:p>
          <w:p w14:paraId="1AE17E6F">
            <w:pPr>
              <w:rPr>
                <w:rFonts w:hint="eastAsia" w:ascii="宋体" w:hAnsi="宋体" w:eastAsia="宋体" w:cs="宋体"/>
                <w:sz w:val="21"/>
                <w:szCs w:val="21"/>
              </w:rPr>
            </w:pPr>
            <w:r>
              <w:rPr>
                <w:rFonts w:hint="eastAsia" w:ascii="宋体" w:hAnsi="宋体" w:eastAsia="宋体" w:cs="宋体"/>
                <w:sz w:val="21"/>
                <w:szCs w:val="21"/>
              </w:rPr>
              <w:t>小写：</w:t>
            </w:r>
          </w:p>
        </w:tc>
      </w:tr>
      <w:tr w14:paraId="0716AA39">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75B77C12">
            <w:pPr>
              <w:jc w:val="center"/>
              <w:rPr>
                <w:rFonts w:hint="eastAsia" w:ascii="宋体" w:hAnsi="宋体" w:eastAsia="宋体" w:cs="宋体"/>
                <w:sz w:val="21"/>
                <w:szCs w:val="21"/>
              </w:rPr>
            </w:pPr>
            <w:r>
              <w:rPr>
                <w:rFonts w:hint="eastAsia" w:ascii="宋体" w:hAnsi="宋体" w:eastAsia="宋体" w:cs="宋体"/>
                <w:bCs/>
                <w:color w:val="000000" w:themeColor="text1"/>
                <w:sz w:val="21"/>
                <w:szCs w:val="21"/>
              </w:rPr>
              <w:t>服务内容</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63664A01">
            <w:pPr>
              <w:jc w:val="center"/>
              <w:rPr>
                <w:rFonts w:hint="eastAsia" w:ascii="宋体" w:hAnsi="宋体" w:eastAsia="宋体" w:cs="宋体"/>
                <w:sz w:val="21"/>
                <w:szCs w:val="21"/>
              </w:rPr>
            </w:pPr>
          </w:p>
        </w:tc>
      </w:tr>
      <w:tr w14:paraId="04EC619F">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2B40FD47">
            <w:pPr>
              <w:jc w:val="center"/>
              <w:rPr>
                <w:rFonts w:hint="eastAsia" w:ascii="宋体" w:hAnsi="宋体" w:eastAsia="宋体" w:cs="宋体"/>
                <w:sz w:val="21"/>
                <w:szCs w:val="21"/>
              </w:rPr>
            </w:pPr>
            <w:r>
              <w:rPr>
                <w:rFonts w:hint="eastAsia" w:ascii="宋体" w:hAnsi="宋体" w:eastAsia="宋体" w:cs="宋体"/>
                <w:sz w:val="21"/>
                <w:szCs w:val="21"/>
              </w:rPr>
              <w:t>服务期限</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3A829FCA">
            <w:pPr>
              <w:jc w:val="center"/>
              <w:rPr>
                <w:rFonts w:hint="eastAsia" w:ascii="宋体" w:hAnsi="宋体" w:eastAsia="宋体" w:cs="宋体"/>
                <w:sz w:val="21"/>
                <w:szCs w:val="21"/>
              </w:rPr>
            </w:pPr>
          </w:p>
        </w:tc>
      </w:tr>
      <w:tr w14:paraId="0E67C91C">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5AF1DE4B">
            <w:pPr>
              <w:jc w:val="center"/>
              <w:rPr>
                <w:rFonts w:hint="eastAsia" w:ascii="宋体" w:hAnsi="宋体" w:eastAsia="宋体" w:cs="宋体"/>
                <w:sz w:val="21"/>
                <w:szCs w:val="21"/>
              </w:rPr>
            </w:pPr>
            <w:r>
              <w:rPr>
                <w:rFonts w:hint="eastAsia" w:ascii="宋体" w:hAnsi="宋体" w:eastAsia="宋体" w:cs="宋体"/>
                <w:sz w:val="21"/>
                <w:szCs w:val="21"/>
                <w:lang w:val="en-US" w:eastAsia="zh-CN"/>
              </w:rPr>
              <w:t>服务</w:t>
            </w:r>
            <w:r>
              <w:rPr>
                <w:rFonts w:hint="eastAsia" w:ascii="宋体" w:hAnsi="宋体" w:eastAsia="宋体" w:cs="宋体"/>
                <w:sz w:val="21"/>
                <w:szCs w:val="21"/>
              </w:rPr>
              <w:t>质量</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6936C156">
            <w:pPr>
              <w:jc w:val="center"/>
              <w:rPr>
                <w:rFonts w:hint="eastAsia" w:ascii="宋体" w:hAnsi="宋体" w:eastAsia="宋体" w:cs="宋体"/>
                <w:sz w:val="21"/>
                <w:szCs w:val="21"/>
              </w:rPr>
            </w:pPr>
          </w:p>
        </w:tc>
      </w:tr>
      <w:tr w14:paraId="14AAAEBE">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204E23D8">
            <w:pPr>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707523FB">
            <w:pPr>
              <w:jc w:val="center"/>
              <w:rPr>
                <w:rFonts w:hint="eastAsia" w:ascii="宋体" w:hAnsi="宋体" w:eastAsia="宋体" w:cs="宋体"/>
                <w:sz w:val="21"/>
                <w:szCs w:val="21"/>
              </w:rPr>
            </w:pPr>
          </w:p>
        </w:tc>
      </w:tr>
      <w:tr w14:paraId="05FA2FC7">
        <w:tblPrEx>
          <w:tblCellMar>
            <w:top w:w="0" w:type="dxa"/>
            <w:left w:w="0" w:type="dxa"/>
            <w:bottom w:w="0" w:type="dxa"/>
            <w:right w:w="0" w:type="dxa"/>
          </w:tblCellMar>
        </w:tblPrEx>
        <w:trPr>
          <w:trHeight w:val="789"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3F3ABF3E">
            <w:pPr>
              <w:jc w:val="center"/>
              <w:rPr>
                <w:rFonts w:hint="eastAsia" w:ascii="宋体" w:hAnsi="宋体" w:eastAsia="宋体" w:cs="宋体"/>
                <w:sz w:val="21"/>
                <w:szCs w:val="21"/>
              </w:rPr>
            </w:pPr>
            <w:r>
              <w:rPr>
                <w:rFonts w:hint="eastAsia" w:ascii="宋体" w:hAnsi="宋体" w:eastAsia="宋体" w:cs="宋体"/>
                <w:sz w:val="21"/>
                <w:szCs w:val="21"/>
              </w:rPr>
              <w:t>项目负责人</w:t>
            </w:r>
          </w:p>
        </w:tc>
        <w:tc>
          <w:tcPr>
            <w:tcW w:w="7188" w:type="dxa"/>
            <w:tcBorders>
              <w:top w:val="single" w:color="auto" w:sz="4" w:space="0"/>
              <w:left w:val="single" w:color="auto" w:sz="4" w:space="0"/>
              <w:bottom w:val="single" w:color="auto" w:sz="4" w:space="0"/>
              <w:right w:val="single" w:color="auto" w:sz="4" w:space="0"/>
            </w:tcBorders>
            <w:shd w:val="clear" w:color="auto" w:fill="FFFFFF"/>
            <w:vAlign w:val="center"/>
          </w:tcPr>
          <w:p w14:paraId="237D7EED">
            <w:pPr>
              <w:jc w:val="center"/>
              <w:rPr>
                <w:rFonts w:hint="eastAsia" w:ascii="宋体" w:hAnsi="宋体" w:eastAsia="宋体" w:cs="宋体"/>
                <w:sz w:val="21"/>
                <w:szCs w:val="21"/>
              </w:rPr>
            </w:pPr>
          </w:p>
        </w:tc>
      </w:tr>
      <w:tr w14:paraId="653E9C86">
        <w:tblPrEx>
          <w:tblCellMar>
            <w:top w:w="0" w:type="dxa"/>
            <w:left w:w="0" w:type="dxa"/>
            <w:bottom w:w="0" w:type="dxa"/>
            <w:right w:w="0" w:type="dxa"/>
          </w:tblCellMar>
        </w:tblPrEx>
        <w:trPr>
          <w:trHeight w:val="789"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49497496">
            <w:pPr>
              <w:jc w:val="center"/>
              <w:rPr>
                <w:rFonts w:hint="eastAsia" w:ascii="宋体" w:hAnsi="宋体" w:eastAsia="宋体" w:cs="宋体"/>
                <w:sz w:val="21"/>
                <w:szCs w:val="21"/>
              </w:rPr>
            </w:pPr>
            <w:r>
              <w:rPr>
                <w:rFonts w:hint="eastAsia" w:ascii="宋体" w:hAnsi="宋体" w:eastAsia="宋体" w:cs="宋体"/>
                <w:sz w:val="21"/>
                <w:szCs w:val="21"/>
              </w:rPr>
              <w:t>委托代理人姓名</w:t>
            </w:r>
            <w:r>
              <w:rPr>
                <w:rFonts w:hint="eastAsia" w:ascii="宋体" w:hAnsi="宋体" w:eastAsia="宋体" w:cs="宋体"/>
                <w:sz w:val="21"/>
                <w:szCs w:val="21"/>
                <w:lang w:eastAsia="zh-CN"/>
              </w:rPr>
              <w:t>、</w:t>
            </w:r>
            <w:r>
              <w:rPr>
                <w:rFonts w:hint="eastAsia" w:ascii="宋体" w:hAnsi="宋体" w:eastAsia="宋体" w:cs="宋体"/>
                <w:sz w:val="21"/>
                <w:szCs w:val="21"/>
              </w:rPr>
              <w:t>联系方式及</w:t>
            </w:r>
            <w:r>
              <w:rPr>
                <w:rFonts w:hint="eastAsia" w:ascii="宋体" w:hAnsi="宋体" w:eastAsia="宋体" w:cs="宋体"/>
                <w:sz w:val="21"/>
                <w:szCs w:val="21"/>
                <w:lang w:val="en-US" w:eastAsia="zh-CN"/>
              </w:rPr>
              <w:t>公司</w:t>
            </w:r>
            <w:r>
              <w:rPr>
                <w:rFonts w:hint="eastAsia" w:ascii="宋体" w:hAnsi="宋体" w:eastAsia="宋体" w:cs="宋体"/>
                <w:sz w:val="21"/>
                <w:szCs w:val="21"/>
              </w:rPr>
              <w:t>邮箱</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公司联系地址</w:t>
            </w:r>
          </w:p>
        </w:tc>
        <w:tc>
          <w:tcPr>
            <w:tcW w:w="7188" w:type="dxa"/>
            <w:tcBorders>
              <w:top w:val="single" w:color="auto" w:sz="4" w:space="0"/>
              <w:left w:val="single" w:color="auto" w:sz="4" w:space="0"/>
              <w:bottom w:val="single" w:color="auto" w:sz="4" w:space="0"/>
              <w:right w:val="single" w:color="auto" w:sz="4" w:space="0"/>
            </w:tcBorders>
            <w:shd w:val="clear" w:color="auto" w:fill="FFFFFF"/>
            <w:vAlign w:val="center"/>
          </w:tcPr>
          <w:p w14:paraId="68BE676F">
            <w:pPr>
              <w:jc w:val="center"/>
              <w:rPr>
                <w:rFonts w:hint="eastAsia" w:ascii="宋体" w:hAnsi="宋体" w:eastAsia="宋体" w:cs="宋体"/>
                <w:sz w:val="21"/>
                <w:szCs w:val="21"/>
              </w:rPr>
            </w:pPr>
          </w:p>
        </w:tc>
      </w:tr>
      <w:tr w14:paraId="25024C2D">
        <w:tblPrEx>
          <w:tblCellMar>
            <w:top w:w="0" w:type="dxa"/>
            <w:left w:w="0" w:type="dxa"/>
            <w:bottom w:w="0" w:type="dxa"/>
            <w:right w:w="0" w:type="dxa"/>
          </w:tblCellMar>
        </w:tblPrEx>
        <w:trPr>
          <w:trHeight w:val="798"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2E4799C2">
            <w:pPr>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88" w:type="dxa"/>
            <w:tcBorders>
              <w:top w:val="single" w:color="auto" w:sz="4" w:space="0"/>
              <w:left w:val="single" w:color="auto" w:sz="4" w:space="0"/>
              <w:bottom w:val="single" w:color="auto" w:sz="4" w:space="0"/>
              <w:right w:val="single" w:color="auto" w:sz="4" w:space="0"/>
            </w:tcBorders>
            <w:shd w:val="clear" w:color="auto" w:fill="FFFFFF"/>
          </w:tcPr>
          <w:p w14:paraId="7003076B">
            <w:pPr>
              <w:rPr>
                <w:rFonts w:hint="eastAsia" w:ascii="宋体" w:hAnsi="宋体" w:eastAsia="宋体" w:cs="宋体"/>
                <w:sz w:val="21"/>
                <w:szCs w:val="21"/>
              </w:rPr>
            </w:pPr>
          </w:p>
        </w:tc>
      </w:tr>
    </w:tbl>
    <w:p w14:paraId="41B1A833">
      <w:pPr>
        <w:rPr>
          <w:rFonts w:hint="eastAsia" w:ascii="宋体" w:hAnsi="宋体" w:eastAsia="宋体" w:cs="宋体"/>
        </w:rPr>
      </w:pPr>
    </w:p>
    <w:p w14:paraId="766F92BA">
      <w:pPr>
        <w:rPr>
          <w:rFonts w:hint="eastAsia" w:ascii="宋体" w:hAnsi="宋体" w:eastAsia="宋体" w:cs="宋体"/>
        </w:rPr>
      </w:pPr>
    </w:p>
    <w:p w14:paraId="3DF50C92">
      <w:pPr>
        <w:rPr>
          <w:rFonts w:hint="eastAsia" w:ascii="宋体" w:hAnsi="宋体" w:eastAsia="宋体" w:cs="宋体"/>
        </w:rPr>
      </w:pPr>
    </w:p>
    <w:p w14:paraId="131C626E">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AF0AAF0">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075ABCA4">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148BADF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bookmarkEnd w:id="438"/>
    <w:bookmarkEnd w:id="439"/>
    <w:bookmarkEnd w:id="440"/>
    <w:bookmarkEnd w:id="441"/>
    <w:bookmarkEnd w:id="442"/>
    <w:bookmarkEnd w:id="443"/>
    <w:p w14:paraId="28F19788">
      <w:pPr>
        <w:rPr>
          <w:rFonts w:hint="eastAsia" w:ascii="宋体" w:hAnsi="宋体" w:eastAsia="宋体" w:cs="宋体"/>
          <w:b/>
          <w:sz w:val="28"/>
          <w:szCs w:val="28"/>
        </w:rPr>
      </w:pPr>
      <w:bookmarkStart w:id="444" w:name="_Toc45177869"/>
      <w:bookmarkStart w:id="445" w:name="_Toc878"/>
      <w:r>
        <w:rPr>
          <w:rFonts w:hint="eastAsia" w:ascii="宋体" w:hAnsi="宋体" w:eastAsia="宋体" w:cs="宋体"/>
          <w:b/>
          <w:sz w:val="28"/>
          <w:szCs w:val="28"/>
        </w:rPr>
        <w:br w:type="page"/>
      </w:r>
      <w:bookmarkStart w:id="446" w:name="_Toc191"/>
    </w:p>
    <w:p w14:paraId="2787B051">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b/>
          <w:sz w:val="28"/>
          <w:szCs w:val="28"/>
        </w:rPr>
        <w:t>三、</w:t>
      </w:r>
      <w:bookmarkEnd w:id="444"/>
      <w:bookmarkEnd w:id="445"/>
      <w:bookmarkEnd w:id="446"/>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身份证明</w:t>
      </w:r>
    </w:p>
    <w:p w14:paraId="4B3541D4">
      <w:pPr>
        <w:spacing w:line="500" w:lineRule="exact"/>
        <w:rPr>
          <w:rFonts w:hint="eastAsia" w:ascii="宋体" w:hAnsi="宋体" w:eastAsia="宋体" w:cs="宋体"/>
          <w:sz w:val="21"/>
          <w:szCs w:val="21"/>
        </w:rPr>
      </w:pPr>
      <w:r>
        <w:rPr>
          <w:rFonts w:hint="eastAsia" w:ascii="宋体" w:hAnsi="宋体" w:eastAsia="宋体" w:cs="宋体"/>
          <w:sz w:val="21"/>
          <w:szCs w:val="21"/>
        </w:rPr>
        <w:t>供应商名称：</w:t>
      </w:r>
      <w:r>
        <w:rPr>
          <w:rFonts w:hint="eastAsia" w:ascii="宋体" w:hAnsi="宋体" w:eastAsia="宋体" w:cs="宋体"/>
          <w:sz w:val="21"/>
          <w:szCs w:val="21"/>
          <w:u w:val="single"/>
        </w:rPr>
        <w:t xml:space="preserve">                                                        </w:t>
      </w:r>
    </w:p>
    <w:p w14:paraId="4150BADE">
      <w:pPr>
        <w:spacing w:line="500" w:lineRule="exact"/>
        <w:rPr>
          <w:rFonts w:hint="eastAsia" w:ascii="宋体" w:hAnsi="宋体" w:eastAsia="宋体" w:cs="宋体"/>
          <w:sz w:val="21"/>
          <w:szCs w:val="21"/>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p>
    <w:p w14:paraId="16750905">
      <w:pPr>
        <w:spacing w:line="500" w:lineRule="exact"/>
        <w:rPr>
          <w:rFonts w:hint="eastAsia" w:ascii="宋体" w:hAnsi="宋体" w:eastAsia="宋体" w:cs="宋体"/>
          <w:sz w:val="21"/>
          <w:szCs w:val="21"/>
        </w:rPr>
      </w:pPr>
      <w:r>
        <w:rPr>
          <w:rFonts w:hint="eastAsia" w:ascii="宋体" w:hAnsi="宋体" w:eastAsia="宋体" w:cs="宋体"/>
          <w:sz w:val="21"/>
          <w:szCs w:val="21"/>
        </w:rPr>
        <w:t>地址：</w:t>
      </w:r>
      <w:r>
        <w:rPr>
          <w:rFonts w:hint="eastAsia" w:ascii="宋体" w:hAnsi="宋体" w:eastAsia="宋体" w:cs="宋体"/>
          <w:sz w:val="21"/>
          <w:szCs w:val="21"/>
          <w:u w:val="single"/>
        </w:rPr>
        <w:t xml:space="preserve">                                                        </w:t>
      </w:r>
    </w:p>
    <w:p w14:paraId="4DD0F2FD">
      <w:pPr>
        <w:spacing w:line="500" w:lineRule="exact"/>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098BE1E6">
      <w:pPr>
        <w:spacing w:line="500" w:lineRule="exact"/>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p>
    <w:p w14:paraId="1D820B6D">
      <w:pPr>
        <w:spacing w:line="500" w:lineRule="exact"/>
        <w:rPr>
          <w:rFonts w:hint="eastAsia" w:ascii="宋体" w:hAnsi="宋体" w:eastAsia="宋体" w:cs="宋体"/>
          <w:sz w:val="21"/>
          <w:szCs w:val="21"/>
        </w:rPr>
      </w:pPr>
      <w:r>
        <w:rPr>
          <w:rFonts w:hint="eastAsia" w:ascii="宋体" w:hAnsi="宋体" w:eastAsia="宋体" w:cs="宋体"/>
          <w:sz w:val="21"/>
          <w:szCs w:val="21"/>
        </w:rPr>
        <w:t>姓名：</w:t>
      </w:r>
      <w:r>
        <w:rPr>
          <w:rFonts w:hint="eastAsia" w:ascii="宋体" w:hAnsi="宋体" w:eastAsia="宋体" w:cs="宋体"/>
          <w:sz w:val="21"/>
          <w:szCs w:val="21"/>
          <w:u w:val="single"/>
        </w:rPr>
        <w:t xml:space="preserve">                          </w:t>
      </w:r>
      <w:r>
        <w:rPr>
          <w:rFonts w:hint="eastAsia" w:ascii="宋体" w:hAnsi="宋体" w:eastAsia="宋体" w:cs="宋体"/>
          <w:sz w:val="21"/>
          <w:szCs w:val="21"/>
        </w:rPr>
        <w:t>性别：</w:t>
      </w:r>
      <w:r>
        <w:rPr>
          <w:rFonts w:hint="eastAsia" w:ascii="宋体" w:hAnsi="宋体" w:eastAsia="宋体" w:cs="宋体"/>
          <w:sz w:val="21"/>
          <w:szCs w:val="21"/>
          <w:u w:val="single"/>
        </w:rPr>
        <w:t xml:space="preserve">                </w:t>
      </w:r>
    </w:p>
    <w:p w14:paraId="7E5C3BAA">
      <w:pPr>
        <w:spacing w:line="500" w:lineRule="exact"/>
        <w:rPr>
          <w:rFonts w:hint="eastAsia" w:ascii="宋体" w:hAnsi="宋体" w:eastAsia="宋体" w:cs="宋体"/>
          <w:sz w:val="21"/>
          <w:szCs w:val="21"/>
        </w:rPr>
      </w:pPr>
      <w:r>
        <w:rPr>
          <w:rFonts w:hint="eastAsia" w:ascii="宋体" w:hAnsi="宋体" w:eastAsia="宋体" w:cs="宋体"/>
          <w:sz w:val="21"/>
          <w:szCs w:val="21"/>
        </w:rPr>
        <w:t>年龄：</w:t>
      </w:r>
      <w:r>
        <w:rPr>
          <w:rFonts w:hint="eastAsia" w:ascii="宋体" w:hAnsi="宋体" w:eastAsia="宋体" w:cs="宋体"/>
          <w:sz w:val="21"/>
          <w:szCs w:val="21"/>
          <w:u w:val="single"/>
        </w:rPr>
        <w:t xml:space="preserve">                          </w:t>
      </w:r>
      <w:r>
        <w:rPr>
          <w:rFonts w:hint="eastAsia" w:ascii="宋体" w:hAnsi="宋体" w:eastAsia="宋体" w:cs="宋体"/>
          <w:sz w:val="21"/>
          <w:szCs w:val="21"/>
        </w:rPr>
        <w:t>职务：</w:t>
      </w:r>
      <w:r>
        <w:rPr>
          <w:rFonts w:hint="eastAsia" w:ascii="宋体" w:hAnsi="宋体" w:eastAsia="宋体" w:cs="宋体"/>
          <w:sz w:val="21"/>
          <w:szCs w:val="21"/>
          <w:u w:val="single"/>
        </w:rPr>
        <w:t xml:space="preserve">                </w:t>
      </w:r>
    </w:p>
    <w:p w14:paraId="10A37E6B">
      <w:pPr>
        <w:spacing w:line="500"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w:t>
      </w:r>
    </w:p>
    <w:p w14:paraId="11A0972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特此证明。</w:t>
      </w:r>
    </w:p>
    <w:p w14:paraId="70F351F9">
      <w:pPr>
        <w:spacing w:line="500" w:lineRule="exact"/>
        <w:rPr>
          <w:rFonts w:hint="eastAsia" w:ascii="宋体" w:hAnsi="宋体" w:eastAsia="宋体" w:cs="宋体"/>
          <w:sz w:val="21"/>
          <w:szCs w:val="21"/>
        </w:rPr>
      </w:pPr>
      <w:r>
        <w:rPr>
          <w:rFonts w:hint="eastAsia" w:ascii="宋体" w:hAnsi="宋体" w:eastAsia="宋体" w:cs="宋体"/>
          <w:sz w:val="21"/>
          <w:szCs w:val="21"/>
        </w:rPr>
        <w:t>附</w:t>
      </w:r>
      <w:r>
        <w:rPr>
          <w:rFonts w:hint="eastAsia" w:ascii="宋体" w:hAnsi="宋体" w:eastAsia="宋体" w:cs="宋体"/>
          <w:sz w:val="21"/>
          <w:szCs w:val="21"/>
          <w:lang w:eastAsia="zh-CN"/>
        </w:rPr>
        <w:t>：</w:t>
      </w:r>
      <w:r>
        <w:rPr>
          <w:rFonts w:hint="eastAsia" w:ascii="宋体" w:hAnsi="宋体" w:eastAsia="宋体" w:cs="宋体"/>
          <w:sz w:val="21"/>
          <w:szCs w:val="21"/>
        </w:rPr>
        <w:t>法定代表人身份证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正、反</w:t>
      </w:r>
      <w:r>
        <w:rPr>
          <w:rFonts w:hint="eastAsia" w:ascii="宋体" w:hAnsi="宋体" w:eastAsia="宋体" w:cs="宋体"/>
          <w:sz w:val="21"/>
          <w:szCs w:val="21"/>
          <w:lang w:eastAsia="zh-CN"/>
        </w:rPr>
        <w:t>）</w:t>
      </w:r>
      <w:r>
        <w:rPr>
          <w:rFonts w:hint="eastAsia" w:ascii="宋体" w:hAnsi="宋体" w:eastAsia="宋体" w:cs="宋体"/>
          <w:sz w:val="21"/>
          <w:szCs w:val="21"/>
        </w:rPr>
        <w:t>扫描件</w:t>
      </w:r>
    </w:p>
    <w:p w14:paraId="45F169C1">
      <w:pPr>
        <w:spacing w:line="500" w:lineRule="exact"/>
        <w:rPr>
          <w:rFonts w:hint="eastAsia" w:ascii="宋体" w:hAnsi="宋体" w:eastAsia="宋体" w:cs="宋体"/>
          <w:sz w:val="21"/>
          <w:szCs w:val="21"/>
        </w:rPr>
      </w:pPr>
    </w:p>
    <w:p w14:paraId="149337C3">
      <w:pPr>
        <w:spacing w:line="500" w:lineRule="exact"/>
        <w:rPr>
          <w:rFonts w:hint="eastAsia" w:ascii="宋体" w:hAnsi="宋体" w:eastAsia="宋体" w:cs="宋体"/>
          <w:sz w:val="21"/>
          <w:szCs w:val="21"/>
        </w:rPr>
      </w:pPr>
    </w:p>
    <w:p w14:paraId="013F3CC9">
      <w:pPr>
        <w:spacing w:line="500" w:lineRule="exact"/>
        <w:rPr>
          <w:rFonts w:hint="eastAsia" w:ascii="宋体" w:hAnsi="宋体" w:eastAsia="宋体" w:cs="宋体"/>
          <w:sz w:val="21"/>
          <w:szCs w:val="21"/>
        </w:rPr>
      </w:pPr>
    </w:p>
    <w:p w14:paraId="00BEB0AE">
      <w:pPr>
        <w:spacing w:line="500" w:lineRule="exact"/>
        <w:rPr>
          <w:rFonts w:hint="eastAsia" w:ascii="宋体" w:hAnsi="宋体" w:eastAsia="宋体" w:cs="宋体"/>
          <w:sz w:val="21"/>
          <w:szCs w:val="21"/>
        </w:rPr>
      </w:pPr>
    </w:p>
    <w:p w14:paraId="53897A22">
      <w:pPr>
        <w:rPr>
          <w:rFonts w:hint="eastAsia" w:ascii="宋体" w:hAnsi="宋体" w:eastAsia="宋体" w:cs="宋体"/>
        </w:rPr>
      </w:pPr>
    </w:p>
    <w:p w14:paraId="1E75423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AA1D5A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298F9DAB">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6687F22E">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B9EF082">
      <w:pPr>
        <w:wordWrap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p>
    <w:p w14:paraId="501D2D5F">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Cs w:val="21"/>
        </w:rPr>
        <w:br w:type="page"/>
      </w:r>
      <w:bookmarkStart w:id="447" w:name="_Toc45177870"/>
      <w:bookmarkStart w:id="448" w:name="_Toc10500"/>
      <w:bookmarkStart w:id="449" w:name="_Toc24479"/>
      <w:r>
        <w:rPr>
          <w:rFonts w:hint="eastAsia" w:ascii="宋体" w:hAnsi="宋体" w:eastAsia="宋体" w:cs="宋体"/>
          <w:b/>
          <w:sz w:val="28"/>
          <w:szCs w:val="28"/>
        </w:rPr>
        <w:t>四、</w:t>
      </w:r>
      <w:bookmarkEnd w:id="447"/>
      <w:bookmarkEnd w:id="448"/>
      <w:bookmarkEnd w:id="449"/>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授权委托书</w:t>
      </w:r>
    </w:p>
    <w:p w14:paraId="47C81AE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本人 </w:t>
      </w:r>
      <w:r>
        <w:rPr>
          <w:rFonts w:hint="eastAsia" w:ascii="宋体" w:hAnsi="宋体" w:eastAsia="宋体" w:cs="宋体"/>
          <w:sz w:val="21"/>
          <w:szCs w:val="21"/>
          <w:u w:val="single"/>
        </w:rPr>
        <w:t xml:space="preserve">      </w:t>
      </w:r>
      <w:r>
        <w:rPr>
          <w:rFonts w:hint="eastAsia" w:ascii="宋体" w:hAnsi="宋体" w:eastAsia="宋体" w:cs="宋体"/>
          <w:sz w:val="21"/>
          <w:szCs w:val="21"/>
        </w:rPr>
        <w:t>（姓名）系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（供应商名称）的法定代表人，现委托</w:t>
      </w:r>
      <w:r>
        <w:rPr>
          <w:rFonts w:hint="eastAsia" w:ascii="宋体" w:hAnsi="宋体" w:eastAsia="宋体" w:cs="宋体"/>
          <w:sz w:val="21"/>
          <w:szCs w:val="21"/>
          <w:u w:val="single"/>
        </w:rPr>
        <w:t xml:space="preserve">        </w:t>
      </w:r>
      <w:r>
        <w:rPr>
          <w:rFonts w:hint="eastAsia" w:ascii="宋体" w:hAnsi="宋体" w:eastAsia="宋体" w:cs="宋体"/>
          <w:sz w:val="21"/>
          <w:szCs w:val="21"/>
        </w:rPr>
        <w:t>（姓名）为我方代理人。代理人根据授权，以我方名义签署、澄清、说明、补正、递交、撤回、修改</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w:t>
      </w:r>
      <w:r>
        <w:rPr>
          <w:rFonts w:hint="eastAsia" w:ascii="宋体" w:hAnsi="宋体" w:eastAsia="宋体" w:cs="宋体"/>
          <w:sz w:val="21"/>
          <w:szCs w:val="21"/>
          <w:lang w:val="en-US" w:eastAsia="zh-CN"/>
        </w:rPr>
        <w:t>及标段</w:t>
      </w:r>
      <w:r>
        <w:rPr>
          <w:rFonts w:hint="eastAsia" w:ascii="宋体" w:hAnsi="宋体" w:eastAsia="宋体" w:cs="宋体"/>
          <w:sz w:val="21"/>
          <w:szCs w:val="21"/>
        </w:rPr>
        <w:t>）竞争性磋商响应文件、签订合同和处理有关事宜，其法律后果由我方承担。</w:t>
      </w:r>
    </w:p>
    <w:p w14:paraId="59C579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2510E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代理人无转委托权。</w:t>
      </w:r>
    </w:p>
    <w:p w14:paraId="646932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附：委托代理人身份证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正、反</w:t>
      </w:r>
      <w:r>
        <w:rPr>
          <w:rFonts w:hint="eastAsia" w:ascii="宋体" w:hAnsi="宋体" w:eastAsia="宋体" w:cs="宋体"/>
          <w:sz w:val="21"/>
          <w:szCs w:val="21"/>
          <w:lang w:eastAsia="zh-CN"/>
        </w:rPr>
        <w:t>）</w:t>
      </w:r>
      <w:r>
        <w:rPr>
          <w:rFonts w:hint="eastAsia" w:ascii="宋体" w:hAnsi="宋体" w:eastAsia="宋体" w:cs="宋体"/>
          <w:sz w:val="21"/>
          <w:szCs w:val="21"/>
        </w:rPr>
        <w:t>扫描件</w:t>
      </w:r>
    </w:p>
    <w:p w14:paraId="4FD3DBFA">
      <w:pPr>
        <w:spacing w:line="360" w:lineRule="auto"/>
        <w:ind w:firstLine="420" w:firstLineChars="200"/>
        <w:rPr>
          <w:rFonts w:hint="eastAsia" w:ascii="宋体" w:hAnsi="宋体" w:eastAsia="宋体" w:cs="宋体"/>
          <w:sz w:val="21"/>
          <w:szCs w:val="21"/>
        </w:rPr>
      </w:pPr>
    </w:p>
    <w:p w14:paraId="51BAE38D">
      <w:pPr>
        <w:rPr>
          <w:rFonts w:hint="eastAsia" w:ascii="宋体" w:hAnsi="宋体" w:eastAsia="宋体" w:cs="宋体"/>
          <w:sz w:val="21"/>
          <w:szCs w:val="21"/>
        </w:rPr>
      </w:pPr>
    </w:p>
    <w:p w14:paraId="456B6985">
      <w:pPr>
        <w:rPr>
          <w:rFonts w:hint="eastAsia" w:ascii="宋体" w:hAnsi="宋体" w:eastAsia="宋体" w:cs="宋体"/>
          <w:sz w:val="21"/>
          <w:szCs w:val="21"/>
        </w:rPr>
      </w:pPr>
    </w:p>
    <w:p w14:paraId="1EC5484C">
      <w:pPr>
        <w:rPr>
          <w:rFonts w:hint="eastAsia" w:ascii="宋体" w:hAnsi="宋体" w:eastAsia="宋体" w:cs="宋体"/>
          <w:sz w:val="21"/>
          <w:szCs w:val="21"/>
        </w:rPr>
      </w:pPr>
    </w:p>
    <w:p w14:paraId="0B1CAAAB">
      <w:pPr>
        <w:rPr>
          <w:rFonts w:hint="eastAsia" w:ascii="宋体" w:hAnsi="宋体" w:eastAsia="宋体" w:cs="宋体"/>
          <w:sz w:val="21"/>
          <w:szCs w:val="21"/>
        </w:rPr>
      </w:pPr>
    </w:p>
    <w:p w14:paraId="1A0AD5E1">
      <w:pPr>
        <w:rPr>
          <w:rFonts w:hint="eastAsia" w:ascii="宋体" w:hAnsi="宋体" w:eastAsia="宋体" w:cs="宋体"/>
          <w:sz w:val="21"/>
          <w:szCs w:val="21"/>
        </w:rPr>
      </w:pPr>
    </w:p>
    <w:p w14:paraId="6A4ED9A4">
      <w:pPr>
        <w:rPr>
          <w:rFonts w:hint="eastAsia" w:ascii="宋体" w:hAnsi="宋体" w:eastAsia="宋体" w:cs="宋体"/>
          <w:sz w:val="21"/>
          <w:szCs w:val="21"/>
        </w:rPr>
      </w:pPr>
    </w:p>
    <w:p w14:paraId="6911802C">
      <w:pPr>
        <w:rPr>
          <w:rFonts w:hint="eastAsia" w:ascii="宋体" w:hAnsi="宋体" w:eastAsia="宋体" w:cs="宋体"/>
          <w:sz w:val="21"/>
          <w:szCs w:val="21"/>
        </w:rPr>
      </w:pPr>
    </w:p>
    <w:p w14:paraId="54DAEAD3">
      <w:pPr>
        <w:rPr>
          <w:rFonts w:hint="eastAsia" w:ascii="宋体" w:hAnsi="宋体" w:eastAsia="宋体" w:cs="宋体"/>
          <w:sz w:val="21"/>
          <w:szCs w:val="21"/>
        </w:rPr>
      </w:pPr>
    </w:p>
    <w:p w14:paraId="02AFA869">
      <w:pPr>
        <w:rPr>
          <w:rFonts w:hint="eastAsia" w:ascii="宋体" w:hAnsi="宋体" w:eastAsia="宋体" w:cs="宋体"/>
          <w:sz w:val="21"/>
          <w:szCs w:val="21"/>
        </w:rPr>
      </w:pPr>
    </w:p>
    <w:p w14:paraId="544CB3C7">
      <w:pPr>
        <w:rPr>
          <w:rFonts w:hint="eastAsia" w:ascii="宋体" w:hAnsi="宋体" w:eastAsia="宋体" w:cs="宋体"/>
          <w:sz w:val="21"/>
          <w:szCs w:val="21"/>
        </w:rPr>
      </w:pPr>
    </w:p>
    <w:p w14:paraId="62105E18">
      <w:pPr>
        <w:rPr>
          <w:rFonts w:hint="eastAsia" w:ascii="宋体" w:hAnsi="宋体" w:eastAsia="宋体" w:cs="宋体"/>
          <w:sz w:val="21"/>
          <w:szCs w:val="21"/>
        </w:rPr>
      </w:pPr>
    </w:p>
    <w:p w14:paraId="1BA064F2">
      <w:pPr>
        <w:rPr>
          <w:rFonts w:hint="eastAsia" w:ascii="宋体" w:hAnsi="宋体" w:eastAsia="宋体" w:cs="宋体"/>
          <w:sz w:val="21"/>
          <w:szCs w:val="21"/>
        </w:rPr>
      </w:pPr>
    </w:p>
    <w:p w14:paraId="151B4290">
      <w:pPr>
        <w:rPr>
          <w:rFonts w:hint="eastAsia" w:ascii="宋体" w:hAnsi="宋体" w:eastAsia="宋体" w:cs="宋体"/>
          <w:sz w:val="21"/>
          <w:szCs w:val="21"/>
        </w:rPr>
      </w:pPr>
    </w:p>
    <w:p w14:paraId="1663475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702C09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739E1E4">
      <w:pPr>
        <w:spacing w:line="360" w:lineRule="auto"/>
        <w:rPr>
          <w:rFonts w:hint="eastAsia" w:ascii="宋体" w:hAnsi="宋体" w:eastAsia="宋体" w:cs="宋体"/>
          <w:b/>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w:t>
      </w:r>
    </w:p>
    <w:p w14:paraId="58FA6236">
      <w:pPr>
        <w:spacing w:before="326" w:beforeLines="100" w:after="163" w:afterLines="50"/>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 w:val="21"/>
          <w:szCs w:val="18"/>
        </w:rPr>
        <w:t>注：供应商“法定代表人 ”直接参加投标及签署相关文件的无须提供该委托书。</w:t>
      </w:r>
    </w:p>
    <w:p w14:paraId="076ADA65">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sz w:val="28"/>
          <w:szCs w:val="28"/>
        </w:rPr>
        <w:br w:type="page"/>
      </w:r>
      <w:bookmarkStart w:id="450" w:name="_Toc45177872"/>
      <w:bookmarkStart w:id="451" w:name="_Toc935"/>
      <w:bookmarkStart w:id="452" w:name="_Toc31192"/>
      <w:r>
        <w:rPr>
          <w:rFonts w:hint="eastAsia" w:ascii="宋体" w:hAnsi="宋体" w:eastAsia="宋体" w:cs="宋体"/>
          <w:b/>
          <w:sz w:val="28"/>
          <w:szCs w:val="28"/>
        </w:rPr>
        <w:t>五、资格审查资料</w:t>
      </w:r>
      <w:bookmarkEnd w:id="450"/>
      <w:bookmarkEnd w:id="451"/>
      <w:bookmarkEnd w:id="452"/>
    </w:p>
    <w:p w14:paraId="72D89F13">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2"/>
        <w:rPr>
          <w:rFonts w:ascii="宋体" w:hAnsi="宋体"/>
          <w:sz w:val="24"/>
          <w:szCs w:val="24"/>
        </w:rPr>
      </w:pPr>
      <w:bookmarkStart w:id="453" w:name="_Toc485232666"/>
      <w:bookmarkStart w:id="454" w:name="_Toc62456156"/>
      <w:bookmarkStart w:id="455" w:name="_Toc486261829"/>
      <w:bookmarkStart w:id="456" w:name="_Toc8678"/>
      <w:bookmarkStart w:id="457" w:name="_Toc45177875"/>
      <w:bookmarkStart w:id="458" w:name="_Toc13470"/>
      <w:r>
        <w:rPr>
          <w:rFonts w:ascii="宋体" w:hAnsi="宋体"/>
          <w:sz w:val="24"/>
          <w:szCs w:val="24"/>
        </w:rPr>
        <w:t>（一）供应商基本情况表</w:t>
      </w:r>
      <w:bookmarkEnd w:id="453"/>
      <w:bookmarkEnd w:id="454"/>
      <w:bookmarkEnd w:id="455"/>
    </w:p>
    <w:tbl>
      <w:tblPr>
        <w:tblStyle w:val="34"/>
        <w:tblW w:w="91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2109"/>
        <w:gridCol w:w="1455"/>
        <w:gridCol w:w="2934"/>
      </w:tblGrid>
      <w:tr w14:paraId="4166E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1DA89E0">
            <w:pPr>
              <w:topLinePunct/>
              <w:spacing w:line="440" w:lineRule="exact"/>
              <w:jc w:val="center"/>
              <w:rPr>
                <w:rFonts w:ascii="宋体" w:hAnsi="宋体"/>
                <w:sz w:val="21"/>
                <w:szCs w:val="21"/>
              </w:rPr>
            </w:pPr>
            <w:r>
              <w:rPr>
                <w:rFonts w:ascii="宋体" w:hAnsi="宋体"/>
                <w:sz w:val="21"/>
                <w:szCs w:val="21"/>
              </w:rPr>
              <w:t>供应商名称</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E1014FB">
            <w:pPr>
              <w:topLinePunct/>
              <w:spacing w:line="440" w:lineRule="exact"/>
              <w:jc w:val="center"/>
              <w:rPr>
                <w:rFonts w:ascii="宋体" w:hAnsi="宋体"/>
                <w:sz w:val="21"/>
                <w:szCs w:val="21"/>
              </w:rPr>
            </w:pPr>
          </w:p>
        </w:tc>
      </w:tr>
      <w:tr w14:paraId="59627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46A609A">
            <w:pPr>
              <w:topLinePunct/>
              <w:spacing w:line="440" w:lineRule="exact"/>
              <w:jc w:val="center"/>
              <w:rPr>
                <w:rFonts w:ascii="宋体" w:hAnsi="宋体"/>
                <w:sz w:val="21"/>
                <w:szCs w:val="21"/>
              </w:rPr>
            </w:pPr>
            <w:r>
              <w:rPr>
                <w:rFonts w:ascii="宋体" w:hAnsi="宋体"/>
                <w:sz w:val="21"/>
                <w:szCs w:val="21"/>
              </w:rPr>
              <w:t>注册地址</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1755EB82">
            <w:pPr>
              <w:topLinePunct/>
              <w:spacing w:line="440" w:lineRule="exact"/>
              <w:jc w:val="center"/>
              <w:rPr>
                <w:rFonts w:ascii="宋体" w:hAnsi="宋体"/>
                <w:sz w:val="21"/>
                <w:szCs w:val="21"/>
              </w:rPr>
            </w:pPr>
          </w:p>
        </w:tc>
      </w:tr>
      <w:tr w14:paraId="7239A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E86316C">
            <w:pPr>
              <w:topLinePunct/>
              <w:spacing w:line="440" w:lineRule="exact"/>
              <w:jc w:val="center"/>
              <w:rPr>
                <w:rFonts w:ascii="宋体" w:hAnsi="宋体"/>
                <w:sz w:val="21"/>
                <w:szCs w:val="21"/>
              </w:rPr>
            </w:pPr>
            <w:r>
              <w:rPr>
                <w:rFonts w:ascii="宋体" w:hAnsi="宋体"/>
                <w:sz w:val="21"/>
                <w:szCs w:val="21"/>
              </w:rPr>
              <w:t>邮政编码</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0F9C26D">
            <w:pPr>
              <w:topLinePunct/>
              <w:spacing w:line="440" w:lineRule="exact"/>
              <w:jc w:val="center"/>
              <w:rPr>
                <w:rFonts w:ascii="宋体" w:hAnsi="宋体"/>
                <w:sz w:val="21"/>
                <w:szCs w:val="21"/>
              </w:rPr>
            </w:pPr>
          </w:p>
        </w:tc>
      </w:tr>
      <w:tr w14:paraId="4F4109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7787B991">
            <w:pPr>
              <w:topLinePunct/>
              <w:spacing w:line="440" w:lineRule="exact"/>
              <w:jc w:val="center"/>
              <w:rPr>
                <w:rFonts w:ascii="宋体" w:hAnsi="宋体"/>
                <w:sz w:val="21"/>
                <w:szCs w:val="21"/>
              </w:rPr>
            </w:pPr>
            <w:r>
              <w:rPr>
                <w:rFonts w:ascii="宋体" w:hAnsi="宋体"/>
                <w:sz w:val="21"/>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61961B2">
            <w:pPr>
              <w:topLinePunct/>
              <w:spacing w:line="440" w:lineRule="exact"/>
              <w:jc w:val="center"/>
              <w:rPr>
                <w:rFonts w:ascii="宋体" w:hAnsi="宋体"/>
                <w:sz w:val="21"/>
                <w:szCs w:val="21"/>
              </w:rPr>
            </w:pPr>
            <w:r>
              <w:rPr>
                <w:rFonts w:ascii="宋体" w:hAnsi="宋体"/>
                <w:sz w:val="21"/>
                <w:szCs w:val="21"/>
              </w:rPr>
              <w:t>联系人</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155FECB">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3FABEA0">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手 机</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34284466">
            <w:pPr>
              <w:topLinePunct/>
              <w:spacing w:line="440" w:lineRule="exact"/>
              <w:jc w:val="center"/>
              <w:rPr>
                <w:rFonts w:ascii="宋体" w:hAnsi="宋体"/>
                <w:sz w:val="21"/>
                <w:szCs w:val="21"/>
              </w:rPr>
            </w:pPr>
          </w:p>
        </w:tc>
      </w:tr>
      <w:tr w14:paraId="44AD9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62449B04">
            <w:pPr>
              <w:topLinePunct/>
              <w:spacing w:line="440" w:lineRule="exact"/>
              <w:jc w:val="center"/>
              <w:rPr>
                <w:rFonts w:ascii="宋体" w:hAnsi="宋体"/>
                <w:sz w:val="21"/>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5B8E7F8">
            <w:pPr>
              <w:topLinePunct/>
              <w:spacing w:line="440" w:lineRule="exact"/>
              <w:jc w:val="center"/>
              <w:rPr>
                <w:rFonts w:ascii="宋体" w:hAnsi="宋体"/>
                <w:sz w:val="21"/>
                <w:szCs w:val="21"/>
              </w:rPr>
            </w:pPr>
            <w:r>
              <w:rPr>
                <w:rFonts w:ascii="宋体" w:hAnsi="宋体"/>
                <w:sz w:val="21"/>
                <w:szCs w:val="21"/>
              </w:rPr>
              <w:t>传  真</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27B452D">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B29CE8D">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邮 箱</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602BD779">
            <w:pPr>
              <w:topLinePunct/>
              <w:spacing w:line="440" w:lineRule="exact"/>
              <w:jc w:val="center"/>
              <w:rPr>
                <w:rFonts w:ascii="宋体" w:hAnsi="宋体"/>
                <w:sz w:val="21"/>
                <w:szCs w:val="21"/>
              </w:rPr>
            </w:pPr>
          </w:p>
        </w:tc>
      </w:tr>
      <w:tr w14:paraId="51357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D35889A">
            <w:pPr>
              <w:topLinePunct/>
              <w:spacing w:line="440" w:lineRule="exact"/>
              <w:jc w:val="center"/>
              <w:rPr>
                <w:rFonts w:ascii="宋体" w:hAnsi="宋体"/>
                <w:sz w:val="21"/>
                <w:szCs w:val="21"/>
              </w:rPr>
            </w:pPr>
            <w:r>
              <w:rPr>
                <w:rFonts w:ascii="宋体" w:hAnsi="宋体"/>
                <w:sz w:val="21"/>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0585F96">
            <w:pPr>
              <w:topLinePunct/>
              <w:spacing w:line="440" w:lineRule="exact"/>
              <w:jc w:val="center"/>
              <w:rPr>
                <w:rFonts w:ascii="宋体" w:hAnsi="宋体"/>
                <w:sz w:val="21"/>
                <w:szCs w:val="21"/>
              </w:rPr>
            </w:pPr>
            <w:r>
              <w:rPr>
                <w:rFonts w:ascii="宋体" w:hAnsi="宋体"/>
                <w:sz w:val="21"/>
                <w:szCs w:val="21"/>
              </w:rPr>
              <w:t>姓</w:t>
            </w:r>
            <w:r>
              <w:rPr>
                <w:rFonts w:hint="eastAsia" w:ascii="宋体" w:hAnsi="宋体"/>
                <w:sz w:val="21"/>
                <w:szCs w:val="21"/>
                <w:lang w:val="en-US" w:eastAsia="zh-CN"/>
              </w:rPr>
              <w:t xml:space="preserve"> </w:t>
            </w:r>
            <w:r>
              <w:rPr>
                <w:rFonts w:ascii="宋体" w:hAnsi="宋体"/>
                <w:sz w:val="21"/>
                <w:szCs w:val="21"/>
              </w:rPr>
              <w:t>名</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68829D5">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CB3D1D6">
            <w:pPr>
              <w:topLinePunct/>
              <w:spacing w:line="440" w:lineRule="exact"/>
              <w:jc w:val="center"/>
              <w:rPr>
                <w:rFonts w:ascii="宋体" w:hAnsi="宋体"/>
                <w:sz w:val="21"/>
                <w:szCs w:val="21"/>
              </w:rPr>
            </w:pPr>
            <w:r>
              <w:rPr>
                <w:rFonts w:ascii="宋体" w:hAnsi="宋体"/>
                <w:sz w:val="21"/>
                <w:szCs w:val="21"/>
              </w:rPr>
              <w:t>电</w:t>
            </w:r>
            <w:r>
              <w:rPr>
                <w:rFonts w:hint="eastAsia" w:ascii="宋体" w:hAnsi="宋体"/>
                <w:sz w:val="21"/>
                <w:szCs w:val="21"/>
                <w:lang w:val="en-US" w:eastAsia="zh-CN"/>
              </w:rPr>
              <w:t xml:space="preserve"> </w:t>
            </w:r>
            <w:r>
              <w:rPr>
                <w:rFonts w:ascii="宋体" w:hAnsi="宋体"/>
                <w:sz w:val="21"/>
                <w:szCs w:val="21"/>
              </w:rPr>
              <w:t>话</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5769401D">
            <w:pPr>
              <w:topLinePunct/>
              <w:spacing w:line="440" w:lineRule="exact"/>
              <w:jc w:val="center"/>
              <w:rPr>
                <w:rFonts w:ascii="宋体" w:hAnsi="宋体"/>
                <w:sz w:val="21"/>
                <w:szCs w:val="21"/>
              </w:rPr>
            </w:pPr>
          </w:p>
        </w:tc>
      </w:tr>
      <w:tr w14:paraId="50738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6F1C999">
            <w:pPr>
              <w:topLinePunct/>
              <w:spacing w:line="440" w:lineRule="exact"/>
              <w:jc w:val="center"/>
              <w:rPr>
                <w:rFonts w:ascii="宋体" w:hAnsi="宋体"/>
                <w:sz w:val="21"/>
                <w:szCs w:val="21"/>
              </w:rPr>
            </w:pPr>
            <w:r>
              <w:rPr>
                <w:rFonts w:ascii="宋体" w:hAnsi="宋体"/>
                <w:sz w:val="21"/>
                <w:szCs w:val="21"/>
              </w:rPr>
              <w:t>成立时间</w:t>
            </w:r>
          </w:p>
        </w:tc>
        <w:tc>
          <w:tcPr>
            <w:tcW w:w="3007" w:type="dxa"/>
            <w:gridSpan w:val="2"/>
            <w:tcBorders>
              <w:top w:val="single" w:color="auto" w:sz="4" w:space="0"/>
              <w:left w:val="single" w:color="auto" w:sz="4" w:space="0"/>
              <w:bottom w:val="single" w:color="auto" w:sz="4" w:space="0"/>
              <w:right w:val="single" w:color="auto" w:sz="4" w:space="0"/>
            </w:tcBorders>
            <w:noWrap w:val="0"/>
            <w:vAlign w:val="center"/>
          </w:tcPr>
          <w:p w14:paraId="11E928E0">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68733A1">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员工总人数</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2AF04800">
            <w:pPr>
              <w:topLinePunct/>
              <w:spacing w:line="440" w:lineRule="exact"/>
              <w:jc w:val="center"/>
              <w:rPr>
                <w:rFonts w:ascii="宋体" w:hAnsi="宋体"/>
                <w:sz w:val="21"/>
                <w:szCs w:val="21"/>
              </w:rPr>
            </w:pPr>
          </w:p>
        </w:tc>
      </w:tr>
      <w:tr w14:paraId="294A3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3D72EB5">
            <w:pPr>
              <w:topLinePunct/>
              <w:spacing w:line="440" w:lineRule="exact"/>
              <w:jc w:val="center"/>
              <w:rPr>
                <w:rFonts w:ascii="宋体" w:hAnsi="宋体"/>
                <w:sz w:val="21"/>
                <w:szCs w:val="21"/>
              </w:rPr>
            </w:pPr>
            <w:r>
              <w:rPr>
                <w:rFonts w:ascii="宋体" w:hAnsi="宋体"/>
                <w:sz w:val="21"/>
                <w:szCs w:val="21"/>
              </w:rPr>
              <w:t>统一社会信用代码</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FACA816">
            <w:pPr>
              <w:topLinePunct/>
              <w:spacing w:line="440" w:lineRule="exact"/>
              <w:jc w:val="center"/>
              <w:rPr>
                <w:rFonts w:ascii="宋体" w:hAnsi="宋体"/>
                <w:sz w:val="21"/>
                <w:szCs w:val="21"/>
              </w:rPr>
            </w:pPr>
          </w:p>
        </w:tc>
      </w:tr>
      <w:tr w14:paraId="1EA23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B515080">
            <w:pPr>
              <w:topLinePunct/>
              <w:spacing w:line="440" w:lineRule="exact"/>
              <w:jc w:val="center"/>
              <w:rPr>
                <w:rFonts w:ascii="宋体" w:hAnsi="宋体"/>
                <w:sz w:val="21"/>
                <w:szCs w:val="21"/>
              </w:rPr>
            </w:pPr>
            <w:r>
              <w:rPr>
                <w:rFonts w:ascii="宋体" w:hAnsi="宋体"/>
                <w:sz w:val="21"/>
                <w:szCs w:val="21"/>
              </w:rPr>
              <w:t>注册资金</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70474011">
            <w:pPr>
              <w:topLinePunct/>
              <w:spacing w:line="440" w:lineRule="exact"/>
              <w:jc w:val="center"/>
              <w:rPr>
                <w:rFonts w:ascii="宋体" w:hAnsi="宋体"/>
                <w:sz w:val="21"/>
                <w:szCs w:val="21"/>
              </w:rPr>
            </w:pPr>
          </w:p>
        </w:tc>
      </w:tr>
      <w:tr w14:paraId="62B6DF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295CD6B2">
            <w:pPr>
              <w:topLinePunct/>
              <w:spacing w:line="440" w:lineRule="exact"/>
              <w:jc w:val="center"/>
              <w:rPr>
                <w:rFonts w:ascii="宋体" w:hAnsi="宋体"/>
                <w:sz w:val="21"/>
                <w:szCs w:val="21"/>
              </w:rPr>
            </w:pPr>
            <w:r>
              <w:rPr>
                <w:rFonts w:ascii="宋体" w:hAnsi="宋体"/>
                <w:sz w:val="21"/>
                <w:szCs w:val="21"/>
              </w:rPr>
              <w:t>开户银行</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729B2540">
            <w:pPr>
              <w:topLinePunct/>
              <w:spacing w:line="440" w:lineRule="exact"/>
              <w:jc w:val="center"/>
              <w:rPr>
                <w:rFonts w:ascii="宋体" w:hAnsi="宋体"/>
                <w:sz w:val="21"/>
                <w:szCs w:val="21"/>
              </w:rPr>
            </w:pPr>
          </w:p>
        </w:tc>
      </w:tr>
      <w:tr w14:paraId="7C8CAD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6FED59D">
            <w:pPr>
              <w:topLinePunct/>
              <w:spacing w:line="440" w:lineRule="exact"/>
              <w:jc w:val="center"/>
              <w:rPr>
                <w:rFonts w:ascii="宋体" w:hAnsi="宋体"/>
                <w:sz w:val="21"/>
                <w:szCs w:val="21"/>
              </w:rPr>
            </w:pPr>
            <w:r>
              <w:rPr>
                <w:rFonts w:ascii="宋体" w:hAnsi="宋体"/>
                <w:sz w:val="21"/>
                <w:szCs w:val="21"/>
              </w:rPr>
              <w:t>账号</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5F8A62B5">
            <w:pPr>
              <w:topLinePunct/>
              <w:spacing w:line="440" w:lineRule="exact"/>
              <w:jc w:val="center"/>
              <w:rPr>
                <w:rFonts w:ascii="宋体" w:hAnsi="宋体"/>
                <w:sz w:val="21"/>
                <w:szCs w:val="21"/>
              </w:rPr>
            </w:pPr>
          </w:p>
        </w:tc>
      </w:tr>
      <w:tr w14:paraId="1AA47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noWrap w:val="0"/>
            <w:vAlign w:val="center"/>
          </w:tcPr>
          <w:p w14:paraId="38DCFAD0">
            <w:pPr>
              <w:topLinePunct/>
              <w:spacing w:line="440" w:lineRule="exact"/>
              <w:ind w:firstLine="210" w:firstLineChars="100"/>
              <w:jc w:val="center"/>
              <w:rPr>
                <w:rFonts w:ascii="宋体" w:hAnsi="宋体"/>
                <w:sz w:val="21"/>
                <w:szCs w:val="21"/>
              </w:rPr>
            </w:pPr>
            <w:r>
              <w:rPr>
                <w:rFonts w:ascii="宋体" w:hAnsi="宋体"/>
                <w:sz w:val="21"/>
                <w:szCs w:val="21"/>
              </w:rPr>
              <w:t>经营范围</w:t>
            </w:r>
          </w:p>
        </w:tc>
        <w:tc>
          <w:tcPr>
            <w:tcW w:w="7396" w:type="dxa"/>
            <w:gridSpan w:val="4"/>
            <w:tcBorders>
              <w:top w:val="single" w:color="auto" w:sz="4" w:space="0"/>
              <w:left w:val="single" w:color="auto" w:sz="4" w:space="0"/>
              <w:right w:val="single" w:color="auto" w:sz="4" w:space="0"/>
            </w:tcBorders>
            <w:noWrap w:val="0"/>
            <w:vAlign w:val="center"/>
          </w:tcPr>
          <w:p w14:paraId="787889C4">
            <w:pPr>
              <w:topLinePunct/>
              <w:spacing w:line="440" w:lineRule="exact"/>
              <w:jc w:val="center"/>
              <w:rPr>
                <w:rFonts w:ascii="宋体" w:hAnsi="宋体"/>
                <w:sz w:val="21"/>
                <w:szCs w:val="21"/>
              </w:rPr>
            </w:pPr>
          </w:p>
          <w:p w14:paraId="3869DBB2">
            <w:pPr>
              <w:topLinePunct/>
              <w:spacing w:line="440" w:lineRule="exact"/>
              <w:jc w:val="center"/>
              <w:rPr>
                <w:rFonts w:ascii="宋体" w:hAnsi="宋体"/>
                <w:sz w:val="21"/>
                <w:szCs w:val="21"/>
              </w:rPr>
            </w:pPr>
          </w:p>
          <w:p w14:paraId="21C89A94">
            <w:pPr>
              <w:topLinePunct/>
              <w:spacing w:line="440" w:lineRule="exact"/>
              <w:jc w:val="center"/>
              <w:rPr>
                <w:rFonts w:ascii="宋体" w:hAnsi="宋体"/>
                <w:sz w:val="21"/>
                <w:szCs w:val="21"/>
              </w:rPr>
            </w:pPr>
          </w:p>
          <w:p w14:paraId="142A1CD0">
            <w:pPr>
              <w:topLinePunct/>
              <w:spacing w:line="440" w:lineRule="exact"/>
              <w:jc w:val="center"/>
              <w:rPr>
                <w:rFonts w:ascii="宋体" w:hAnsi="宋体"/>
                <w:sz w:val="21"/>
                <w:szCs w:val="21"/>
              </w:rPr>
            </w:pPr>
          </w:p>
          <w:p w14:paraId="45882919">
            <w:pPr>
              <w:topLinePunct/>
              <w:spacing w:line="440" w:lineRule="exact"/>
              <w:rPr>
                <w:rFonts w:ascii="宋体" w:hAnsi="宋体"/>
                <w:sz w:val="21"/>
                <w:szCs w:val="21"/>
              </w:rPr>
            </w:pPr>
          </w:p>
        </w:tc>
      </w:tr>
      <w:tr w14:paraId="7AA762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6CE7B90">
            <w:pPr>
              <w:topLinePunct/>
              <w:spacing w:line="440" w:lineRule="exact"/>
              <w:jc w:val="center"/>
              <w:rPr>
                <w:rFonts w:ascii="宋体" w:hAnsi="宋体"/>
                <w:sz w:val="21"/>
                <w:szCs w:val="21"/>
              </w:rPr>
            </w:pPr>
            <w:r>
              <w:rPr>
                <w:rFonts w:ascii="宋体" w:hAnsi="宋体"/>
                <w:sz w:val="21"/>
                <w:szCs w:val="21"/>
              </w:rPr>
              <w:t>备注</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006CBAB4">
            <w:pPr>
              <w:topLinePunct/>
              <w:spacing w:line="440" w:lineRule="exact"/>
              <w:jc w:val="center"/>
              <w:rPr>
                <w:rFonts w:ascii="宋体" w:hAnsi="宋体"/>
                <w:sz w:val="21"/>
                <w:szCs w:val="21"/>
              </w:rPr>
            </w:pPr>
          </w:p>
        </w:tc>
      </w:tr>
    </w:tbl>
    <w:p w14:paraId="4E076725">
      <w:pPr>
        <w:topLinePunct/>
        <w:spacing w:line="440" w:lineRule="exact"/>
        <w:jc w:val="left"/>
        <w:rPr>
          <w:rFonts w:ascii="宋体" w:hAnsi="宋体"/>
          <w:sz w:val="20"/>
        </w:rPr>
      </w:pPr>
    </w:p>
    <w:p w14:paraId="5B02C13C">
      <w:pPr>
        <w:rPr>
          <w:rFonts w:hint="eastAsia" w:ascii="宋体" w:hAnsi="宋体" w:eastAsia="宋体" w:cs="宋体"/>
          <w:bCs/>
          <w:color w:val="000000" w:themeColor="text1"/>
          <w:szCs w:val="18"/>
        </w:rPr>
      </w:pPr>
      <w:bookmarkStart w:id="459" w:name="_Toc14588"/>
      <w:bookmarkStart w:id="460" w:name="_Toc6643"/>
      <w:r>
        <w:rPr>
          <w:rFonts w:hint="eastAsia" w:ascii="宋体" w:hAnsi="宋体" w:eastAsia="宋体" w:cs="宋体"/>
          <w:bCs/>
          <w:color w:val="000000" w:themeColor="text1"/>
          <w:szCs w:val="18"/>
        </w:rPr>
        <w:br w:type="page"/>
      </w:r>
    </w:p>
    <w:p w14:paraId="2A18999B">
      <w:pPr>
        <w:spacing w:line="360" w:lineRule="auto"/>
        <w:ind w:firstLine="480" w:firstLineChars="200"/>
        <w:jc w:val="center"/>
        <w:outlineLvl w:val="2"/>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t>（</w:t>
      </w:r>
      <w:r>
        <w:rPr>
          <w:rFonts w:hint="eastAsia" w:ascii="宋体" w:hAnsi="宋体" w:cs="宋体"/>
          <w:bCs/>
          <w:color w:val="000000" w:themeColor="text1"/>
          <w:szCs w:val="18"/>
          <w:lang w:val="en-US" w:eastAsia="zh-CN"/>
        </w:rPr>
        <w:t>二</w:t>
      </w:r>
      <w:r>
        <w:rPr>
          <w:rFonts w:hint="eastAsia" w:ascii="宋体" w:hAnsi="宋体" w:eastAsia="宋体" w:cs="宋体"/>
          <w:bCs/>
          <w:color w:val="000000" w:themeColor="text1"/>
          <w:szCs w:val="18"/>
        </w:rPr>
        <w:t>）政府采购供应商信用承诺函</w:t>
      </w:r>
      <w:bookmarkEnd w:id="459"/>
      <w:bookmarkEnd w:id="460"/>
    </w:p>
    <w:p w14:paraId="0CC9906D">
      <w:pPr>
        <w:spacing w:line="360" w:lineRule="auto"/>
        <w:ind w:firstLine="482" w:firstLineChars="200"/>
        <w:jc w:val="center"/>
        <w:rPr>
          <w:rFonts w:hint="eastAsia" w:ascii="宋体" w:hAnsi="宋体" w:eastAsia="宋体" w:cs="宋体"/>
          <w:b/>
          <w:bCs/>
          <w:color w:val="000000" w:themeColor="text1"/>
          <w:szCs w:val="18"/>
        </w:rPr>
      </w:pPr>
    </w:p>
    <w:p w14:paraId="2BB6532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致（采购人或采购代理机构）：</w:t>
      </w:r>
    </w:p>
    <w:p w14:paraId="0CA0E9C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（一）</w:t>
      </w:r>
      <w:r>
        <w:rPr>
          <w:rFonts w:hint="eastAsia" w:ascii="宋体" w:hAnsi="宋体" w:eastAsia="宋体" w:cs="宋体"/>
          <w:color w:val="000000" w:themeColor="text1"/>
          <w:sz w:val="21"/>
          <w:szCs w:val="15"/>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（二）</w:t>
      </w:r>
      <w:r>
        <w:rPr>
          <w:rFonts w:hint="eastAsia" w:ascii="宋体" w:hAnsi="宋体" w:eastAsia="宋体" w:cs="宋体"/>
          <w:color w:val="000000" w:themeColor="text1"/>
          <w:sz w:val="21"/>
          <w:szCs w:val="15"/>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（三）</w:t>
      </w:r>
      <w:r>
        <w:rPr>
          <w:rFonts w:hint="eastAsia" w:ascii="宋体" w:hAnsi="宋体" w:eastAsia="宋体" w:cs="宋体"/>
          <w:color w:val="000000" w:themeColor="text1"/>
          <w:sz w:val="21"/>
          <w:szCs w:val="15"/>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（四）</w:t>
      </w:r>
      <w:r>
        <w:rPr>
          <w:rFonts w:hint="eastAsia" w:ascii="宋体" w:hAnsi="宋体" w:eastAsia="宋体" w:cs="宋体"/>
          <w:color w:val="000000" w:themeColor="text1"/>
          <w:sz w:val="21"/>
          <w:szCs w:val="15"/>
        </w:rPr>
        <w:t>有依法缴纳税收和社会保障资金的良好记录；</w:t>
      </w:r>
    </w:p>
    <w:p w14:paraId="16DB9AD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（五）</w:t>
      </w:r>
      <w:r>
        <w:rPr>
          <w:rFonts w:hint="eastAsia" w:ascii="宋体" w:hAnsi="宋体" w:eastAsia="宋体" w:cs="宋体"/>
          <w:color w:val="000000" w:themeColor="text1"/>
          <w:sz w:val="21"/>
          <w:szCs w:val="15"/>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rPr>
      </w:pPr>
    </w:p>
    <w:p w14:paraId="398F84ED">
      <w:pPr>
        <w:pStyle w:val="33"/>
        <w:ind w:left="0" w:leftChars="0" w:firstLine="0" w:firstLineChars="0"/>
      </w:pPr>
    </w:p>
    <w:p w14:paraId="54F14ACA">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108C2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BAB57D5">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387F75D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CFB3088">
      <w:pPr>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br w:type="page"/>
      </w:r>
    </w:p>
    <w:p w14:paraId="6354B145">
      <w:pPr>
        <w:numPr>
          <w:ilvl w:val="0"/>
          <w:numId w:val="0"/>
        </w:numPr>
        <w:jc w:val="center"/>
        <w:rPr>
          <w:rFonts w:hint="default" w:ascii="宋体" w:hAnsi="宋体" w:eastAsia="宋体" w:cs="宋体"/>
          <w:bCs/>
          <w:color w:val="000000" w:themeColor="text1"/>
          <w:szCs w:val="18"/>
          <w:lang w:val="en-US" w:eastAsia="zh-CN"/>
        </w:rPr>
      </w:pPr>
      <w:r>
        <w:rPr>
          <w:rFonts w:hint="eastAsia" w:ascii="宋体" w:hAnsi="宋体" w:eastAsia="宋体" w:cs="宋体"/>
          <w:bCs/>
          <w:color w:val="000000" w:themeColor="text1"/>
          <w:kern w:val="2"/>
          <w:sz w:val="24"/>
          <w:szCs w:val="18"/>
          <w:lang w:val="en-US" w:eastAsia="zh-CN" w:bidi="ar-SA"/>
        </w:rPr>
        <w:t>（三）</w:t>
      </w:r>
      <w:r>
        <w:rPr>
          <w:rFonts w:hint="eastAsia" w:ascii="宋体" w:hAnsi="宋体" w:eastAsia="宋体" w:cs="宋体"/>
          <w:bCs/>
          <w:color w:val="000000" w:themeColor="text1"/>
          <w:szCs w:val="18"/>
          <w:lang w:val="en-US" w:eastAsia="zh-CN"/>
        </w:rPr>
        <w:t>其他资格证明材料</w:t>
      </w:r>
    </w:p>
    <w:p w14:paraId="014BE97C">
      <w:pPr>
        <w:rPr>
          <w:rFonts w:hint="eastAsia"/>
        </w:rPr>
      </w:pPr>
    </w:p>
    <w:p w14:paraId="5D78DBCF">
      <w:pPr>
        <w:rPr>
          <w:rFonts w:hint="eastAsia"/>
        </w:rPr>
      </w:pPr>
    </w:p>
    <w:p w14:paraId="71C29CA9">
      <w:pPr>
        <w:rPr>
          <w:rFonts w:hint="eastAsia"/>
        </w:rPr>
      </w:pPr>
    </w:p>
    <w:p w14:paraId="098393B1">
      <w:pPr>
        <w:rPr>
          <w:rFonts w:hint="eastAsia"/>
        </w:rPr>
      </w:pPr>
    </w:p>
    <w:p w14:paraId="1546D95E">
      <w:pPr>
        <w:pStyle w:val="3"/>
        <w:keepNext w:val="0"/>
        <w:widowControl w:val="0"/>
        <w:jc w:val="center"/>
        <w:rPr>
          <w:rFonts w:hint="eastAsia" w:ascii="宋体" w:hAnsi="宋体" w:eastAsia="宋体" w:cs="Times New Roman"/>
          <w:b/>
          <w:bCs/>
          <w:sz w:val="30"/>
          <w:szCs w:val="30"/>
          <w:lang w:eastAsia="zh-CN"/>
        </w:rPr>
      </w:pPr>
      <w:r>
        <w:rPr>
          <w:rFonts w:hint="eastAsia" w:ascii="宋体" w:hAnsi="宋体" w:eastAsia="宋体" w:cs="宋体"/>
          <w:b/>
          <w:sz w:val="28"/>
          <w:szCs w:val="28"/>
        </w:rPr>
        <w:br w:type="page"/>
      </w:r>
      <w:bookmarkStart w:id="461" w:name="_Toc153789129"/>
      <w:r>
        <w:rPr>
          <w:rFonts w:hint="eastAsia" w:ascii="宋体" w:hAnsi="宋体" w:eastAsia="宋体" w:cs="宋体"/>
          <w:b/>
          <w:sz w:val="28"/>
          <w:szCs w:val="28"/>
          <w:lang w:val="en-US" w:eastAsia="zh-CN"/>
        </w:rPr>
        <w:t>六</w:t>
      </w:r>
      <w:r>
        <w:rPr>
          <w:rFonts w:hint="eastAsia" w:ascii="宋体" w:hAnsi="宋体" w:eastAsia="宋体" w:cs="Times New Roman"/>
          <w:b/>
          <w:bCs/>
          <w:sz w:val="30"/>
          <w:szCs w:val="30"/>
        </w:rPr>
        <w:t>、</w:t>
      </w:r>
      <w:bookmarkEnd w:id="461"/>
      <w:r>
        <w:rPr>
          <w:rFonts w:hint="eastAsia" w:ascii="宋体" w:hAnsi="宋体" w:eastAsia="宋体" w:cs="Times New Roman"/>
          <w:b/>
          <w:bCs/>
          <w:sz w:val="30"/>
          <w:szCs w:val="30"/>
          <w:lang w:eastAsia="zh-CN"/>
        </w:rPr>
        <w:t>拟投入本项目人员一览表</w:t>
      </w:r>
    </w:p>
    <w:tbl>
      <w:tblPr>
        <w:tblStyle w:val="34"/>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8"/>
        <w:gridCol w:w="2314"/>
        <w:gridCol w:w="3262"/>
        <w:gridCol w:w="2416"/>
      </w:tblGrid>
      <w:tr w14:paraId="77FF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1388" w:type="dxa"/>
            <w:noWrap w:val="0"/>
            <w:vAlign w:val="center"/>
          </w:tcPr>
          <w:p w14:paraId="6856B457">
            <w:pPr>
              <w:tabs>
                <w:tab w:val="left" w:pos="420"/>
              </w:tabs>
              <w:jc w:val="center"/>
              <w:rPr>
                <w:rFonts w:ascii="宋体" w:hAnsi="宋体"/>
                <w:b/>
                <w:bCs/>
                <w:sz w:val="21"/>
                <w:szCs w:val="21"/>
              </w:rPr>
            </w:pPr>
            <w:r>
              <w:rPr>
                <w:rFonts w:hint="eastAsia" w:ascii="宋体" w:hAnsi="宋体"/>
                <w:b/>
                <w:bCs/>
                <w:sz w:val="21"/>
                <w:szCs w:val="21"/>
              </w:rPr>
              <w:t>项目</w:t>
            </w:r>
          </w:p>
        </w:tc>
        <w:tc>
          <w:tcPr>
            <w:tcW w:w="2314" w:type="dxa"/>
            <w:noWrap w:val="0"/>
            <w:vAlign w:val="center"/>
          </w:tcPr>
          <w:p w14:paraId="7E32D8C6">
            <w:pPr>
              <w:tabs>
                <w:tab w:val="left" w:pos="420"/>
              </w:tabs>
              <w:jc w:val="center"/>
              <w:rPr>
                <w:rFonts w:ascii="宋体" w:hAnsi="宋体"/>
                <w:b/>
                <w:bCs/>
                <w:sz w:val="21"/>
                <w:szCs w:val="21"/>
              </w:rPr>
            </w:pPr>
            <w:r>
              <w:rPr>
                <w:rFonts w:hint="eastAsia" w:ascii="宋体" w:hAnsi="宋体"/>
                <w:b/>
                <w:bCs/>
                <w:sz w:val="21"/>
                <w:szCs w:val="21"/>
              </w:rPr>
              <w:t>人员姓名</w:t>
            </w:r>
          </w:p>
        </w:tc>
        <w:tc>
          <w:tcPr>
            <w:tcW w:w="3262" w:type="dxa"/>
            <w:noWrap w:val="0"/>
            <w:vAlign w:val="center"/>
          </w:tcPr>
          <w:p w14:paraId="5B50F172">
            <w:pPr>
              <w:tabs>
                <w:tab w:val="left" w:pos="420"/>
              </w:tabs>
              <w:jc w:val="center"/>
              <w:rPr>
                <w:rFonts w:ascii="宋体" w:hAnsi="宋体"/>
                <w:b/>
                <w:bCs/>
                <w:sz w:val="21"/>
                <w:szCs w:val="21"/>
              </w:rPr>
            </w:pPr>
            <w:r>
              <w:rPr>
                <w:rFonts w:hint="eastAsia" w:ascii="宋体" w:hAnsi="宋体"/>
                <w:b/>
                <w:bCs/>
                <w:sz w:val="21"/>
                <w:szCs w:val="21"/>
              </w:rPr>
              <w:t>职责</w:t>
            </w:r>
          </w:p>
        </w:tc>
        <w:tc>
          <w:tcPr>
            <w:tcW w:w="2416" w:type="dxa"/>
            <w:noWrap w:val="0"/>
            <w:vAlign w:val="center"/>
          </w:tcPr>
          <w:p w14:paraId="664E6B6A">
            <w:pPr>
              <w:tabs>
                <w:tab w:val="left" w:pos="420"/>
              </w:tabs>
              <w:jc w:val="center"/>
              <w:rPr>
                <w:rFonts w:ascii="宋体" w:hAnsi="宋体"/>
                <w:b/>
                <w:bCs/>
                <w:sz w:val="21"/>
                <w:szCs w:val="21"/>
              </w:rPr>
            </w:pPr>
            <w:r>
              <w:rPr>
                <w:rFonts w:hint="eastAsia" w:ascii="宋体" w:hAnsi="宋体"/>
                <w:b/>
                <w:bCs/>
                <w:sz w:val="21"/>
                <w:szCs w:val="21"/>
              </w:rPr>
              <w:t>职务（职称）</w:t>
            </w:r>
          </w:p>
        </w:tc>
      </w:tr>
      <w:tr w14:paraId="3B8D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88" w:type="dxa"/>
            <w:vMerge w:val="restart"/>
            <w:noWrap w:val="0"/>
            <w:vAlign w:val="center"/>
          </w:tcPr>
          <w:p w14:paraId="0EC2AF98">
            <w:pPr>
              <w:tabs>
                <w:tab w:val="left" w:pos="420"/>
              </w:tabs>
              <w:jc w:val="center"/>
              <w:rPr>
                <w:rFonts w:ascii="宋体" w:hAnsi="宋体" w:cs="宋体"/>
                <w:sz w:val="21"/>
                <w:szCs w:val="21"/>
              </w:rPr>
            </w:pPr>
            <w:r>
              <w:rPr>
                <w:rFonts w:hint="eastAsia" w:ascii="宋体" w:hAnsi="宋体" w:cs="宋体"/>
                <w:sz w:val="21"/>
                <w:szCs w:val="21"/>
              </w:rPr>
              <w:t>领导</w:t>
            </w:r>
          </w:p>
          <w:p w14:paraId="28A427D8">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4CD1193F">
            <w:pPr>
              <w:tabs>
                <w:tab w:val="left" w:pos="420"/>
              </w:tabs>
              <w:jc w:val="center"/>
              <w:rPr>
                <w:rFonts w:ascii="宋体" w:hAnsi="宋体"/>
                <w:sz w:val="21"/>
                <w:szCs w:val="21"/>
              </w:rPr>
            </w:pPr>
          </w:p>
        </w:tc>
        <w:tc>
          <w:tcPr>
            <w:tcW w:w="3262" w:type="dxa"/>
            <w:noWrap w:val="0"/>
            <w:vAlign w:val="center"/>
          </w:tcPr>
          <w:p w14:paraId="4C2AC8A5">
            <w:pPr>
              <w:tabs>
                <w:tab w:val="left" w:pos="420"/>
              </w:tabs>
              <w:jc w:val="center"/>
              <w:rPr>
                <w:rFonts w:ascii="宋体" w:hAnsi="宋体"/>
                <w:sz w:val="21"/>
                <w:szCs w:val="21"/>
              </w:rPr>
            </w:pPr>
          </w:p>
        </w:tc>
        <w:tc>
          <w:tcPr>
            <w:tcW w:w="2416" w:type="dxa"/>
            <w:noWrap w:val="0"/>
            <w:vAlign w:val="center"/>
          </w:tcPr>
          <w:p w14:paraId="50E1AE70">
            <w:pPr>
              <w:tabs>
                <w:tab w:val="left" w:pos="420"/>
              </w:tabs>
              <w:jc w:val="center"/>
              <w:rPr>
                <w:rFonts w:ascii="宋体" w:hAnsi="宋体"/>
                <w:sz w:val="21"/>
                <w:szCs w:val="21"/>
              </w:rPr>
            </w:pPr>
          </w:p>
        </w:tc>
      </w:tr>
      <w:tr w14:paraId="42DA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1388" w:type="dxa"/>
            <w:vMerge w:val="continue"/>
            <w:noWrap w:val="0"/>
            <w:vAlign w:val="center"/>
          </w:tcPr>
          <w:p w14:paraId="35F9553B">
            <w:pPr>
              <w:tabs>
                <w:tab w:val="left" w:pos="420"/>
              </w:tabs>
              <w:jc w:val="center"/>
              <w:rPr>
                <w:rFonts w:ascii="宋体" w:hAnsi="宋体"/>
                <w:sz w:val="21"/>
                <w:szCs w:val="21"/>
              </w:rPr>
            </w:pPr>
          </w:p>
        </w:tc>
        <w:tc>
          <w:tcPr>
            <w:tcW w:w="2314" w:type="dxa"/>
            <w:noWrap w:val="0"/>
            <w:vAlign w:val="center"/>
          </w:tcPr>
          <w:p w14:paraId="36C0B5C6">
            <w:pPr>
              <w:tabs>
                <w:tab w:val="left" w:pos="420"/>
              </w:tabs>
              <w:jc w:val="center"/>
              <w:rPr>
                <w:rFonts w:ascii="宋体" w:hAnsi="宋体"/>
                <w:sz w:val="21"/>
                <w:szCs w:val="21"/>
              </w:rPr>
            </w:pPr>
          </w:p>
        </w:tc>
        <w:tc>
          <w:tcPr>
            <w:tcW w:w="3262" w:type="dxa"/>
            <w:noWrap w:val="0"/>
            <w:vAlign w:val="center"/>
          </w:tcPr>
          <w:p w14:paraId="30BA8462">
            <w:pPr>
              <w:tabs>
                <w:tab w:val="left" w:pos="420"/>
              </w:tabs>
              <w:jc w:val="center"/>
              <w:rPr>
                <w:rFonts w:ascii="宋体" w:hAnsi="宋体"/>
                <w:sz w:val="21"/>
                <w:szCs w:val="21"/>
              </w:rPr>
            </w:pPr>
          </w:p>
        </w:tc>
        <w:tc>
          <w:tcPr>
            <w:tcW w:w="2416" w:type="dxa"/>
            <w:noWrap w:val="0"/>
            <w:vAlign w:val="center"/>
          </w:tcPr>
          <w:p w14:paraId="77BA4535">
            <w:pPr>
              <w:tabs>
                <w:tab w:val="left" w:pos="420"/>
              </w:tabs>
              <w:jc w:val="center"/>
              <w:rPr>
                <w:rFonts w:ascii="宋体" w:hAnsi="宋体"/>
                <w:sz w:val="21"/>
                <w:szCs w:val="21"/>
              </w:rPr>
            </w:pPr>
          </w:p>
        </w:tc>
      </w:tr>
      <w:tr w14:paraId="4273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88" w:type="dxa"/>
            <w:vMerge w:val="continue"/>
            <w:noWrap w:val="0"/>
            <w:vAlign w:val="center"/>
          </w:tcPr>
          <w:p w14:paraId="0E4303CE">
            <w:pPr>
              <w:tabs>
                <w:tab w:val="left" w:pos="420"/>
              </w:tabs>
              <w:jc w:val="center"/>
              <w:rPr>
                <w:rFonts w:ascii="宋体" w:hAnsi="宋体"/>
                <w:sz w:val="21"/>
                <w:szCs w:val="21"/>
              </w:rPr>
            </w:pPr>
          </w:p>
        </w:tc>
        <w:tc>
          <w:tcPr>
            <w:tcW w:w="2314" w:type="dxa"/>
            <w:noWrap w:val="0"/>
            <w:vAlign w:val="center"/>
          </w:tcPr>
          <w:p w14:paraId="002B8CFA">
            <w:pPr>
              <w:tabs>
                <w:tab w:val="left" w:pos="420"/>
              </w:tabs>
              <w:jc w:val="center"/>
              <w:rPr>
                <w:rFonts w:ascii="宋体" w:hAnsi="宋体"/>
                <w:sz w:val="21"/>
                <w:szCs w:val="21"/>
              </w:rPr>
            </w:pPr>
          </w:p>
        </w:tc>
        <w:tc>
          <w:tcPr>
            <w:tcW w:w="3262" w:type="dxa"/>
            <w:noWrap w:val="0"/>
            <w:vAlign w:val="center"/>
          </w:tcPr>
          <w:p w14:paraId="135E0F12">
            <w:pPr>
              <w:tabs>
                <w:tab w:val="left" w:pos="420"/>
              </w:tabs>
              <w:jc w:val="center"/>
              <w:rPr>
                <w:rFonts w:ascii="宋体" w:hAnsi="宋体"/>
                <w:sz w:val="21"/>
                <w:szCs w:val="21"/>
              </w:rPr>
            </w:pPr>
          </w:p>
        </w:tc>
        <w:tc>
          <w:tcPr>
            <w:tcW w:w="2416" w:type="dxa"/>
            <w:noWrap w:val="0"/>
            <w:vAlign w:val="center"/>
          </w:tcPr>
          <w:p w14:paraId="1838662C">
            <w:pPr>
              <w:tabs>
                <w:tab w:val="left" w:pos="420"/>
              </w:tabs>
              <w:jc w:val="center"/>
              <w:rPr>
                <w:rFonts w:ascii="宋体" w:hAnsi="宋体"/>
                <w:sz w:val="21"/>
                <w:szCs w:val="21"/>
              </w:rPr>
            </w:pPr>
          </w:p>
        </w:tc>
      </w:tr>
      <w:tr w14:paraId="41BE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1388" w:type="dxa"/>
            <w:vMerge w:val="continue"/>
            <w:noWrap w:val="0"/>
            <w:vAlign w:val="center"/>
          </w:tcPr>
          <w:p w14:paraId="78753D06">
            <w:pPr>
              <w:tabs>
                <w:tab w:val="left" w:pos="420"/>
              </w:tabs>
              <w:jc w:val="center"/>
              <w:rPr>
                <w:rFonts w:ascii="宋体" w:hAnsi="宋体"/>
                <w:sz w:val="21"/>
                <w:szCs w:val="21"/>
              </w:rPr>
            </w:pPr>
          </w:p>
        </w:tc>
        <w:tc>
          <w:tcPr>
            <w:tcW w:w="2314" w:type="dxa"/>
            <w:noWrap w:val="0"/>
            <w:vAlign w:val="center"/>
          </w:tcPr>
          <w:p w14:paraId="4A20BE58">
            <w:pPr>
              <w:tabs>
                <w:tab w:val="left" w:pos="420"/>
              </w:tabs>
              <w:jc w:val="center"/>
              <w:rPr>
                <w:rFonts w:ascii="宋体" w:hAnsi="宋体"/>
                <w:sz w:val="21"/>
                <w:szCs w:val="21"/>
              </w:rPr>
            </w:pPr>
          </w:p>
        </w:tc>
        <w:tc>
          <w:tcPr>
            <w:tcW w:w="3262" w:type="dxa"/>
            <w:noWrap w:val="0"/>
            <w:vAlign w:val="center"/>
          </w:tcPr>
          <w:p w14:paraId="5E4E2F2B">
            <w:pPr>
              <w:tabs>
                <w:tab w:val="left" w:pos="420"/>
              </w:tabs>
              <w:jc w:val="center"/>
              <w:rPr>
                <w:rFonts w:ascii="宋体" w:hAnsi="宋体"/>
                <w:sz w:val="21"/>
                <w:szCs w:val="21"/>
              </w:rPr>
            </w:pPr>
          </w:p>
        </w:tc>
        <w:tc>
          <w:tcPr>
            <w:tcW w:w="2416" w:type="dxa"/>
            <w:noWrap w:val="0"/>
            <w:vAlign w:val="center"/>
          </w:tcPr>
          <w:p w14:paraId="60A4C2AE">
            <w:pPr>
              <w:tabs>
                <w:tab w:val="left" w:pos="420"/>
              </w:tabs>
              <w:jc w:val="center"/>
              <w:rPr>
                <w:rFonts w:ascii="宋体" w:hAnsi="宋体"/>
                <w:sz w:val="21"/>
                <w:szCs w:val="21"/>
              </w:rPr>
            </w:pPr>
          </w:p>
        </w:tc>
      </w:tr>
      <w:tr w14:paraId="62EE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trPr>
        <w:tc>
          <w:tcPr>
            <w:tcW w:w="1388" w:type="dxa"/>
            <w:vMerge w:val="continue"/>
            <w:noWrap w:val="0"/>
            <w:vAlign w:val="center"/>
          </w:tcPr>
          <w:p w14:paraId="6728D71E">
            <w:pPr>
              <w:tabs>
                <w:tab w:val="left" w:pos="420"/>
              </w:tabs>
              <w:jc w:val="center"/>
              <w:rPr>
                <w:rFonts w:ascii="宋体" w:hAnsi="宋体"/>
                <w:sz w:val="21"/>
                <w:szCs w:val="21"/>
              </w:rPr>
            </w:pPr>
          </w:p>
        </w:tc>
        <w:tc>
          <w:tcPr>
            <w:tcW w:w="2314" w:type="dxa"/>
            <w:noWrap w:val="0"/>
            <w:vAlign w:val="center"/>
          </w:tcPr>
          <w:p w14:paraId="61E3AF13">
            <w:pPr>
              <w:tabs>
                <w:tab w:val="left" w:pos="420"/>
              </w:tabs>
              <w:jc w:val="center"/>
              <w:rPr>
                <w:rFonts w:ascii="宋体" w:hAnsi="宋体"/>
                <w:sz w:val="21"/>
                <w:szCs w:val="21"/>
              </w:rPr>
            </w:pPr>
          </w:p>
        </w:tc>
        <w:tc>
          <w:tcPr>
            <w:tcW w:w="3262" w:type="dxa"/>
            <w:noWrap w:val="0"/>
            <w:vAlign w:val="center"/>
          </w:tcPr>
          <w:p w14:paraId="25D0F2DB">
            <w:pPr>
              <w:tabs>
                <w:tab w:val="left" w:pos="420"/>
              </w:tabs>
              <w:jc w:val="center"/>
              <w:rPr>
                <w:rFonts w:ascii="宋体" w:hAnsi="宋体"/>
                <w:sz w:val="21"/>
                <w:szCs w:val="21"/>
              </w:rPr>
            </w:pPr>
          </w:p>
        </w:tc>
        <w:tc>
          <w:tcPr>
            <w:tcW w:w="2416" w:type="dxa"/>
            <w:noWrap w:val="0"/>
            <w:vAlign w:val="center"/>
          </w:tcPr>
          <w:p w14:paraId="649489F7">
            <w:pPr>
              <w:tabs>
                <w:tab w:val="left" w:pos="420"/>
              </w:tabs>
              <w:jc w:val="center"/>
              <w:rPr>
                <w:rFonts w:ascii="宋体" w:hAnsi="宋体"/>
                <w:sz w:val="21"/>
                <w:szCs w:val="21"/>
              </w:rPr>
            </w:pPr>
          </w:p>
        </w:tc>
      </w:tr>
      <w:tr w14:paraId="71993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trPr>
        <w:tc>
          <w:tcPr>
            <w:tcW w:w="1388" w:type="dxa"/>
            <w:vMerge w:val="restart"/>
            <w:noWrap w:val="0"/>
            <w:vAlign w:val="center"/>
          </w:tcPr>
          <w:p w14:paraId="7E27FA1A">
            <w:pPr>
              <w:tabs>
                <w:tab w:val="left" w:pos="420"/>
              </w:tabs>
              <w:jc w:val="center"/>
              <w:rPr>
                <w:rFonts w:ascii="宋体" w:hAnsi="宋体" w:cs="宋体"/>
                <w:sz w:val="21"/>
                <w:szCs w:val="21"/>
              </w:rPr>
            </w:pPr>
            <w:r>
              <w:rPr>
                <w:rFonts w:hint="eastAsia" w:ascii="宋体" w:hAnsi="宋体" w:cs="宋体"/>
                <w:sz w:val="21"/>
                <w:szCs w:val="21"/>
              </w:rPr>
              <w:t>承保</w:t>
            </w:r>
          </w:p>
          <w:p w14:paraId="0C234ECB">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760298A6">
            <w:pPr>
              <w:tabs>
                <w:tab w:val="left" w:pos="420"/>
              </w:tabs>
              <w:jc w:val="center"/>
              <w:rPr>
                <w:rFonts w:ascii="宋体" w:hAnsi="宋体"/>
                <w:sz w:val="21"/>
                <w:szCs w:val="21"/>
              </w:rPr>
            </w:pPr>
          </w:p>
        </w:tc>
        <w:tc>
          <w:tcPr>
            <w:tcW w:w="3262" w:type="dxa"/>
            <w:noWrap w:val="0"/>
            <w:vAlign w:val="center"/>
          </w:tcPr>
          <w:p w14:paraId="2FA95020">
            <w:pPr>
              <w:tabs>
                <w:tab w:val="left" w:pos="420"/>
              </w:tabs>
              <w:jc w:val="center"/>
              <w:rPr>
                <w:rFonts w:ascii="宋体" w:hAnsi="宋体"/>
                <w:sz w:val="21"/>
                <w:szCs w:val="21"/>
              </w:rPr>
            </w:pPr>
          </w:p>
        </w:tc>
        <w:tc>
          <w:tcPr>
            <w:tcW w:w="2416" w:type="dxa"/>
            <w:noWrap w:val="0"/>
            <w:vAlign w:val="center"/>
          </w:tcPr>
          <w:p w14:paraId="78CDE0EF">
            <w:pPr>
              <w:tabs>
                <w:tab w:val="left" w:pos="420"/>
              </w:tabs>
              <w:jc w:val="center"/>
              <w:rPr>
                <w:rFonts w:ascii="宋体" w:hAnsi="宋体"/>
                <w:sz w:val="21"/>
                <w:szCs w:val="21"/>
              </w:rPr>
            </w:pPr>
          </w:p>
        </w:tc>
      </w:tr>
      <w:tr w14:paraId="4465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717B336F">
            <w:pPr>
              <w:tabs>
                <w:tab w:val="left" w:pos="420"/>
              </w:tabs>
              <w:jc w:val="center"/>
              <w:rPr>
                <w:rFonts w:ascii="宋体" w:hAnsi="宋体"/>
                <w:sz w:val="21"/>
                <w:szCs w:val="21"/>
              </w:rPr>
            </w:pPr>
          </w:p>
        </w:tc>
        <w:tc>
          <w:tcPr>
            <w:tcW w:w="2314" w:type="dxa"/>
            <w:noWrap w:val="0"/>
            <w:vAlign w:val="center"/>
          </w:tcPr>
          <w:p w14:paraId="0D710E92">
            <w:pPr>
              <w:tabs>
                <w:tab w:val="left" w:pos="420"/>
              </w:tabs>
              <w:jc w:val="center"/>
              <w:rPr>
                <w:rFonts w:ascii="宋体" w:hAnsi="宋体"/>
                <w:sz w:val="21"/>
                <w:szCs w:val="21"/>
              </w:rPr>
            </w:pPr>
          </w:p>
        </w:tc>
        <w:tc>
          <w:tcPr>
            <w:tcW w:w="3262" w:type="dxa"/>
            <w:noWrap w:val="0"/>
            <w:vAlign w:val="center"/>
          </w:tcPr>
          <w:p w14:paraId="4DD10587">
            <w:pPr>
              <w:tabs>
                <w:tab w:val="left" w:pos="420"/>
              </w:tabs>
              <w:jc w:val="center"/>
              <w:rPr>
                <w:rFonts w:ascii="宋体" w:hAnsi="宋体"/>
                <w:sz w:val="21"/>
                <w:szCs w:val="21"/>
              </w:rPr>
            </w:pPr>
          </w:p>
        </w:tc>
        <w:tc>
          <w:tcPr>
            <w:tcW w:w="2416" w:type="dxa"/>
            <w:noWrap w:val="0"/>
            <w:vAlign w:val="center"/>
          </w:tcPr>
          <w:p w14:paraId="58C30B4B">
            <w:pPr>
              <w:tabs>
                <w:tab w:val="left" w:pos="420"/>
              </w:tabs>
              <w:jc w:val="center"/>
              <w:rPr>
                <w:rFonts w:ascii="宋体" w:hAnsi="宋体"/>
                <w:sz w:val="21"/>
                <w:szCs w:val="21"/>
              </w:rPr>
            </w:pPr>
          </w:p>
        </w:tc>
      </w:tr>
      <w:tr w14:paraId="662C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3C985035">
            <w:pPr>
              <w:tabs>
                <w:tab w:val="left" w:pos="420"/>
              </w:tabs>
              <w:jc w:val="center"/>
              <w:rPr>
                <w:rFonts w:ascii="宋体" w:hAnsi="宋体"/>
                <w:sz w:val="21"/>
                <w:szCs w:val="21"/>
              </w:rPr>
            </w:pPr>
          </w:p>
        </w:tc>
        <w:tc>
          <w:tcPr>
            <w:tcW w:w="2314" w:type="dxa"/>
            <w:noWrap w:val="0"/>
            <w:vAlign w:val="center"/>
          </w:tcPr>
          <w:p w14:paraId="4A271552">
            <w:pPr>
              <w:tabs>
                <w:tab w:val="left" w:pos="420"/>
              </w:tabs>
              <w:jc w:val="center"/>
              <w:rPr>
                <w:rFonts w:ascii="宋体" w:hAnsi="宋体"/>
                <w:sz w:val="21"/>
                <w:szCs w:val="21"/>
              </w:rPr>
            </w:pPr>
          </w:p>
        </w:tc>
        <w:tc>
          <w:tcPr>
            <w:tcW w:w="3262" w:type="dxa"/>
            <w:noWrap w:val="0"/>
            <w:vAlign w:val="center"/>
          </w:tcPr>
          <w:p w14:paraId="52DDCE23">
            <w:pPr>
              <w:tabs>
                <w:tab w:val="left" w:pos="420"/>
              </w:tabs>
              <w:jc w:val="center"/>
              <w:rPr>
                <w:rFonts w:ascii="宋体" w:hAnsi="宋体"/>
                <w:sz w:val="21"/>
                <w:szCs w:val="21"/>
              </w:rPr>
            </w:pPr>
          </w:p>
        </w:tc>
        <w:tc>
          <w:tcPr>
            <w:tcW w:w="2416" w:type="dxa"/>
            <w:noWrap w:val="0"/>
            <w:vAlign w:val="center"/>
          </w:tcPr>
          <w:p w14:paraId="246DDA2F">
            <w:pPr>
              <w:tabs>
                <w:tab w:val="left" w:pos="420"/>
              </w:tabs>
              <w:jc w:val="center"/>
              <w:rPr>
                <w:rFonts w:ascii="宋体" w:hAnsi="宋体"/>
                <w:sz w:val="21"/>
                <w:szCs w:val="21"/>
              </w:rPr>
            </w:pPr>
          </w:p>
        </w:tc>
      </w:tr>
      <w:tr w14:paraId="5524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trPr>
        <w:tc>
          <w:tcPr>
            <w:tcW w:w="1388" w:type="dxa"/>
            <w:vMerge w:val="continue"/>
            <w:noWrap w:val="0"/>
            <w:vAlign w:val="center"/>
          </w:tcPr>
          <w:p w14:paraId="141BC644">
            <w:pPr>
              <w:tabs>
                <w:tab w:val="left" w:pos="420"/>
              </w:tabs>
              <w:jc w:val="center"/>
              <w:rPr>
                <w:rFonts w:ascii="宋体" w:hAnsi="宋体"/>
                <w:sz w:val="21"/>
                <w:szCs w:val="21"/>
              </w:rPr>
            </w:pPr>
          </w:p>
        </w:tc>
        <w:tc>
          <w:tcPr>
            <w:tcW w:w="2314" w:type="dxa"/>
            <w:noWrap w:val="0"/>
            <w:vAlign w:val="center"/>
          </w:tcPr>
          <w:p w14:paraId="73138873">
            <w:pPr>
              <w:tabs>
                <w:tab w:val="left" w:pos="420"/>
              </w:tabs>
              <w:jc w:val="center"/>
              <w:rPr>
                <w:rFonts w:ascii="宋体" w:hAnsi="宋体"/>
                <w:sz w:val="21"/>
                <w:szCs w:val="21"/>
              </w:rPr>
            </w:pPr>
          </w:p>
        </w:tc>
        <w:tc>
          <w:tcPr>
            <w:tcW w:w="3262" w:type="dxa"/>
            <w:noWrap w:val="0"/>
            <w:vAlign w:val="center"/>
          </w:tcPr>
          <w:p w14:paraId="46FC6CB8">
            <w:pPr>
              <w:tabs>
                <w:tab w:val="left" w:pos="420"/>
              </w:tabs>
              <w:jc w:val="center"/>
              <w:rPr>
                <w:rFonts w:ascii="宋体" w:hAnsi="宋体"/>
                <w:sz w:val="21"/>
                <w:szCs w:val="21"/>
              </w:rPr>
            </w:pPr>
          </w:p>
        </w:tc>
        <w:tc>
          <w:tcPr>
            <w:tcW w:w="2416" w:type="dxa"/>
            <w:noWrap w:val="0"/>
            <w:vAlign w:val="center"/>
          </w:tcPr>
          <w:p w14:paraId="0C57D696">
            <w:pPr>
              <w:tabs>
                <w:tab w:val="left" w:pos="420"/>
              </w:tabs>
              <w:jc w:val="center"/>
              <w:rPr>
                <w:rFonts w:ascii="宋体" w:hAnsi="宋体"/>
                <w:sz w:val="21"/>
                <w:szCs w:val="21"/>
              </w:rPr>
            </w:pPr>
          </w:p>
        </w:tc>
      </w:tr>
      <w:tr w14:paraId="6A52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309AEA3A">
            <w:pPr>
              <w:tabs>
                <w:tab w:val="left" w:pos="420"/>
              </w:tabs>
              <w:jc w:val="center"/>
              <w:rPr>
                <w:rFonts w:ascii="宋体" w:hAnsi="宋体"/>
                <w:sz w:val="21"/>
                <w:szCs w:val="21"/>
              </w:rPr>
            </w:pPr>
          </w:p>
        </w:tc>
        <w:tc>
          <w:tcPr>
            <w:tcW w:w="2314" w:type="dxa"/>
            <w:noWrap w:val="0"/>
            <w:vAlign w:val="center"/>
          </w:tcPr>
          <w:p w14:paraId="71016318">
            <w:pPr>
              <w:tabs>
                <w:tab w:val="left" w:pos="420"/>
              </w:tabs>
              <w:jc w:val="center"/>
              <w:rPr>
                <w:rFonts w:ascii="宋体" w:hAnsi="宋体"/>
                <w:sz w:val="21"/>
                <w:szCs w:val="21"/>
              </w:rPr>
            </w:pPr>
          </w:p>
        </w:tc>
        <w:tc>
          <w:tcPr>
            <w:tcW w:w="3262" w:type="dxa"/>
            <w:noWrap w:val="0"/>
            <w:vAlign w:val="center"/>
          </w:tcPr>
          <w:p w14:paraId="03D95F93">
            <w:pPr>
              <w:tabs>
                <w:tab w:val="left" w:pos="420"/>
              </w:tabs>
              <w:jc w:val="center"/>
              <w:rPr>
                <w:rFonts w:ascii="宋体" w:hAnsi="宋体"/>
                <w:sz w:val="21"/>
                <w:szCs w:val="21"/>
              </w:rPr>
            </w:pPr>
          </w:p>
        </w:tc>
        <w:tc>
          <w:tcPr>
            <w:tcW w:w="2416" w:type="dxa"/>
            <w:noWrap w:val="0"/>
            <w:vAlign w:val="center"/>
          </w:tcPr>
          <w:p w14:paraId="79CCABEA">
            <w:pPr>
              <w:tabs>
                <w:tab w:val="left" w:pos="420"/>
              </w:tabs>
              <w:jc w:val="center"/>
              <w:rPr>
                <w:rFonts w:ascii="宋体" w:hAnsi="宋体"/>
                <w:sz w:val="21"/>
                <w:szCs w:val="21"/>
              </w:rPr>
            </w:pPr>
          </w:p>
        </w:tc>
      </w:tr>
      <w:tr w14:paraId="4A4C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73CEE50F">
            <w:pPr>
              <w:tabs>
                <w:tab w:val="left" w:pos="420"/>
              </w:tabs>
              <w:jc w:val="center"/>
              <w:rPr>
                <w:rFonts w:ascii="宋体" w:hAnsi="宋体"/>
                <w:sz w:val="21"/>
                <w:szCs w:val="21"/>
              </w:rPr>
            </w:pPr>
          </w:p>
        </w:tc>
        <w:tc>
          <w:tcPr>
            <w:tcW w:w="2314" w:type="dxa"/>
            <w:noWrap w:val="0"/>
            <w:vAlign w:val="center"/>
          </w:tcPr>
          <w:p w14:paraId="004771B6">
            <w:pPr>
              <w:tabs>
                <w:tab w:val="left" w:pos="420"/>
              </w:tabs>
              <w:jc w:val="center"/>
              <w:rPr>
                <w:rFonts w:ascii="宋体" w:hAnsi="宋体"/>
                <w:sz w:val="21"/>
                <w:szCs w:val="21"/>
              </w:rPr>
            </w:pPr>
          </w:p>
        </w:tc>
        <w:tc>
          <w:tcPr>
            <w:tcW w:w="3262" w:type="dxa"/>
            <w:noWrap w:val="0"/>
            <w:vAlign w:val="center"/>
          </w:tcPr>
          <w:p w14:paraId="67978B06">
            <w:pPr>
              <w:tabs>
                <w:tab w:val="left" w:pos="420"/>
              </w:tabs>
              <w:jc w:val="center"/>
              <w:rPr>
                <w:rFonts w:ascii="宋体" w:hAnsi="宋体"/>
                <w:sz w:val="21"/>
                <w:szCs w:val="21"/>
              </w:rPr>
            </w:pPr>
          </w:p>
        </w:tc>
        <w:tc>
          <w:tcPr>
            <w:tcW w:w="2416" w:type="dxa"/>
            <w:noWrap w:val="0"/>
            <w:vAlign w:val="center"/>
          </w:tcPr>
          <w:p w14:paraId="3F7B0CB6">
            <w:pPr>
              <w:tabs>
                <w:tab w:val="left" w:pos="420"/>
              </w:tabs>
              <w:jc w:val="center"/>
              <w:rPr>
                <w:rFonts w:ascii="宋体" w:hAnsi="宋体"/>
                <w:sz w:val="21"/>
                <w:szCs w:val="21"/>
              </w:rPr>
            </w:pPr>
          </w:p>
        </w:tc>
      </w:tr>
      <w:tr w14:paraId="6D37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restart"/>
            <w:noWrap w:val="0"/>
            <w:vAlign w:val="center"/>
          </w:tcPr>
          <w:p w14:paraId="250D455B">
            <w:pPr>
              <w:tabs>
                <w:tab w:val="left" w:pos="420"/>
              </w:tabs>
              <w:jc w:val="center"/>
              <w:rPr>
                <w:rFonts w:ascii="宋体" w:hAnsi="宋体" w:cs="宋体"/>
                <w:sz w:val="21"/>
                <w:szCs w:val="21"/>
              </w:rPr>
            </w:pPr>
            <w:r>
              <w:rPr>
                <w:rFonts w:hint="eastAsia" w:ascii="宋体" w:hAnsi="宋体" w:cs="宋体"/>
                <w:sz w:val="21"/>
                <w:szCs w:val="21"/>
              </w:rPr>
              <w:t>理赔</w:t>
            </w:r>
          </w:p>
          <w:p w14:paraId="3F1AB3F1">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352BF0BB">
            <w:pPr>
              <w:tabs>
                <w:tab w:val="left" w:pos="420"/>
              </w:tabs>
              <w:jc w:val="center"/>
              <w:rPr>
                <w:rFonts w:ascii="宋体" w:hAnsi="宋体"/>
                <w:sz w:val="21"/>
                <w:szCs w:val="21"/>
              </w:rPr>
            </w:pPr>
          </w:p>
        </w:tc>
        <w:tc>
          <w:tcPr>
            <w:tcW w:w="3262" w:type="dxa"/>
            <w:noWrap w:val="0"/>
            <w:vAlign w:val="center"/>
          </w:tcPr>
          <w:p w14:paraId="1F3420D3">
            <w:pPr>
              <w:tabs>
                <w:tab w:val="left" w:pos="420"/>
              </w:tabs>
              <w:jc w:val="center"/>
              <w:rPr>
                <w:rFonts w:ascii="宋体" w:hAnsi="宋体"/>
                <w:sz w:val="21"/>
                <w:szCs w:val="21"/>
              </w:rPr>
            </w:pPr>
          </w:p>
        </w:tc>
        <w:tc>
          <w:tcPr>
            <w:tcW w:w="2416" w:type="dxa"/>
            <w:noWrap w:val="0"/>
            <w:vAlign w:val="center"/>
          </w:tcPr>
          <w:p w14:paraId="615CA7D4">
            <w:pPr>
              <w:tabs>
                <w:tab w:val="left" w:pos="420"/>
              </w:tabs>
              <w:jc w:val="center"/>
              <w:rPr>
                <w:rFonts w:ascii="宋体" w:hAnsi="宋体"/>
                <w:sz w:val="21"/>
                <w:szCs w:val="21"/>
              </w:rPr>
            </w:pPr>
          </w:p>
        </w:tc>
      </w:tr>
      <w:tr w14:paraId="1992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552A8C0D">
            <w:pPr>
              <w:tabs>
                <w:tab w:val="left" w:pos="420"/>
              </w:tabs>
              <w:jc w:val="center"/>
              <w:rPr>
                <w:rFonts w:ascii="宋体" w:hAnsi="宋体"/>
                <w:sz w:val="21"/>
                <w:szCs w:val="21"/>
              </w:rPr>
            </w:pPr>
          </w:p>
        </w:tc>
        <w:tc>
          <w:tcPr>
            <w:tcW w:w="2314" w:type="dxa"/>
            <w:noWrap w:val="0"/>
            <w:vAlign w:val="center"/>
          </w:tcPr>
          <w:p w14:paraId="3FD85A1A">
            <w:pPr>
              <w:tabs>
                <w:tab w:val="left" w:pos="420"/>
              </w:tabs>
              <w:jc w:val="center"/>
              <w:rPr>
                <w:rFonts w:ascii="宋体" w:hAnsi="宋体"/>
                <w:sz w:val="21"/>
                <w:szCs w:val="21"/>
              </w:rPr>
            </w:pPr>
          </w:p>
        </w:tc>
        <w:tc>
          <w:tcPr>
            <w:tcW w:w="3262" w:type="dxa"/>
            <w:noWrap w:val="0"/>
            <w:vAlign w:val="center"/>
          </w:tcPr>
          <w:p w14:paraId="07049E4C">
            <w:pPr>
              <w:tabs>
                <w:tab w:val="left" w:pos="420"/>
              </w:tabs>
              <w:jc w:val="center"/>
              <w:rPr>
                <w:rFonts w:ascii="宋体" w:hAnsi="宋体"/>
                <w:sz w:val="21"/>
                <w:szCs w:val="21"/>
              </w:rPr>
            </w:pPr>
          </w:p>
        </w:tc>
        <w:tc>
          <w:tcPr>
            <w:tcW w:w="2416" w:type="dxa"/>
            <w:noWrap w:val="0"/>
            <w:vAlign w:val="center"/>
          </w:tcPr>
          <w:p w14:paraId="548E8517">
            <w:pPr>
              <w:tabs>
                <w:tab w:val="left" w:pos="420"/>
              </w:tabs>
              <w:jc w:val="center"/>
              <w:rPr>
                <w:rFonts w:ascii="宋体" w:hAnsi="宋体"/>
                <w:sz w:val="21"/>
                <w:szCs w:val="21"/>
              </w:rPr>
            </w:pPr>
          </w:p>
        </w:tc>
      </w:tr>
      <w:tr w14:paraId="79CE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28F54C2C">
            <w:pPr>
              <w:tabs>
                <w:tab w:val="left" w:pos="420"/>
              </w:tabs>
              <w:jc w:val="center"/>
              <w:rPr>
                <w:rFonts w:ascii="宋体" w:hAnsi="宋体"/>
                <w:sz w:val="21"/>
                <w:szCs w:val="21"/>
              </w:rPr>
            </w:pPr>
          </w:p>
        </w:tc>
        <w:tc>
          <w:tcPr>
            <w:tcW w:w="2314" w:type="dxa"/>
            <w:noWrap w:val="0"/>
            <w:vAlign w:val="center"/>
          </w:tcPr>
          <w:p w14:paraId="66974006">
            <w:pPr>
              <w:tabs>
                <w:tab w:val="left" w:pos="420"/>
              </w:tabs>
              <w:jc w:val="center"/>
              <w:rPr>
                <w:rFonts w:ascii="宋体" w:hAnsi="宋体"/>
                <w:sz w:val="21"/>
                <w:szCs w:val="21"/>
              </w:rPr>
            </w:pPr>
          </w:p>
        </w:tc>
        <w:tc>
          <w:tcPr>
            <w:tcW w:w="3262" w:type="dxa"/>
            <w:noWrap w:val="0"/>
            <w:vAlign w:val="center"/>
          </w:tcPr>
          <w:p w14:paraId="42449C56">
            <w:pPr>
              <w:tabs>
                <w:tab w:val="left" w:pos="420"/>
              </w:tabs>
              <w:jc w:val="center"/>
              <w:rPr>
                <w:rFonts w:ascii="宋体" w:hAnsi="宋体"/>
                <w:sz w:val="21"/>
                <w:szCs w:val="21"/>
              </w:rPr>
            </w:pPr>
          </w:p>
        </w:tc>
        <w:tc>
          <w:tcPr>
            <w:tcW w:w="2416" w:type="dxa"/>
            <w:noWrap w:val="0"/>
            <w:vAlign w:val="center"/>
          </w:tcPr>
          <w:p w14:paraId="779CE855">
            <w:pPr>
              <w:tabs>
                <w:tab w:val="left" w:pos="420"/>
              </w:tabs>
              <w:jc w:val="center"/>
              <w:rPr>
                <w:rFonts w:ascii="宋体" w:hAnsi="宋体"/>
                <w:sz w:val="21"/>
                <w:szCs w:val="21"/>
              </w:rPr>
            </w:pPr>
          </w:p>
        </w:tc>
      </w:tr>
      <w:tr w14:paraId="37B3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2633D19B">
            <w:pPr>
              <w:tabs>
                <w:tab w:val="left" w:pos="420"/>
              </w:tabs>
              <w:jc w:val="center"/>
              <w:rPr>
                <w:rFonts w:ascii="宋体" w:hAnsi="宋体"/>
                <w:sz w:val="21"/>
                <w:szCs w:val="21"/>
              </w:rPr>
            </w:pPr>
          </w:p>
        </w:tc>
        <w:tc>
          <w:tcPr>
            <w:tcW w:w="2314" w:type="dxa"/>
            <w:noWrap w:val="0"/>
            <w:vAlign w:val="center"/>
          </w:tcPr>
          <w:p w14:paraId="18FF0A00">
            <w:pPr>
              <w:tabs>
                <w:tab w:val="left" w:pos="420"/>
              </w:tabs>
              <w:jc w:val="center"/>
              <w:rPr>
                <w:rFonts w:ascii="宋体" w:hAnsi="宋体"/>
                <w:sz w:val="21"/>
                <w:szCs w:val="21"/>
              </w:rPr>
            </w:pPr>
          </w:p>
        </w:tc>
        <w:tc>
          <w:tcPr>
            <w:tcW w:w="3262" w:type="dxa"/>
            <w:noWrap w:val="0"/>
            <w:vAlign w:val="center"/>
          </w:tcPr>
          <w:p w14:paraId="24EAC964">
            <w:pPr>
              <w:tabs>
                <w:tab w:val="left" w:pos="420"/>
              </w:tabs>
              <w:jc w:val="center"/>
              <w:rPr>
                <w:rFonts w:ascii="宋体" w:hAnsi="宋体"/>
                <w:sz w:val="21"/>
                <w:szCs w:val="21"/>
              </w:rPr>
            </w:pPr>
          </w:p>
        </w:tc>
        <w:tc>
          <w:tcPr>
            <w:tcW w:w="2416" w:type="dxa"/>
            <w:noWrap w:val="0"/>
            <w:vAlign w:val="center"/>
          </w:tcPr>
          <w:p w14:paraId="4E6A6F91">
            <w:pPr>
              <w:tabs>
                <w:tab w:val="left" w:pos="420"/>
              </w:tabs>
              <w:jc w:val="center"/>
              <w:rPr>
                <w:rFonts w:ascii="宋体" w:hAnsi="宋体"/>
                <w:sz w:val="21"/>
                <w:szCs w:val="21"/>
              </w:rPr>
            </w:pPr>
          </w:p>
        </w:tc>
      </w:tr>
      <w:tr w14:paraId="6FB4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trPr>
        <w:tc>
          <w:tcPr>
            <w:tcW w:w="1388" w:type="dxa"/>
            <w:vMerge w:val="continue"/>
            <w:noWrap w:val="0"/>
            <w:vAlign w:val="center"/>
          </w:tcPr>
          <w:p w14:paraId="712BB445">
            <w:pPr>
              <w:tabs>
                <w:tab w:val="left" w:pos="420"/>
              </w:tabs>
              <w:jc w:val="center"/>
              <w:rPr>
                <w:rFonts w:ascii="宋体" w:hAnsi="宋体"/>
                <w:sz w:val="21"/>
                <w:szCs w:val="21"/>
              </w:rPr>
            </w:pPr>
          </w:p>
        </w:tc>
        <w:tc>
          <w:tcPr>
            <w:tcW w:w="2314" w:type="dxa"/>
            <w:noWrap w:val="0"/>
            <w:vAlign w:val="center"/>
          </w:tcPr>
          <w:p w14:paraId="3918E402">
            <w:pPr>
              <w:tabs>
                <w:tab w:val="left" w:pos="420"/>
              </w:tabs>
              <w:jc w:val="center"/>
              <w:rPr>
                <w:rFonts w:ascii="宋体" w:hAnsi="宋体"/>
                <w:sz w:val="21"/>
                <w:szCs w:val="21"/>
              </w:rPr>
            </w:pPr>
          </w:p>
        </w:tc>
        <w:tc>
          <w:tcPr>
            <w:tcW w:w="3262" w:type="dxa"/>
            <w:noWrap w:val="0"/>
            <w:vAlign w:val="center"/>
          </w:tcPr>
          <w:p w14:paraId="5D12D97D">
            <w:pPr>
              <w:tabs>
                <w:tab w:val="left" w:pos="420"/>
              </w:tabs>
              <w:jc w:val="center"/>
              <w:rPr>
                <w:rFonts w:ascii="宋体" w:hAnsi="宋体"/>
                <w:sz w:val="21"/>
                <w:szCs w:val="21"/>
              </w:rPr>
            </w:pPr>
          </w:p>
        </w:tc>
        <w:tc>
          <w:tcPr>
            <w:tcW w:w="2416" w:type="dxa"/>
            <w:noWrap w:val="0"/>
            <w:vAlign w:val="center"/>
          </w:tcPr>
          <w:p w14:paraId="3B0480F3">
            <w:pPr>
              <w:tabs>
                <w:tab w:val="left" w:pos="420"/>
              </w:tabs>
              <w:jc w:val="center"/>
              <w:rPr>
                <w:rFonts w:ascii="宋体" w:hAnsi="宋体"/>
                <w:sz w:val="21"/>
                <w:szCs w:val="21"/>
              </w:rPr>
            </w:pPr>
          </w:p>
        </w:tc>
      </w:tr>
    </w:tbl>
    <w:p w14:paraId="4C0A40E9">
      <w:pPr>
        <w:rPr>
          <w:rFonts w:ascii="宋体" w:hAnsi="宋体"/>
        </w:rPr>
      </w:pPr>
    </w:p>
    <w:p w14:paraId="44AA62A3">
      <w:pPr>
        <w:pStyle w:val="17"/>
        <w:adjustRightInd w:val="0"/>
        <w:snapToGrid w:val="0"/>
        <w:spacing w:line="360" w:lineRule="auto"/>
        <w:ind w:right="420" w:firstLine="4920" w:firstLineChars="2050"/>
        <w:rPr>
          <w:rFonts w:hint="eastAsia" w:hAnsi="宋体" w:cs="宋体"/>
          <w:color w:val="000000"/>
          <w:sz w:val="24"/>
        </w:rPr>
      </w:pPr>
    </w:p>
    <w:p w14:paraId="76A2A08F">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512ACAF7">
      <w:pPr>
        <w:keepNext w:val="0"/>
        <w:keepLines w:val="0"/>
        <w:pageBreakBefore w:val="0"/>
        <w:widowControl w:val="0"/>
        <w:kinsoku/>
        <w:wordWrap/>
        <w:overflowPunct/>
        <w:topLinePunct w:val="0"/>
        <w:autoSpaceDE/>
        <w:autoSpaceDN/>
        <w:bidi w:val="0"/>
        <w:adjustRightInd/>
        <w:snapToGrid/>
        <w:jc w:val="both"/>
        <w:textAlignment w:val="auto"/>
        <w:rPr>
          <w:rFonts w:ascii="宋体" w:hAnsi="宋体"/>
        </w:rPr>
      </w:pPr>
      <w:r>
        <w:rPr>
          <w:rFonts w:hint="eastAsia" w:ascii="宋体" w:hAnsi="宋体" w:cs="宋体"/>
          <w:color w:val="000000"/>
          <w:sz w:val="24"/>
          <w:szCs w:val="21"/>
        </w:rPr>
        <w:t>日期：</w:t>
      </w:r>
      <w:r>
        <w:rPr>
          <w:rFonts w:hint="eastAsia" w:ascii="宋体" w:hAnsi="宋体" w:cs="宋体"/>
          <w:color w:val="000000"/>
          <w:sz w:val="24"/>
          <w:szCs w:val="21"/>
          <w:u w:val="single"/>
        </w:rPr>
        <w:t xml:space="preserve">      </w:t>
      </w:r>
      <w:r>
        <w:rPr>
          <w:rFonts w:hint="eastAsia" w:ascii="宋体" w:hAnsi="宋体" w:cs="宋体"/>
          <w:color w:val="000000"/>
          <w:sz w:val="24"/>
          <w:szCs w:val="21"/>
        </w:rPr>
        <w:t>年</w:t>
      </w:r>
      <w:r>
        <w:rPr>
          <w:rFonts w:hint="eastAsia" w:ascii="宋体" w:hAnsi="宋体" w:cs="宋体"/>
          <w:color w:val="000000"/>
          <w:sz w:val="24"/>
          <w:szCs w:val="21"/>
          <w:u w:val="single"/>
        </w:rPr>
        <w:t xml:space="preserve">        </w:t>
      </w:r>
      <w:r>
        <w:rPr>
          <w:rFonts w:hint="eastAsia" w:ascii="宋体" w:hAnsi="宋体" w:cs="宋体"/>
          <w:color w:val="000000"/>
          <w:sz w:val="24"/>
          <w:szCs w:val="21"/>
        </w:rPr>
        <w:t>月</w:t>
      </w:r>
      <w:r>
        <w:rPr>
          <w:rFonts w:hint="eastAsia" w:ascii="宋体" w:hAnsi="宋体" w:cs="宋体"/>
          <w:color w:val="000000"/>
          <w:sz w:val="24"/>
          <w:szCs w:val="21"/>
          <w:u w:val="single"/>
        </w:rPr>
        <w:t xml:space="preserve">      </w:t>
      </w:r>
      <w:r>
        <w:rPr>
          <w:rFonts w:hint="eastAsia" w:ascii="宋体" w:hAnsi="宋体" w:cs="宋体"/>
          <w:color w:val="000000"/>
          <w:sz w:val="24"/>
          <w:szCs w:val="21"/>
        </w:rPr>
        <w:t>日</w:t>
      </w:r>
    </w:p>
    <w:p w14:paraId="6F23DDFD">
      <w:pPr>
        <w:rPr>
          <w:rFonts w:hint="eastAsia" w:ascii="宋体" w:hAnsi="宋体" w:eastAsia="宋体" w:cs="宋体"/>
          <w:b/>
          <w:sz w:val="28"/>
          <w:szCs w:val="28"/>
        </w:rPr>
      </w:pPr>
    </w:p>
    <w:p w14:paraId="2294C581">
      <w:pPr>
        <w:rPr>
          <w:rFonts w:hint="eastAsia" w:ascii="宋体" w:hAnsi="宋体" w:eastAsia="宋体" w:cs="宋体"/>
          <w:b/>
          <w:sz w:val="28"/>
          <w:szCs w:val="28"/>
        </w:rPr>
      </w:pPr>
      <w:r>
        <w:rPr>
          <w:rFonts w:hint="eastAsia" w:ascii="宋体" w:hAnsi="宋体" w:eastAsia="宋体" w:cs="宋体"/>
          <w:b/>
          <w:sz w:val="28"/>
          <w:szCs w:val="28"/>
        </w:rPr>
        <w:br w:type="page"/>
      </w:r>
    </w:p>
    <w:p w14:paraId="6444E807">
      <w:pPr>
        <w:spacing w:before="326" w:beforeLines="100" w:after="163" w:afterLines="50"/>
        <w:jc w:val="center"/>
        <w:outlineLvl w:val="1"/>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七</w:t>
      </w:r>
      <w:r>
        <w:rPr>
          <w:rFonts w:hint="eastAsia" w:ascii="宋体" w:hAnsi="宋体" w:eastAsia="宋体" w:cs="宋体"/>
          <w:b/>
          <w:sz w:val="28"/>
          <w:szCs w:val="28"/>
        </w:rPr>
        <w:t>、</w:t>
      </w:r>
      <w:bookmarkEnd w:id="456"/>
      <w:bookmarkEnd w:id="457"/>
      <w:bookmarkEnd w:id="458"/>
      <w:bookmarkStart w:id="462" w:name="_Toc45177878"/>
      <w:bookmarkStart w:id="463" w:name="_Toc26441"/>
      <w:r>
        <w:rPr>
          <w:rFonts w:hint="eastAsia" w:ascii="宋体" w:hAnsi="宋体" w:eastAsia="宋体" w:cs="宋体"/>
          <w:b/>
          <w:sz w:val="28"/>
          <w:szCs w:val="28"/>
          <w:lang w:val="en-US" w:eastAsia="zh-CN"/>
        </w:rPr>
        <w:t>项目服务方案</w:t>
      </w:r>
    </w:p>
    <w:bookmarkEnd w:id="462"/>
    <w:bookmarkEnd w:id="463"/>
    <w:p w14:paraId="3ADE02CB">
      <w:pPr>
        <w:rPr>
          <w:rFonts w:hint="eastAsia" w:ascii="宋体" w:hAnsi="宋体" w:eastAsia="宋体" w:cs="宋体"/>
          <w:b/>
          <w:sz w:val="28"/>
          <w:szCs w:val="28"/>
        </w:rPr>
      </w:pPr>
      <w:bookmarkStart w:id="464" w:name="_Toc22443"/>
      <w:bookmarkStart w:id="465" w:name="_Toc45177879"/>
      <w:bookmarkStart w:id="466" w:name="_Toc11671"/>
    </w:p>
    <w:p w14:paraId="140CA018">
      <w:pPr>
        <w:rPr>
          <w:rFonts w:hint="eastAsia" w:ascii="宋体" w:hAnsi="宋体" w:eastAsia="宋体" w:cs="宋体"/>
          <w:b/>
          <w:sz w:val="28"/>
          <w:szCs w:val="28"/>
          <w:lang w:val="en-US" w:eastAsia="zh-CN"/>
        </w:rPr>
      </w:pPr>
      <w:r>
        <w:rPr>
          <w:rFonts w:hint="eastAsia" w:ascii="宋体" w:hAnsi="宋体" w:eastAsia="宋体" w:cs="宋体"/>
          <w:b/>
          <w:sz w:val="28"/>
          <w:szCs w:val="28"/>
        </w:rPr>
        <w:br w:type="page"/>
      </w:r>
    </w:p>
    <w:p w14:paraId="318BF206">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b/>
          <w:sz w:val="28"/>
          <w:szCs w:val="28"/>
          <w:lang w:val="en-US" w:eastAsia="zh-CN"/>
        </w:rPr>
        <w:t>八</w:t>
      </w:r>
      <w:r>
        <w:rPr>
          <w:rFonts w:hint="eastAsia" w:ascii="宋体" w:hAnsi="宋体" w:eastAsia="宋体" w:cs="宋体"/>
          <w:b/>
          <w:sz w:val="28"/>
          <w:szCs w:val="28"/>
        </w:rPr>
        <w:t>、其他材料</w:t>
      </w:r>
      <w:bookmarkEnd w:id="464"/>
      <w:bookmarkEnd w:id="465"/>
      <w:bookmarkEnd w:id="466"/>
    </w:p>
    <w:p w14:paraId="16C6E224">
      <w:pPr>
        <w:spacing w:before="163" w:beforeLines="50" w:after="163" w:afterLines="50" w:line="360" w:lineRule="auto"/>
        <w:jc w:val="center"/>
        <w:outlineLvl w:val="2"/>
        <w:rPr>
          <w:b w:val="0"/>
          <w:bCs w:val="0"/>
          <w:sz w:val="24"/>
          <w:szCs w:val="24"/>
        </w:rPr>
      </w:pPr>
      <w:bookmarkStart w:id="467" w:name="_Toc18554"/>
      <w:bookmarkStart w:id="468" w:name="_Toc15575"/>
      <w:bookmarkStart w:id="469" w:name="_Toc5030"/>
      <w:bookmarkStart w:id="470" w:name="_Toc18024_WPSOffice_Level3"/>
      <w:bookmarkStart w:id="471" w:name="_Toc9728"/>
      <w:r>
        <w:rPr>
          <w:b w:val="0"/>
          <w:bCs w:val="0"/>
          <w:sz w:val="24"/>
          <w:szCs w:val="24"/>
        </w:rPr>
        <w:t>（</w:t>
      </w:r>
      <w:r>
        <w:rPr>
          <w:rFonts w:eastAsia="宋体"/>
          <w:b w:val="0"/>
          <w:bCs w:val="0"/>
          <w:sz w:val="24"/>
          <w:szCs w:val="24"/>
        </w:rPr>
        <w:t>一</w:t>
      </w:r>
      <w:r>
        <w:rPr>
          <w:b w:val="0"/>
          <w:bCs w:val="0"/>
          <w:sz w:val="24"/>
          <w:szCs w:val="24"/>
        </w:rPr>
        <w:t>）近年完成的类似项目情况表</w:t>
      </w:r>
      <w:bookmarkEnd w:id="467"/>
      <w:bookmarkEnd w:id="468"/>
    </w:p>
    <w:tbl>
      <w:tblPr>
        <w:tblStyle w:val="34"/>
        <w:tblW w:w="9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577"/>
        <w:gridCol w:w="1267"/>
        <w:gridCol w:w="1297"/>
        <w:gridCol w:w="1244"/>
        <w:gridCol w:w="1093"/>
        <w:gridCol w:w="1668"/>
      </w:tblGrid>
      <w:tr w14:paraId="2EAA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44" w:type="dxa"/>
            <w:noWrap w:val="0"/>
            <w:vAlign w:val="center"/>
          </w:tcPr>
          <w:p w14:paraId="21292BBC">
            <w:pPr>
              <w:widowControl/>
              <w:jc w:val="center"/>
              <w:rPr>
                <w:rFonts w:eastAsia="新宋体"/>
                <w:bCs/>
                <w:kern w:val="0"/>
                <w:sz w:val="21"/>
                <w:szCs w:val="21"/>
                <w:lang w:bidi="en-US"/>
              </w:rPr>
            </w:pPr>
            <w:r>
              <w:rPr>
                <w:rFonts w:eastAsia="新宋体"/>
                <w:bCs/>
                <w:kern w:val="0"/>
                <w:sz w:val="21"/>
                <w:szCs w:val="21"/>
                <w:lang w:bidi="en-US"/>
              </w:rPr>
              <w:t>序号</w:t>
            </w:r>
          </w:p>
        </w:tc>
        <w:tc>
          <w:tcPr>
            <w:tcW w:w="2577" w:type="dxa"/>
            <w:noWrap w:val="0"/>
            <w:vAlign w:val="center"/>
          </w:tcPr>
          <w:p w14:paraId="317F7737">
            <w:pPr>
              <w:widowControl/>
              <w:jc w:val="center"/>
              <w:rPr>
                <w:rFonts w:eastAsia="新宋体"/>
                <w:bCs/>
                <w:kern w:val="0"/>
                <w:sz w:val="21"/>
                <w:szCs w:val="21"/>
                <w:lang w:bidi="en-US"/>
              </w:rPr>
            </w:pPr>
            <w:r>
              <w:rPr>
                <w:rFonts w:eastAsia="新宋体"/>
                <w:bCs/>
                <w:kern w:val="0"/>
                <w:sz w:val="21"/>
                <w:szCs w:val="21"/>
                <w:lang w:bidi="en-US"/>
              </w:rPr>
              <w:t>项目名称</w:t>
            </w:r>
          </w:p>
        </w:tc>
        <w:tc>
          <w:tcPr>
            <w:tcW w:w="1267" w:type="dxa"/>
            <w:noWrap w:val="0"/>
            <w:vAlign w:val="center"/>
          </w:tcPr>
          <w:p w14:paraId="755BD5DB">
            <w:pPr>
              <w:widowControl/>
              <w:jc w:val="center"/>
              <w:rPr>
                <w:rFonts w:eastAsia="新宋体"/>
                <w:bCs/>
                <w:kern w:val="0"/>
                <w:sz w:val="21"/>
                <w:szCs w:val="21"/>
                <w:lang w:bidi="en-US"/>
              </w:rPr>
            </w:pPr>
            <w:r>
              <w:rPr>
                <w:rFonts w:eastAsia="新宋体"/>
                <w:bCs/>
                <w:kern w:val="0"/>
                <w:sz w:val="21"/>
                <w:szCs w:val="21"/>
                <w:lang w:bidi="en-US"/>
              </w:rPr>
              <w:t>项目负责人</w:t>
            </w:r>
          </w:p>
        </w:tc>
        <w:tc>
          <w:tcPr>
            <w:tcW w:w="1297" w:type="dxa"/>
            <w:noWrap w:val="0"/>
            <w:vAlign w:val="center"/>
          </w:tcPr>
          <w:p w14:paraId="4635FAF3">
            <w:pPr>
              <w:widowControl/>
              <w:jc w:val="center"/>
              <w:rPr>
                <w:rFonts w:eastAsia="新宋体"/>
                <w:bCs/>
                <w:kern w:val="0"/>
                <w:sz w:val="21"/>
                <w:szCs w:val="21"/>
                <w:lang w:bidi="en-US"/>
              </w:rPr>
            </w:pPr>
            <w:r>
              <w:rPr>
                <w:rFonts w:eastAsia="新宋体"/>
                <w:bCs/>
                <w:kern w:val="0"/>
                <w:sz w:val="21"/>
                <w:szCs w:val="21"/>
                <w:lang w:bidi="en-US"/>
              </w:rPr>
              <w:t>合同金额</w:t>
            </w:r>
          </w:p>
          <w:p w14:paraId="53177A55">
            <w:pPr>
              <w:autoSpaceDE w:val="0"/>
              <w:autoSpaceDN w:val="0"/>
              <w:adjustRightInd w:val="0"/>
              <w:ind w:firstLine="210"/>
              <w:jc w:val="center"/>
              <w:rPr>
                <w:color w:val="000000"/>
                <w:kern w:val="0"/>
                <w:sz w:val="21"/>
                <w:szCs w:val="21"/>
              </w:rPr>
            </w:pPr>
            <w:r>
              <w:rPr>
                <w:rFonts w:eastAsia="新宋体"/>
                <w:bCs/>
                <w:color w:val="000000"/>
                <w:kern w:val="0"/>
                <w:sz w:val="21"/>
                <w:szCs w:val="21"/>
                <w:lang w:bidi="en-US"/>
              </w:rPr>
              <w:t>（万元）</w:t>
            </w:r>
          </w:p>
        </w:tc>
        <w:tc>
          <w:tcPr>
            <w:tcW w:w="1244" w:type="dxa"/>
            <w:noWrap w:val="0"/>
            <w:vAlign w:val="center"/>
          </w:tcPr>
          <w:p w14:paraId="09D665BB">
            <w:pPr>
              <w:widowControl/>
              <w:jc w:val="center"/>
              <w:rPr>
                <w:rFonts w:eastAsia="新宋体"/>
                <w:bCs/>
                <w:kern w:val="0"/>
                <w:sz w:val="21"/>
                <w:szCs w:val="21"/>
                <w:lang w:bidi="en-US"/>
              </w:rPr>
            </w:pPr>
            <w:r>
              <w:rPr>
                <w:rFonts w:eastAsia="新宋体"/>
                <w:bCs/>
                <w:kern w:val="0"/>
                <w:sz w:val="21"/>
                <w:szCs w:val="21"/>
                <w:lang w:bidi="en-US"/>
              </w:rPr>
              <w:t>合同签订日期</w:t>
            </w:r>
          </w:p>
        </w:tc>
        <w:tc>
          <w:tcPr>
            <w:tcW w:w="1093" w:type="dxa"/>
            <w:noWrap w:val="0"/>
            <w:vAlign w:val="center"/>
          </w:tcPr>
          <w:p w14:paraId="1DD43DC6">
            <w:pPr>
              <w:widowControl/>
              <w:jc w:val="center"/>
              <w:rPr>
                <w:rFonts w:eastAsia="新宋体"/>
                <w:bCs/>
                <w:kern w:val="0"/>
                <w:sz w:val="21"/>
                <w:szCs w:val="21"/>
                <w:lang w:bidi="en-US"/>
              </w:rPr>
            </w:pPr>
            <w:r>
              <w:rPr>
                <w:rFonts w:eastAsia="新宋体"/>
                <w:bCs/>
                <w:kern w:val="0"/>
                <w:sz w:val="21"/>
                <w:szCs w:val="21"/>
                <w:lang w:bidi="en-US"/>
              </w:rPr>
              <w:t>验收日期</w:t>
            </w:r>
          </w:p>
        </w:tc>
        <w:tc>
          <w:tcPr>
            <w:tcW w:w="1668" w:type="dxa"/>
            <w:noWrap w:val="0"/>
            <w:vAlign w:val="center"/>
          </w:tcPr>
          <w:p w14:paraId="31A3827D">
            <w:pPr>
              <w:widowControl/>
              <w:jc w:val="center"/>
              <w:rPr>
                <w:rFonts w:eastAsia="新宋体"/>
                <w:bCs/>
                <w:kern w:val="0"/>
                <w:sz w:val="21"/>
                <w:szCs w:val="21"/>
                <w:lang w:bidi="en-US"/>
              </w:rPr>
            </w:pPr>
            <w:r>
              <w:rPr>
                <w:rFonts w:eastAsia="新宋体"/>
                <w:bCs/>
                <w:kern w:val="0"/>
                <w:sz w:val="21"/>
                <w:szCs w:val="21"/>
                <w:lang w:bidi="en-US"/>
              </w:rPr>
              <w:t>中标公示查询媒体（如有）</w:t>
            </w:r>
          </w:p>
        </w:tc>
      </w:tr>
      <w:tr w14:paraId="7B69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7B10CEC7">
            <w:pPr>
              <w:widowControl/>
              <w:jc w:val="center"/>
              <w:rPr>
                <w:rFonts w:eastAsia="新宋体"/>
                <w:bCs/>
                <w:kern w:val="0"/>
                <w:sz w:val="21"/>
                <w:szCs w:val="21"/>
                <w:lang w:bidi="en-US"/>
              </w:rPr>
            </w:pPr>
          </w:p>
        </w:tc>
        <w:tc>
          <w:tcPr>
            <w:tcW w:w="2577" w:type="dxa"/>
            <w:noWrap w:val="0"/>
            <w:vAlign w:val="center"/>
          </w:tcPr>
          <w:p w14:paraId="4DDEDCAD">
            <w:pPr>
              <w:widowControl/>
              <w:jc w:val="center"/>
              <w:rPr>
                <w:rFonts w:eastAsia="新宋体"/>
                <w:bCs/>
                <w:kern w:val="0"/>
                <w:sz w:val="21"/>
                <w:szCs w:val="21"/>
                <w:lang w:bidi="en-US"/>
              </w:rPr>
            </w:pPr>
          </w:p>
        </w:tc>
        <w:tc>
          <w:tcPr>
            <w:tcW w:w="1267" w:type="dxa"/>
            <w:noWrap w:val="0"/>
            <w:vAlign w:val="center"/>
          </w:tcPr>
          <w:p w14:paraId="0BDD71AA">
            <w:pPr>
              <w:widowControl/>
              <w:jc w:val="center"/>
              <w:rPr>
                <w:rFonts w:eastAsia="新宋体"/>
                <w:bCs/>
                <w:kern w:val="0"/>
                <w:sz w:val="21"/>
                <w:szCs w:val="21"/>
                <w:lang w:bidi="en-US"/>
              </w:rPr>
            </w:pPr>
          </w:p>
        </w:tc>
        <w:tc>
          <w:tcPr>
            <w:tcW w:w="1297" w:type="dxa"/>
            <w:noWrap w:val="0"/>
            <w:vAlign w:val="center"/>
          </w:tcPr>
          <w:p w14:paraId="4A5DE04B">
            <w:pPr>
              <w:widowControl/>
              <w:jc w:val="center"/>
              <w:rPr>
                <w:rFonts w:eastAsia="新宋体"/>
                <w:bCs/>
                <w:kern w:val="0"/>
                <w:sz w:val="21"/>
                <w:szCs w:val="21"/>
                <w:lang w:bidi="en-US"/>
              </w:rPr>
            </w:pPr>
          </w:p>
        </w:tc>
        <w:tc>
          <w:tcPr>
            <w:tcW w:w="1244" w:type="dxa"/>
            <w:noWrap w:val="0"/>
            <w:vAlign w:val="center"/>
          </w:tcPr>
          <w:p w14:paraId="7855922E">
            <w:pPr>
              <w:widowControl/>
              <w:jc w:val="center"/>
              <w:rPr>
                <w:rFonts w:eastAsia="新宋体"/>
                <w:bCs/>
                <w:kern w:val="0"/>
                <w:sz w:val="21"/>
                <w:szCs w:val="21"/>
                <w:lang w:bidi="en-US"/>
              </w:rPr>
            </w:pPr>
          </w:p>
        </w:tc>
        <w:tc>
          <w:tcPr>
            <w:tcW w:w="1093" w:type="dxa"/>
            <w:noWrap w:val="0"/>
            <w:vAlign w:val="center"/>
          </w:tcPr>
          <w:p w14:paraId="01D89E6E">
            <w:pPr>
              <w:widowControl/>
              <w:jc w:val="center"/>
              <w:rPr>
                <w:rFonts w:eastAsia="新宋体"/>
                <w:bCs/>
                <w:kern w:val="0"/>
                <w:sz w:val="21"/>
                <w:szCs w:val="21"/>
                <w:lang w:bidi="en-US"/>
              </w:rPr>
            </w:pPr>
          </w:p>
        </w:tc>
        <w:tc>
          <w:tcPr>
            <w:tcW w:w="1668" w:type="dxa"/>
            <w:noWrap w:val="0"/>
            <w:vAlign w:val="center"/>
          </w:tcPr>
          <w:p w14:paraId="78256FF3">
            <w:pPr>
              <w:widowControl/>
              <w:jc w:val="center"/>
              <w:rPr>
                <w:rFonts w:eastAsia="新宋体"/>
                <w:bCs/>
                <w:kern w:val="0"/>
                <w:sz w:val="21"/>
                <w:szCs w:val="21"/>
                <w:lang w:bidi="en-US"/>
              </w:rPr>
            </w:pPr>
          </w:p>
        </w:tc>
      </w:tr>
      <w:tr w14:paraId="0218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7A05261E">
            <w:pPr>
              <w:widowControl/>
              <w:jc w:val="center"/>
              <w:rPr>
                <w:rFonts w:eastAsia="新宋体"/>
                <w:bCs/>
                <w:kern w:val="0"/>
                <w:sz w:val="21"/>
                <w:szCs w:val="21"/>
                <w:lang w:bidi="en-US"/>
              </w:rPr>
            </w:pPr>
          </w:p>
        </w:tc>
        <w:tc>
          <w:tcPr>
            <w:tcW w:w="2577" w:type="dxa"/>
            <w:noWrap w:val="0"/>
            <w:vAlign w:val="center"/>
          </w:tcPr>
          <w:p w14:paraId="7F586AAE">
            <w:pPr>
              <w:widowControl/>
              <w:jc w:val="center"/>
              <w:rPr>
                <w:rFonts w:eastAsia="新宋体"/>
                <w:bCs/>
                <w:kern w:val="0"/>
                <w:sz w:val="21"/>
                <w:szCs w:val="21"/>
                <w:lang w:bidi="en-US"/>
              </w:rPr>
            </w:pPr>
          </w:p>
        </w:tc>
        <w:tc>
          <w:tcPr>
            <w:tcW w:w="1267" w:type="dxa"/>
            <w:noWrap w:val="0"/>
            <w:vAlign w:val="center"/>
          </w:tcPr>
          <w:p w14:paraId="39D28B3C">
            <w:pPr>
              <w:widowControl/>
              <w:jc w:val="center"/>
              <w:rPr>
                <w:rFonts w:eastAsia="新宋体"/>
                <w:bCs/>
                <w:kern w:val="0"/>
                <w:sz w:val="21"/>
                <w:szCs w:val="21"/>
                <w:lang w:bidi="en-US"/>
              </w:rPr>
            </w:pPr>
          </w:p>
        </w:tc>
        <w:tc>
          <w:tcPr>
            <w:tcW w:w="1297" w:type="dxa"/>
            <w:noWrap w:val="0"/>
            <w:vAlign w:val="center"/>
          </w:tcPr>
          <w:p w14:paraId="6C4840E4">
            <w:pPr>
              <w:widowControl/>
              <w:jc w:val="center"/>
              <w:rPr>
                <w:rFonts w:eastAsia="新宋体"/>
                <w:bCs/>
                <w:kern w:val="0"/>
                <w:sz w:val="21"/>
                <w:szCs w:val="21"/>
                <w:lang w:bidi="en-US"/>
              </w:rPr>
            </w:pPr>
          </w:p>
        </w:tc>
        <w:tc>
          <w:tcPr>
            <w:tcW w:w="1244" w:type="dxa"/>
            <w:noWrap w:val="0"/>
            <w:vAlign w:val="center"/>
          </w:tcPr>
          <w:p w14:paraId="66C3D3E3">
            <w:pPr>
              <w:widowControl/>
              <w:jc w:val="center"/>
              <w:rPr>
                <w:rFonts w:eastAsia="新宋体"/>
                <w:bCs/>
                <w:kern w:val="0"/>
                <w:sz w:val="21"/>
                <w:szCs w:val="21"/>
                <w:lang w:bidi="en-US"/>
              </w:rPr>
            </w:pPr>
          </w:p>
        </w:tc>
        <w:tc>
          <w:tcPr>
            <w:tcW w:w="1093" w:type="dxa"/>
            <w:noWrap w:val="0"/>
            <w:vAlign w:val="center"/>
          </w:tcPr>
          <w:p w14:paraId="319326FE">
            <w:pPr>
              <w:widowControl/>
              <w:jc w:val="center"/>
              <w:rPr>
                <w:rFonts w:eastAsia="新宋体"/>
                <w:bCs/>
                <w:kern w:val="0"/>
                <w:sz w:val="21"/>
                <w:szCs w:val="21"/>
                <w:lang w:bidi="en-US"/>
              </w:rPr>
            </w:pPr>
          </w:p>
        </w:tc>
        <w:tc>
          <w:tcPr>
            <w:tcW w:w="1668" w:type="dxa"/>
            <w:noWrap w:val="0"/>
            <w:vAlign w:val="center"/>
          </w:tcPr>
          <w:p w14:paraId="629B3618">
            <w:pPr>
              <w:widowControl/>
              <w:jc w:val="center"/>
              <w:rPr>
                <w:rFonts w:eastAsia="新宋体"/>
                <w:bCs/>
                <w:kern w:val="0"/>
                <w:sz w:val="21"/>
                <w:szCs w:val="21"/>
                <w:lang w:bidi="en-US"/>
              </w:rPr>
            </w:pPr>
          </w:p>
        </w:tc>
      </w:tr>
      <w:tr w14:paraId="5CF5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571D58A3">
            <w:pPr>
              <w:widowControl/>
              <w:jc w:val="center"/>
              <w:rPr>
                <w:rFonts w:eastAsia="新宋体"/>
                <w:bCs/>
                <w:kern w:val="0"/>
                <w:sz w:val="21"/>
                <w:szCs w:val="21"/>
                <w:lang w:bidi="en-US"/>
              </w:rPr>
            </w:pPr>
          </w:p>
        </w:tc>
        <w:tc>
          <w:tcPr>
            <w:tcW w:w="2577" w:type="dxa"/>
            <w:noWrap w:val="0"/>
            <w:vAlign w:val="center"/>
          </w:tcPr>
          <w:p w14:paraId="14CD0857">
            <w:pPr>
              <w:widowControl/>
              <w:jc w:val="center"/>
              <w:rPr>
                <w:rFonts w:eastAsia="新宋体"/>
                <w:bCs/>
                <w:kern w:val="0"/>
                <w:sz w:val="21"/>
                <w:szCs w:val="21"/>
                <w:lang w:bidi="en-US"/>
              </w:rPr>
            </w:pPr>
          </w:p>
        </w:tc>
        <w:tc>
          <w:tcPr>
            <w:tcW w:w="1267" w:type="dxa"/>
            <w:noWrap w:val="0"/>
            <w:vAlign w:val="center"/>
          </w:tcPr>
          <w:p w14:paraId="5A81272A">
            <w:pPr>
              <w:widowControl/>
              <w:jc w:val="center"/>
              <w:rPr>
                <w:rFonts w:eastAsia="新宋体"/>
                <w:bCs/>
                <w:kern w:val="0"/>
                <w:sz w:val="21"/>
                <w:szCs w:val="21"/>
                <w:lang w:bidi="en-US"/>
              </w:rPr>
            </w:pPr>
          </w:p>
        </w:tc>
        <w:tc>
          <w:tcPr>
            <w:tcW w:w="1297" w:type="dxa"/>
            <w:noWrap w:val="0"/>
            <w:vAlign w:val="center"/>
          </w:tcPr>
          <w:p w14:paraId="37945695">
            <w:pPr>
              <w:widowControl/>
              <w:jc w:val="center"/>
              <w:rPr>
                <w:rFonts w:eastAsia="新宋体"/>
                <w:bCs/>
                <w:kern w:val="0"/>
                <w:sz w:val="21"/>
                <w:szCs w:val="21"/>
                <w:lang w:bidi="en-US"/>
              </w:rPr>
            </w:pPr>
          </w:p>
        </w:tc>
        <w:tc>
          <w:tcPr>
            <w:tcW w:w="1244" w:type="dxa"/>
            <w:noWrap w:val="0"/>
            <w:vAlign w:val="center"/>
          </w:tcPr>
          <w:p w14:paraId="5E9F2DC2">
            <w:pPr>
              <w:widowControl/>
              <w:jc w:val="center"/>
              <w:rPr>
                <w:rFonts w:eastAsia="新宋体"/>
                <w:bCs/>
                <w:kern w:val="0"/>
                <w:sz w:val="21"/>
                <w:szCs w:val="21"/>
                <w:lang w:bidi="en-US"/>
              </w:rPr>
            </w:pPr>
          </w:p>
        </w:tc>
        <w:tc>
          <w:tcPr>
            <w:tcW w:w="1093" w:type="dxa"/>
            <w:noWrap w:val="0"/>
            <w:vAlign w:val="center"/>
          </w:tcPr>
          <w:p w14:paraId="16A0E848">
            <w:pPr>
              <w:widowControl/>
              <w:jc w:val="center"/>
              <w:rPr>
                <w:rFonts w:eastAsia="新宋体"/>
                <w:bCs/>
                <w:kern w:val="0"/>
                <w:sz w:val="21"/>
                <w:szCs w:val="21"/>
                <w:lang w:bidi="en-US"/>
              </w:rPr>
            </w:pPr>
          </w:p>
        </w:tc>
        <w:tc>
          <w:tcPr>
            <w:tcW w:w="1668" w:type="dxa"/>
            <w:noWrap w:val="0"/>
            <w:vAlign w:val="center"/>
          </w:tcPr>
          <w:p w14:paraId="1D9DDAA4">
            <w:pPr>
              <w:widowControl/>
              <w:jc w:val="center"/>
              <w:rPr>
                <w:rFonts w:eastAsia="新宋体"/>
                <w:bCs/>
                <w:kern w:val="0"/>
                <w:sz w:val="21"/>
                <w:szCs w:val="21"/>
                <w:lang w:bidi="en-US"/>
              </w:rPr>
            </w:pPr>
          </w:p>
        </w:tc>
      </w:tr>
      <w:tr w14:paraId="6A71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20D96CF9">
            <w:pPr>
              <w:widowControl/>
              <w:jc w:val="center"/>
              <w:rPr>
                <w:rFonts w:eastAsia="新宋体"/>
                <w:bCs/>
                <w:kern w:val="0"/>
                <w:sz w:val="21"/>
                <w:szCs w:val="21"/>
                <w:lang w:bidi="en-US"/>
              </w:rPr>
            </w:pPr>
          </w:p>
        </w:tc>
        <w:tc>
          <w:tcPr>
            <w:tcW w:w="2577" w:type="dxa"/>
            <w:noWrap w:val="0"/>
            <w:vAlign w:val="center"/>
          </w:tcPr>
          <w:p w14:paraId="603BACC8">
            <w:pPr>
              <w:widowControl/>
              <w:jc w:val="center"/>
              <w:rPr>
                <w:rFonts w:eastAsia="新宋体"/>
                <w:bCs/>
                <w:kern w:val="0"/>
                <w:sz w:val="21"/>
                <w:szCs w:val="21"/>
                <w:lang w:bidi="en-US"/>
              </w:rPr>
            </w:pPr>
          </w:p>
        </w:tc>
        <w:tc>
          <w:tcPr>
            <w:tcW w:w="1267" w:type="dxa"/>
            <w:noWrap w:val="0"/>
            <w:vAlign w:val="center"/>
          </w:tcPr>
          <w:p w14:paraId="38E4DD8F">
            <w:pPr>
              <w:widowControl/>
              <w:jc w:val="center"/>
              <w:rPr>
                <w:rFonts w:eastAsia="新宋体"/>
                <w:bCs/>
                <w:kern w:val="0"/>
                <w:sz w:val="21"/>
                <w:szCs w:val="21"/>
                <w:lang w:bidi="en-US"/>
              </w:rPr>
            </w:pPr>
          </w:p>
        </w:tc>
        <w:tc>
          <w:tcPr>
            <w:tcW w:w="1297" w:type="dxa"/>
            <w:noWrap w:val="0"/>
            <w:vAlign w:val="center"/>
          </w:tcPr>
          <w:p w14:paraId="7C9916A8">
            <w:pPr>
              <w:widowControl/>
              <w:jc w:val="center"/>
              <w:rPr>
                <w:rFonts w:eastAsia="新宋体"/>
                <w:bCs/>
                <w:kern w:val="0"/>
                <w:sz w:val="21"/>
                <w:szCs w:val="21"/>
                <w:lang w:bidi="en-US"/>
              </w:rPr>
            </w:pPr>
          </w:p>
        </w:tc>
        <w:tc>
          <w:tcPr>
            <w:tcW w:w="1244" w:type="dxa"/>
            <w:noWrap w:val="0"/>
            <w:vAlign w:val="center"/>
          </w:tcPr>
          <w:p w14:paraId="61C05E6A">
            <w:pPr>
              <w:widowControl/>
              <w:jc w:val="center"/>
              <w:rPr>
                <w:rFonts w:eastAsia="新宋体"/>
                <w:bCs/>
                <w:kern w:val="0"/>
                <w:sz w:val="21"/>
                <w:szCs w:val="21"/>
                <w:lang w:bidi="en-US"/>
              </w:rPr>
            </w:pPr>
          </w:p>
        </w:tc>
        <w:tc>
          <w:tcPr>
            <w:tcW w:w="1093" w:type="dxa"/>
            <w:noWrap w:val="0"/>
            <w:vAlign w:val="center"/>
          </w:tcPr>
          <w:p w14:paraId="3ABC7849">
            <w:pPr>
              <w:widowControl/>
              <w:jc w:val="center"/>
              <w:rPr>
                <w:rFonts w:eastAsia="新宋体"/>
                <w:bCs/>
                <w:kern w:val="0"/>
                <w:sz w:val="21"/>
                <w:szCs w:val="21"/>
                <w:lang w:bidi="en-US"/>
              </w:rPr>
            </w:pPr>
          </w:p>
        </w:tc>
        <w:tc>
          <w:tcPr>
            <w:tcW w:w="1668" w:type="dxa"/>
            <w:noWrap w:val="0"/>
            <w:vAlign w:val="center"/>
          </w:tcPr>
          <w:p w14:paraId="1F008439">
            <w:pPr>
              <w:widowControl/>
              <w:jc w:val="center"/>
              <w:rPr>
                <w:rFonts w:eastAsia="新宋体"/>
                <w:bCs/>
                <w:kern w:val="0"/>
                <w:sz w:val="21"/>
                <w:szCs w:val="21"/>
                <w:lang w:bidi="en-US"/>
              </w:rPr>
            </w:pPr>
          </w:p>
        </w:tc>
      </w:tr>
      <w:tr w14:paraId="11414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3957B238">
            <w:pPr>
              <w:widowControl/>
              <w:jc w:val="center"/>
              <w:rPr>
                <w:rFonts w:eastAsia="新宋体"/>
                <w:bCs/>
                <w:kern w:val="0"/>
                <w:sz w:val="21"/>
                <w:szCs w:val="21"/>
                <w:lang w:bidi="en-US"/>
              </w:rPr>
            </w:pPr>
          </w:p>
        </w:tc>
        <w:tc>
          <w:tcPr>
            <w:tcW w:w="2577" w:type="dxa"/>
            <w:noWrap w:val="0"/>
            <w:vAlign w:val="center"/>
          </w:tcPr>
          <w:p w14:paraId="64572339">
            <w:pPr>
              <w:widowControl/>
              <w:jc w:val="center"/>
              <w:rPr>
                <w:rFonts w:eastAsia="新宋体"/>
                <w:bCs/>
                <w:kern w:val="0"/>
                <w:sz w:val="21"/>
                <w:szCs w:val="21"/>
                <w:lang w:bidi="en-US"/>
              </w:rPr>
            </w:pPr>
          </w:p>
        </w:tc>
        <w:tc>
          <w:tcPr>
            <w:tcW w:w="1267" w:type="dxa"/>
            <w:noWrap w:val="0"/>
            <w:vAlign w:val="center"/>
          </w:tcPr>
          <w:p w14:paraId="4CFA731F">
            <w:pPr>
              <w:widowControl/>
              <w:jc w:val="center"/>
              <w:rPr>
                <w:rFonts w:eastAsia="新宋体"/>
                <w:bCs/>
                <w:kern w:val="0"/>
                <w:sz w:val="21"/>
                <w:szCs w:val="21"/>
                <w:lang w:bidi="en-US"/>
              </w:rPr>
            </w:pPr>
          </w:p>
        </w:tc>
        <w:tc>
          <w:tcPr>
            <w:tcW w:w="1297" w:type="dxa"/>
            <w:noWrap w:val="0"/>
            <w:vAlign w:val="center"/>
          </w:tcPr>
          <w:p w14:paraId="22A5BC9B">
            <w:pPr>
              <w:widowControl/>
              <w:jc w:val="center"/>
              <w:rPr>
                <w:rFonts w:eastAsia="新宋体"/>
                <w:bCs/>
                <w:kern w:val="0"/>
                <w:sz w:val="21"/>
                <w:szCs w:val="21"/>
                <w:lang w:bidi="en-US"/>
              </w:rPr>
            </w:pPr>
          </w:p>
        </w:tc>
        <w:tc>
          <w:tcPr>
            <w:tcW w:w="1244" w:type="dxa"/>
            <w:noWrap w:val="0"/>
            <w:vAlign w:val="center"/>
          </w:tcPr>
          <w:p w14:paraId="0D6923C5">
            <w:pPr>
              <w:widowControl/>
              <w:jc w:val="center"/>
              <w:rPr>
                <w:rFonts w:eastAsia="新宋体"/>
                <w:bCs/>
                <w:kern w:val="0"/>
                <w:sz w:val="21"/>
                <w:szCs w:val="21"/>
                <w:lang w:bidi="en-US"/>
              </w:rPr>
            </w:pPr>
          </w:p>
        </w:tc>
        <w:tc>
          <w:tcPr>
            <w:tcW w:w="1093" w:type="dxa"/>
            <w:noWrap w:val="0"/>
            <w:vAlign w:val="center"/>
          </w:tcPr>
          <w:p w14:paraId="1E50B4E8">
            <w:pPr>
              <w:widowControl/>
              <w:jc w:val="center"/>
              <w:rPr>
                <w:rFonts w:eastAsia="新宋体"/>
                <w:bCs/>
                <w:kern w:val="0"/>
                <w:sz w:val="21"/>
                <w:szCs w:val="21"/>
                <w:lang w:bidi="en-US"/>
              </w:rPr>
            </w:pPr>
          </w:p>
        </w:tc>
        <w:tc>
          <w:tcPr>
            <w:tcW w:w="1668" w:type="dxa"/>
            <w:noWrap w:val="0"/>
            <w:vAlign w:val="center"/>
          </w:tcPr>
          <w:p w14:paraId="0673FDB2">
            <w:pPr>
              <w:widowControl/>
              <w:jc w:val="center"/>
              <w:rPr>
                <w:rFonts w:eastAsia="新宋体"/>
                <w:bCs/>
                <w:kern w:val="0"/>
                <w:sz w:val="21"/>
                <w:szCs w:val="21"/>
                <w:lang w:bidi="en-US"/>
              </w:rPr>
            </w:pPr>
          </w:p>
        </w:tc>
      </w:tr>
      <w:tr w14:paraId="78CE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44" w:type="dxa"/>
            <w:noWrap w:val="0"/>
            <w:vAlign w:val="center"/>
          </w:tcPr>
          <w:p w14:paraId="138B5E40">
            <w:pPr>
              <w:widowControl/>
              <w:jc w:val="center"/>
              <w:rPr>
                <w:rFonts w:eastAsia="新宋体"/>
                <w:bCs/>
                <w:kern w:val="0"/>
                <w:sz w:val="21"/>
                <w:szCs w:val="21"/>
                <w:lang w:bidi="en-US"/>
              </w:rPr>
            </w:pPr>
          </w:p>
        </w:tc>
        <w:tc>
          <w:tcPr>
            <w:tcW w:w="2577" w:type="dxa"/>
            <w:noWrap w:val="0"/>
            <w:vAlign w:val="center"/>
          </w:tcPr>
          <w:p w14:paraId="20393506">
            <w:pPr>
              <w:widowControl/>
              <w:jc w:val="center"/>
              <w:rPr>
                <w:rFonts w:eastAsia="新宋体"/>
                <w:bCs/>
                <w:kern w:val="0"/>
                <w:sz w:val="21"/>
                <w:szCs w:val="21"/>
                <w:lang w:bidi="en-US"/>
              </w:rPr>
            </w:pPr>
          </w:p>
        </w:tc>
        <w:tc>
          <w:tcPr>
            <w:tcW w:w="1267" w:type="dxa"/>
            <w:noWrap w:val="0"/>
            <w:vAlign w:val="center"/>
          </w:tcPr>
          <w:p w14:paraId="70C7989F">
            <w:pPr>
              <w:widowControl/>
              <w:jc w:val="center"/>
              <w:rPr>
                <w:rFonts w:eastAsia="新宋体"/>
                <w:bCs/>
                <w:kern w:val="0"/>
                <w:sz w:val="21"/>
                <w:szCs w:val="21"/>
                <w:lang w:bidi="en-US"/>
              </w:rPr>
            </w:pPr>
          </w:p>
        </w:tc>
        <w:tc>
          <w:tcPr>
            <w:tcW w:w="1297" w:type="dxa"/>
            <w:noWrap w:val="0"/>
            <w:vAlign w:val="center"/>
          </w:tcPr>
          <w:p w14:paraId="363C42D3">
            <w:pPr>
              <w:widowControl/>
              <w:jc w:val="center"/>
              <w:rPr>
                <w:rFonts w:eastAsia="新宋体"/>
                <w:bCs/>
                <w:kern w:val="0"/>
                <w:sz w:val="21"/>
                <w:szCs w:val="21"/>
                <w:lang w:bidi="en-US"/>
              </w:rPr>
            </w:pPr>
          </w:p>
        </w:tc>
        <w:tc>
          <w:tcPr>
            <w:tcW w:w="1244" w:type="dxa"/>
            <w:noWrap w:val="0"/>
            <w:vAlign w:val="center"/>
          </w:tcPr>
          <w:p w14:paraId="336CE9A4">
            <w:pPr>
              <w:widowControl/>
              <w:jc w:val="center"/>
              <w:rPr>
                <w:rFonts w:eastAsia="新宋体"/>
                <w:bCs/>
                <w:kern w:val="0"/>
                <w:sz w:val="21"/>
                <w:szCs w:val="21"/>
                <w:lang w:bidi="en-US"/>
              </w:rPr>
            </w:pPr>
          </w:p>
        </w:tc>
        <w:tc>
          <w:tcPr>
            <w:tcW w:w="1093" w:type="dxa"/>
            <w:noWrap w:val="0"/>
            <w:vAlign w:val="center"/>
          </w:tcPr>
          <w:p w14:paraId="4A54A3A4">
            <w:pPr>
              <w:widowControl/>
              <w:jc w:val="center"/>
              <w:rPr>
                <w:rFonts w:eastAsia="新宋体"/>
                <w:bCs/>
                <w:kern w:val="0"/>
                <w:sz w:val="21"/>
                <w:szCs w:val="21"/>
                <w:lang w:bidi="en-US"/>
              </w:rPr>
            </w:pPr>
          </w:p>
        </w:tc>
        <w:tc>
          <w:tcPr>
            <w:tcW w:w="1668" w:type="dxa"/>
            <w:noWrap w:val="0"/>
            <w:vAlign w:val="center"/>
          </w:tcPr>
          <w:p w14:paraId="26815F55">
            <w:pPr>
              <w:widowControl/>
              <w:jc w:val="center"/>
              <w:rPr>
                <w:rFonts w:eastAsia="新宋体"/>
                <w:bCs/>
                <w:kern w:val="0"/>
                <w:sz w:val="21"/>
                <w:szCs w:val="21"/>
                <w:lang w:bidi="en-US"/>
              </w:rPr>
            </w:pPr>
          </w:p>
        </w:tc>
      </w:tr>
    </w:tbl>
    <w:p w14:paraId="17C40A02">
      <w:pPr>
        <w:spacing w:line="440" w:lineRule="exact"/>
        <w:rPr>
          <w:rFonts w:eastAsia="黑体"/>
          <w:sz w:val="23"/>
          <w:szCs w:val="23"/>
        </w:rPr>
      </w:pPr>
      <w:r>
        <w:rPr>
          <w:rFonts w:hint="eastAsia" w:ascii="宋体" w:hAnsi="宋体" w:eastAsia="宋体" w:cs="宋体"/>
          <w:b w:val="0"/>
          <w:bCs w:val="0"/>
          <w:sz w:val="21"/>
          <w:szCs w:val="21"/>
        </w:rPr>
        <w:t>注：投标文件中所有业绩汇总至此表，后附</w:t>
      </w:r>
      <w:r>
        <w:rPr>
          <w:rFonts w:hint="eastAsia" w:ascii="宋体" w:hAnsi="宋体" w:eastAsia="宋体" w:cs="宋体"/>
          <w:b w:val="0"/>
          <w:bCs w:val="0"/>
          <w:sz w:val="21"/>
          <w:szCs w:val="21"/>
          <w:lang w:val="en-US" w:eastAsia="zh-CN"/>
        </w:rPr>
        <w:t>相关证明材料</w:t>
      </w:r>
      <w:r>
        <w:rPr>
          <w:rFonts w:hint="eastAsia" w:ascii="宋体" w:hAnsi="宋体" w:eastAsia="宋体" w:cs="宋体"/>
          <w:b w:val="0"/>
          <w:bCs w:val="0"/>
          <w:sz w:val="21"/>
          <w:szCs w:val="21"/>
        </w:rPr>
        <w:t>，并标明序号。若无</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需在表中标注“/”。</w:t>
      </w:r>
    </w:p>
    <w:p w14:paraId="5522244A">
      <w:pPr>
        <w:jc w:val="center"/>
        <w:rPr>
          <w:rFonts w:hint="eastAsia" w:ascii="宋体" w:hAnsi="宋体" w:eastAsia="宋体" w:cs="宋体"/>
          <w:sz w:val="21"/>
          <w:szCs w:val="21"/>
        </w:rPr>
      </w:pPr>
    </w:p>
    <w:p w14:paraId="2615A240">
      <w:pPr>
        <w:jc w:val="center"/>
        <w:rPr>
          <w:rFonts w:hint="eastAsia" w:ascii="宋体" w:hAnsi="宋体" w:eastAsia="宋体" w:cs="宋体"/>
          <w:sz w:val="21"/>
          <w:szCs w:val="21"/>
        </w:rPr>
      </w:pPr>
    </w:p>
    <w:p w14:paraId="78FA0585">
      <w:pPr>
        <w:jc w:val="center"/>
        <w:rPr>
          <w:rFonts w:hint="eastAsia" w:ascii="宋体" w:hAnsi="宋体" w:eastAsia="宋体" w:cs="宋体"/>
          <w:sz w:val="21"/>
          <w:szCs w:val="21"/>
        </w:rPr>
      </w:pPr>
    </w:p>
    <w:p w14:paraId="1D07D3E5">
      <w:pPr>
        <w:jc w:val="center"/>
        <w:rPr>
          <w:rFonts w:hint="eastAsia" w:ascii="宋体" w:hAnsi="宋体" w:eastAsia="宋体" w:cs="宋体"/>
          <w:sz w:val="21"/>
          <w:szCs w:val="21"/>
        </w:rPr>
      </w:pPr>
    </w:p>
    <w:p w14:paraId="7A6A495D">
      <w:pPr>
        <w:rPr>
          <w:rFonts w:hint="eastAsia"/>
          <w:b w:val="0"/>
          <w:bCs w:val="0"/>
          <w:sz w:val="24"/>
          <w:szCs w:val="24"/>
          <w:lang w:eastAsia="zh-CN"/>
        </w:rPr>
      </w:pPr>
      <w:r>
        <w:rPr>
          <w:rFonts w:hint="eastAsia"/>
          <w:b w:val="0"/>
          <w:bCs w:val="0"/>
          <w:sz w:val="24"/>
          <w:szCs w:val="24"/>
          <w:lang w:eastAsia="zh-CN"/>
        </w:rPr>
        <w:br w:type="page"/>
      </w:r>
    </w:p>
    <w:p w14:paraId="2D50CE58">
      <w:pPr>
        <w:spacing w:before="163" w:beforeLines="50" w:after="163" w:afterLines="50" w:line="360" w:lineRule="auto"/>
        <w:jc w:val="center"/>
        <w:outlineLvl w:val="2"/>
        <w:rPr>
          <w:rFonts w:hint="eastAsia"/>
          <w:b w:val="0"/>
          <w:bCs w:val="0"/>
          <w:sz w:val="24"/>
          <w:szCs w:val="24"/>
        </w:rPr>
      </w:pPr>
      <w:r>
        <w:rPr>
          <w:rFonts w:hint="eastAsia"/>
          <w:b w:val="0"/>
          <w:bCs w:val="0"/>
          <w:sz w:val="24"/>
          <w:szCs w:val="24"/>
          <w:lang w:eastAsia="zh-CN"/>
        </w:rPr>
        <w:t>（</w:t>
      </w:r>
      <w:r>
        <w:rPr>
          <w:rFonts w:hint="eastAsia"/>
          <w:b w:val="0"/>
          <w:bCs w:val="0"/>
          <w:sz w:val="24"/>
          <w:szCs w:val="24"/>
          <w:lang w:val="en-US" w:eastAsia="zh-CN"/>
        </w:rPr>
        <w:t>二</w:t>
      </w:r>
      <w:r>
        <w:rPr>
          <w:rFonts w:hint="eastAsia"/>
          <w:b w:val="0"/>
          <w:bCs w:val="0"/>
          <w:sz w:val="24"/>
          <w:szCs w:val="24"/>
          <w:lang w:eastAsia="zh-CN"/>
        </w:rPr>
        <w:t>）</w:t>
      </w:r>
      <w:r>
        <w:rPr>
          <w:rFonts w:hint="eastAsia"/>
          <w:b w:val="0"/>
          <w:bCs w:val="0"/>
          <w:sz w:val="24"/>
          <w:szCs w:val="24"/>
        </w:rPr>
        <w:t>招标代理费支付承诺</w:t>
      </w:r>
      <w:bookmarkEnd w:id="469"/>
      <w:bookmarkEnd w:id="470"/>
      <w:bookmarkEnd w:id="471"/>
    </w:p>
    <w:p w14:paraId="56E186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（供应商）郑重承诺，我方参加 </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采购活动如有幸成为中标人（成交人），我公司将严格按照该项目约定的招标代理费金额在领取中标（成交）通知书时或在中标（成交）结果发布之日起3个工作日内以现金或转账方式足额支付。如未按要求支付费用所产生的一切后果，均由我公司自行负责。</w:t>
      </w:r>
    </w:p>
    <w:p w14:paraId="76C2A1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特此承诺。</w:t>
      </w:r>
    </w:p>
    <w:p w14:paraId="3FFB6860">
      <w:pPr>
        <w:rPr>
          <w:rFonts w:hint="eastAsia" w:ascii="宋体" w:hAnsi="宋体" w:eastAsia="宋体" w:cs="宋体"/>
          <w:sz w:val="21"/>
          <w:szCs w:val="21"/>
        </w:rPr>
      </w:pPr>
    </w:p>
    <w:p w14:paraId="7229C06E">
      <w:pPr>
        <w:rPr>
          <w:rFonts w:hint="eastAsia" w:ascii="宋体" w:hAnsi="宋体" w:eastAsia="宋体" w:cs="宋体"/>
          <w:sz w:val="21"/>
          <w:szCs w:val="21"/>
        </w:rPr>
      </w:pPr>
    </w:p>
    <w:p w14:paraId="16FE98A7">
      <w:pPr>
        <w:rPr>
          <w:rFonts w:hint="eastAsia" w:ascii="宋体" w:hAnsi="宋体" w:eastAsia="宋体" w:cs="宋体"/>
          <w:sz w:val="21"/>
          <w:szCs w:val="21"/>
        </w:rPr>
      </w:pPr>
    </w:p>
    <w:p w14:paraId="1892665F">
      <w:pPr>
        <w:rPr>
          <w:rFonts w:hint="eastAsia" w:ascii="宋体" w:hAnsi="宋体" w:eastAsia="宋体" w:cs="宋体"/>
          <w:sz w:val="21"/>
          <w:szCs w:val="21"/>
        </w:rPr>
      </w:pPr>
    </w:p>
    <w:p w14:paraId="4C33D777">
      <w:pPr>
        <w:rPr>
          <w:rFonts w:hint="eastAsia" w:ascii="宋体" w:hAnsi="宋体" w:eastAsia="宋体" w:cs="宋体"/>
          <w:sz w:val="21"/>
          <w:szCs w:val="21"/>
        </w:rPr>
      </w:pPr>
    </w:p>
    <w:p w14:paraId="7702569A">
      <w:pPr>
        <w:rPr>
          <w:rFonts w:hint="eastAsia" w:ascii="宋体" w:hAnsi="宋体" w:eastAsia="宋体" w:cs="宋体"/>
          <w:sz w:val="21"/>
          <w:szCs w:val="21"/>
        </w:rPr>
      </w:pPr>
    </w:p>
    <w:p w14:paraId="5595DCB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95D7C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22B05C3">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5D2FD4D">
      <w:pPr>
        <w:rPr>
          <w:rFonts w:hint="eastAsia" w:ascii="宋体" w:hAnsi="宋体" w:eastAsia="宋体" w:cs="宋体"/>
          <w:b/>
          <w:bCs/>
          <w:spacing w:val="6"/>
          <w:sz w:val="32"/>
          <w:szCs w:val="32"/>
        </w:rPr>
      </w:pPr>
    </w:p>
    <w:p w14:paraId="04E5F00E">
      <w:pPr>
        <w:rPr>
          <w:rFonts w:hint="eastAsia" w:ascii="宋体" w:hAnsi="宋体" w:eastAsia="宋体" w:cs="宋体"/>
          <w:b/>
          <w:bCs/>
          <w:spacing w:val="6"/>
          <w:sz w:val="32"/>
          <w:szCs w:val="32"/>
        </w:rPr>
      </w:pPr>
    </w:p>
    <w:p w14:paraId="551035AA">
      <w:pPr>
        <w:rPr>
          <w:rFonts w:hint="eastAsia" w:ascii="宋体" w:hAnsi="宋体" w:eastAsia="宋体" w:cs="宋体"/>
          <w:b/>
          <w:bCs/>
          <w:spacing w:val="6"/>
          <w:sz w:val="32"/>
          <w:szCs w:val="32"/>
        </w:rPr>
      </w:pPr>
    </w:p>
    <w:p w14:paraId="536C3CCA">
      <w:pPr>
        <w:rPr>
          <w:rFonts w:hint="eastAsia" w:ascii="宋体" w:hAnsi="宋体" w:eastAsia="宋体" w:cs="宋体"/>
          <w:b/>
          <w:bCs/>
          <w:spacing w:val="6"/>
          <w:sz w:val="32"/>
          <w:szCs w:val="32"/>
        </w:rPr>
      </w:pPr>
    </w:p>
    <w:p w14:paraId="0E36163E">
      <w:pPr>
        <w:rPr>
          <w:rFonts w:hint="eastAsia" w:ascii="宋体" w:hAnsi="宋体" w:eastAsia="宋体" w:cs="宋体"/>
          <w:b/>
          <w:bCs/>
          <w:spacing w:val="6"/>
          <w:sz w:val="32"/>
          <w:szCs w:val="32"/>
        </w:rPr>
      </w:pPr>
    </w:p>
    <w:p w14:paraId="3AD59F67">
      <w:pPr>
        <w:widowControl/>
        <w:jc w:val="left"/>
        <w:rPr>
          <w:rFonts w:hint="eastAsia" w:ascii="宋体" w:hAnsi="宋体" w:eastAsia="宋体" w:cs="宋体"/>
          <w:spacing w:val="6"/>
          <w:sz w:val="21"/>
          <w:szCs w:val="21"/>
        </w:rPr>
      </w:pPr>
      <w:r>
        <w:rPr>
          <w:rFonts w:hint="eastAsia" w:ascii="宋体" w:hAnsi="宋体" w:eastAsia="宋体" w:cs="宋体"/>
          <w:sz w:val="21"/>
          <w:szCs w:val="21"/>
        </w:rPr>
        <w:br w:type="page"/>
      </w:r>
    </w:p>
    <w:p w14:paraId="10F2A0B8">
      <w:pPr>
        <w:spacing w:before="163" w:beforeLines="50" w:after="163" w:afterLines="50" w:line="360" w:lineRule="auto"/>
        <w:jc w:val="center"/>
        <w:outlineLvl w:val="2"/>
        <w:rPr>
          <w:rFonts w:hint="eastAsia"/>
          <w:b w:val="0"/>
          <w:bCs w:val="0"/>
          <w:sz w:val="24"/>
          <w:szCs w:val="24"/>
        </w:rPr>
      </w:pPr>
      <w:r>
        <w:rPr>
          <w:rFonts w:hint="eastAsia"/>
          <w:b w:val="0"/>
          <w:bCs w:val="0"/>
          <w:sz w:val="24"/>
          <w:szCs w:val="24"/>
          <w:lang w:eastAsia="zh-CN"/>
        </w:rPr>
        <w:t>（</w:t>
      </w:r>
      <w:r>
        <w:rPr>
          <w:rFonts w:hint="eastAsia"/>
          <w:b w:val="0"/>
          <w:bCs w:val="0"/>
          <w:sz w:val="24"/>
          <w:szCs w:val="24"/>
          <w:lang w:val="en-US" w:eastAsia="zh-CN"/>
        </w:rPr>
        <w:t>三</w:t>
      </w:r>
      <w:r>
        <w:rPr>
          <w:rFonts w:hint="eastAsia"/>
          <w:b w:val="0"/>
          <w:bCs w:val="0"/>
          <w:sz w:val="24"/>
          <w:szCs w:val="24"/>
          <w:lang w:eastAsia="zh-CN"/>
        </w:rPr>
        <w:t>）供应商认为应附的其他材料</w:t>
      </w:r>
    </w:p>
    <w:p w14:paraId="433B5EDE">
      <w:pPr>
        <w:jc w:val="center"/>
        <w:rPr>
          <w:rFonts w:hint="eastAsia" w:ascii="宋体" w:hAnsi="宋体" w:eastAsia="宋体" w:cs="宋体"/>
          <w:b/>
          <w:bCs/>
          <w:spacing w:val="6"/>
          <w:sz w:val="32"/>
          <w:szCs w:val="32"/>
        </w:rPr>
      </w:pPr>
      <w:r>
        <w:rPr>
          <w:rFonts w:hint="eastAsia" w:ascii="宋体" w:hAnsi="宋体" w:eastAsia="宋体" w:cs="宋体"/>
          <w:b/>
          <w:bCs/>
          <w:spacing w:val="6"/>
          <w:sz w:val="32"/>
          <w:szCs w:val="32"/>
        </w:rPr>
        <w:br w:type="page"/>
      </w:r>
    </w:p>
    <w:p w14:paraId="10743610">
      <w:pPr>
        <w:spacing w:line="360"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1</w:t>
      </w:r>
      <w:r>
        <w:rPr>
          <w:rFonts w:hint="eastAsia" w:ascii="宋体" w:hAnsi="宋体" w:eastAsia="宋体" w:cs="宋体"/>
          <w:b/>
          <w:bCs/>
          <w:spacing w:val="6"/>
          <w:sz w:val="21"/>
          <w:szCs w:val="21"/>
        </w:rPr>
        <w:t>：</w:t>
      </w:r>
    </w:p>
    <w:p w14:paraId="43C05A08">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3666B66B">
      <w:pPr>
        <w:spacing w:line="360" w:lineRule="auto"/>
        <w:jc w:val="center"/>
        <w:rPr>
          <w:rFonts w:hint="eastAsia" w:ascii="宋体" w:hAnsi="宋体" w:eastAsia="宋体" w:cs="宋体"/>
          <w:b w:val="0"/>
          <w:bCs/>
          <w:spacing w:val="6"/>
          <w:sz w:val="21"/>
          <w:szCs w:val="21"/>
        </w:rPr>
      </w:pPr>
      <w:r>
        <w:rPr>
          <w:rFonts w:hint="eastAsia" w:ascii="宋体" w:hAnsi="宋体" w:eastAsia="宋体" w:cs="宋体"/>
          <w:b w:val="0"/>
          <w:bCs/>
          <w:sz w:val="21"/>
          <w:szCs w:val="21"/>
        </w:rPr>
        <w:t>（注：若无，</w:t>
      </w:r>
      <w:r>
        <w:rPr>
          <w:rFonts w:hint="eastAsia" w:ascii="宋体" w:hAnsi="宋体" w:eastAsia="宋体" w:cs="宋体"/>
          <w:b w:val="0"/>
          <w:bCs/>
          <w:sz w:val="21"/>
          <w:szCs w:val="21"/>
          <w:lang w:val="en-US" w:eastAsia="zh-CN"/>
        </w:rPr>
        <w:t>无需提供此项内容</w:t>
      </w:r>
      <w:r>
        <w:rPr>
          <w:rFonts w:hint="eastAsia" w:ascii="宋体" w:hAnsi="宋体" w:eastAsia="宋体" w:cs="宋体"/>
          <w:b w:val="0"/>
          <w:bCs/>
          <w:sz w:val="21"/>
          <w:szCs w:val="21"/>
        </w:rPr>
        <w:t>）</w:t>
      </w:r>
    </w:p>
    <w:p w14:paraId="3829BD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00FD147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EE5CE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062D861A">
      <w:pPr>
        <w:pStyle w:val="8"/>
        <w:spacing w:line="360" w:lineRule="auto"/>
        <w:ind w:left="480"/>
        <w:rPr>
          <w:rFonts w:hint="eastAsia" w:ascii="宋体" w:hAnsi="宋体" w:eastAsia="宋体" w:cs="宋体"/>
          <w:sz w:val="21"/>
          <w:szCs w:val="21"/>
        </w:rPr>
      </w:pPr>
    </w:p>
    <w:p w14:paraId="5CAA62C4">
      <w:pPr>
        <w:spacing w:line="360" w:lineRule="auto"/>
        <w:ind w:firstLine="420" w:firstLineChars="200"/>
        <w:rPr>
          <w:rFonts w:hint="eastAsia" w:ascii="宋体" w:hAnsi="宋体" w:eastAsia="宋体" w:cs="宋体"/>
          <w:kern w:val="0"/>
          <w:sz w:val="21"/>
          <w:szCs w:val="21"/>
          <w:lang w:val="zh-CN"/>
        </w:rPr>
      </w:pPr>
      <w:r>
        <w:rPr>
          <w:rFonts w:hint="eastAsia" w:ascii="宋体" w:hAnsi="宋体" w:eastAsia="宋体" w:cs="宋体"/>
          <w:kern w:val="0"/>
          <w:sz w:val="21"/>
          <w:szCs w:val="21"/>
          <w:lang w:val="en-US" w:eastAsia="zh-CN"/>
        </w:rPr>
        <w:t>单位名称</w:t>
      </w:r>
      <w:r>
        <w:rPr>
          <w:rFonts w:hint="eastAsia" w:ascii="宋体" w:hAnsi="宋体" w:eastAsia="宋体" w:cs="宋体"/>
          <w:kern w:val="0"/>
          <w:sz w:val="21"/>
          <w:szCs w:val="21"/>
          <w:lang w:val="zh-CN"/>
        </w:rPr>
        <w:t>：</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（全称并加盖公章）</w:t>
      </w:r>
    </w:p>
    <w:p w14:paraId="31421D0F">
      <w:pPr>
        <w:pStyle w:val="8"/>
        <w:spacing w:line="360" w:lineRule="auto"/>
        <w:rPr>
          <w:rFonts w:hint="eastAsia" w:ascii="宋体" w:hAnsi="宋体" w:eastAsia="宋体" w:cs="宋体"/>
          <w:sz w:val="21"/>
          <w:szCs w:val="21"/>
        </w:rPr>
      </w:pPr>
      <w:r>
        <w:rPr>
          <w:rFonts w:hint="eastAsia" w:ascii="宋体" w:hAnsi="宋体" w:eastAsia="宋体" w:cs="宋体"/>
          <w:sz w:val="21"/>
          <w:szCs w:val="21"/>
        </w:rPr>
        <w:t>日期：</w:t>
      </w:r>
    </w:p>
    <w:p w14:paraId="171BFF12">
      <w:pPr>
        <w:pStyle w:val="8"/>
        <w:spacing w:line="360" w:lineRule="auto"/>
        <w:ind w:left="480"/>
        <w:rPr>
          <w:rFonts w:hint="eastAsia" w:ascii="宋体" w:hAnsi="宋体" w:eastAsia="宋体" w:cs="宋体"/>
          <w:sz w:val="21"/>
          <w:szCs w:val="21"/>
        </w:rPr>
      </w:pPr>
    </w:p>
    <w:p w14:paraId="15940C0A">
      <w:pPr>
        <w:spacing w:line="360" w:lineRule="auto"/>
        <w:jc w:val="center"/>
        <w:rPr>
          <w:rFonts w:hint="eastAsia" w:ascii="宋体" w:hAnsi="宋体" w:eastAsia="宋体" w:cs="宋体"/>
          <w:b/>
          <w:bCs/>
          <w:spacing w:val="6"/>
          <w:sz w:val="32"/>
          <w:szCs w:val="32"/>
        </w:rPr>
      </w:pPr>
    </w:p>
    <w:p w14:paraId="12D96523">
      <w:pPr>
        <w:rPr>
          <w:rFonts w:hint="eastAsia" w:ascii="宋体" w:hAnsi="宋体" w:eastAsia="宋体" w:cs="宋体"/>
        </w:rPr>
      </w:pPr>
    </w:p>
    <w:p w14:paraId="57F6753F">
      <w:pPr>
        <w:rPr>
          <w:rFonts w:hint="eastAsia" w:ascii="宋体" w:hAnsi="宋体" w:eastAsia="宋体" w:cs="宋体"/>
        </w:rPr>
      </w:pPr>
    </w:p>
    <w:p w14:paraId="5A7263BB">
      <w:pPr>
        <w:rPr>
          <w:rFonts w:hint="eastAsia" w:ascii="宋体" w:hAnsi="宋体" w:eastAsia="宋体" w:cs="宋体"/>
        </w:rPr>
      </w:pPr>
    </w:p>
    <w:p w14:paraId="2C34026E">
      <w:pPr>
        <w:rPr>
          <w:rFonts w:hint="eastAsia" w:ascii="宋体" w:hAnsi="宋体" w:eastAsia="宋体" w:cs="宋体"/>
        </w:rPr>
      </w:pPr>
    </w:p>
    <w:p w14:paraId="349A45F7">
      <w:pPr>
        <w:rPr>
          <w:rFonts w:hint="eastAsia" w:ascii="宋体" w:hAnsi="宋体" w:eastAsia="宋体" w:cs="宋体"/>
        </w:rPr>
      </w:pPr>
    </w:p>
    <w:p w14:paraId="42429826">
      <w:pPr>
        <w:rPr>
          <w:rFonts w:hint="eastAsia" w:ascii="宋体" w:hAnsi="宋体" w:eastAsia="宋体" w:cs="宋体"/>
        </w:rPr>
      </w:pPr>
    </w:p>
    <w:p w14:paraId="61D872A6">
      <w:pPr>
        <w:rPr>
          <w:rFonts w:hint="eastAsia" w:ascii="宋体" w:hAnsi="宋体" w:eastAsia="宋体" w:cs="宋体"/>
        </w:rPr>
      </w:pPr>
    </w:p>
    <w:p w14:paraId="5934A030">
      <w:pPr>
        <w:rPr>
          <w:rFonts w:hint="eastAsia" w:ascii="宋体" w:hAnsi="宋体" w:eastAsia="宋体" w:cs="宋体"/>
        </w:rPr>
      </w:pPr>
    </w:p>
    <w:p w14:paraId="5CF9C71D">
      <w:pPr>
        <w:rPr>
          <w:rFonts w:hint="eastAsia" w:ascii="宋体" w:hAnsi="宋体" w:eastAsia="宋体" w:cs="宋体"/>
        </w:rPr>
      </w:pPr>
    </w:p>
    <w:p w14:paraId="2385686E">
      <w:pPr>
        <w:pStyle w:val="92"/>
        <w:ind w:firstLine="0" w:firstLineChars="0"/>
        <w:rPr>
          <w:rFonts w:hint="eastAsia" w:ascii="宋体" w:hAnsi="宋体" w:eastAsia="宋体" w:cs="宋体"/>
        </w:rPr>
      </w:pPr>
      <w:bookmarkStart w:id="472" w:name="_Toc26011_WPSOffice_Level2"/>
      <w:bookmarkStart w:id="473" w:name="_Toc17815"/>
      <w:bookmarkStart w:id="474" w:name="_Toc30073_WPSOffice_Level2"/>
      <w:bookmarkStart w:id="475" w:name="_Toc12504"/>
      <w:bookmarkStart w:id="476" w:name="_Toc3047"/>
      <w:bookmarkStart w:id="477" w:name="_Toc12758_WPSOffice_Level2"/>
    </w:p>
    <w:bookmarkEnd w:id="472"/>
    <w:bookmarkEnd w:id="473"/>
    <w:bookmarkEnd w:id="474"/>
    <w:bookmarkEnd w:id="475"/>
    <w:bookmarkEnd w:id="476"/>
    <w:bookmarkEnd w:id="477"/>
    <w:p w14:paraId="1489E3AB">
      <w:pPr>
        <w:widowControl/>
        <w:jc w:val="left"/>
        <w:rPr>
          <w:rFonts w:hint="eastAsia" w:ascii="宋体" w:hAnsi="宋体" w:eastAsia="宋体" w:cs="宋体"/>
        </w:rPr>
      </w:pPr>
      <w:r>
        <w:rPr>
          <w:rFonts w:hint="eastAsia" w:ascii="宋体" w:hAnsi="宋体" w:eastAsia="宋体" w:cs="宋体"/>
        </w:rPr>
        <w:br w:type="page"/>
      </w:r>
    </w:p>
    <w:p w14:paraId="6B7FA3B8">
      <w:pPr>
        <w:spacing w:line="360" w:lineRule="auto"/>
        <w:rPr>
          <w:rFonts w:hint="eastAsia" w:ascii="宋体" w:hAnsi="宋体" w:eastAsia="宋体" w:cs="宋体"/>
          <w:b/>
        </w:rPr>
      </w:pPr>
      <w:r>
        <w:rPr>
          <w:rFonts w:hint="eastAsia" w:ascii="宋体" w:hAnsi="宋体" w:eastAsia="宋体" w:cs="宋体"/>
          <w:b/>
        </w:rPr>
        <w:t>附件</w:t>
      </w:r>
      <w:r>
        <w:rPr>
          <w:rFonts w:hint="eastAsia" w:ascii="宋体" w:hAnsi="宋体" w:eastAsia="宋体" w:cs="宋体"/>
          <w:b/>
          <w:lang w:val="en-US" w:eastAsia="zh-CN"/>
        </w:rPr>
        <w:t>2</w:t>
      </w:r>
      <w:r>
        <w:rPr>
          <w:rFonts w:hint="eastAsia" w:ascii="宋体" w:hAnsi="宋体" w:eastAsia="宋体" w:cs="宋体"/>
          <w:b/>
        </w:rPr>
        <w:t>：</w:t>
      </w:r>
    </w:p>
    <w:p w14:paraId="6390358E">
      <w:pPr>
        <w:pStyle w:val="88"/>
        <w:spacing w:line="360" w:lineRule="auto"/>
        <w:jc w:val="center"/>
        <w:rPr>
          <w:rFonts w:hint="eastAsia" w:ascii="宋体" w:hAnsi="宋体" w:eastAsia="宋体" w:cs="宋体"/>
          <w:b/>
          <w:sz w:val="32"/>
          <w:szCs w:val="21"/>
        </w:rPr>
      </w:pPr>
      <w:r>
        <w:rPr>
          <w:rFonts w:hint="eastAsia" w:ascii="宋体" w:hAnsi="宋体" w:eastAsia="宋体" w:cs="宋体"/>
          <w:b/>
          <w:sz w:val="32"/>
          <w:szCs w:val="21"/>
        </w:rPr>
        <w:t>中小企业声明函（工程、服务）</w:t>
      </w:r>
    </w:p>
    <w:p w14:paraId="6DF098F9">
      <w:pPr>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（不属于中小微企业的无需提供此项内容）</w:t>
      </w:r>
    </w:p>
    <w:p w14:paraId="4BCE7F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7FB3A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519DF4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 （标的名称）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w:t>
      </w:r>
      <w:r>
        <w:rPr>
          <w:rFonts w:hint="eastAsia" w:ascii="宋体" w:hAnsi="宋体" w:eastAsia="宋体" w:cs="宋体"/>
          <w:sz w:val="21"/>
          <w:szCs w:val="21"/>
        </w:rPr>
        <w:t xml:space="preserve"> ，从业人员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2A2AEA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E4CD8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4F11B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FE7E688">
      <w:pPr>
        <w:pStyle w:val="32"/>
        <w:spacing w:line="360" w:lineRule="auto"/>
        <w:ind w:left="480" w:firstLine="210"/>
        <w:rPr>
          <w:rFonts w:hint="eastAsia" w:ascii="宋体" w:hAnsi="宋体" w:eastAsia="宋体" w:cs="宋体"/>
          <w:szCs w:val="21"/>
        </w:rPr>
      </w:pPr>
    </w:p>
    <w:p w14:paraId="624175CA">
      <w:pPr>
        <w:pStyle w:val="32"/>
        <w:spacing w:line="360" w:lineRule="auto"/>
        <w:ind w:left="480" w:firstLine="210"/>
        <w:rPr>
          <w:rFonts w:hint="eastAsia" w:ascii="宋体" w:hAnsi="宋体" w:eastAsia="宋体" w:cs="宋体"/>
          <w:szCs w:val="21"/>
        </w:rPr>
      </w:pPr>
    </w:p>
    <w:p w14:paraId="51FE1D91">
      <w:pPr>
        <w:spacing w:line="360" w:lineRule="auto"/>
        <w:ind w:right="1680" w:firstLine="420" w:firstLineChars="200"/>
        <w:rPr>
          <w:rFonts w:hint="eastAsia" w:ascii="宋体" w:hAnsi="宋体" w:eastAsia="宋体" w:cs="宋体"/>
          <w:sz w:val="21"/>
          <w:szCs w:val="21"/>
        </w:rPr>
      </w:pPr>
      <w:r>
        <w:rPr>
          <w:rFonts w:hint="eastAsia" w:ascii="宋体" w:hAnsi="宋体" w:eastAsia="宋体" w:cs="宋体"/>
          <w:sz w:val="21"/>
          <w:szCs w:val="21"/>
        </w:rPr>
        <w:t>企业名称（盖章）：</w:t>
      </w:r>
    </w:p>
    <w:p w14:paraId="7F75FE96">
      <w:pPr>
        <w:pStyle w:val="32"/>
        <w:spacing w:line="360" w:lineRule="auto"/>
        <w:ind w:left="480" w:firstLine="210"/>
        <w:rPr>
          <w:rFonts w:hint="eastAsia" w:ascii="宋体" w:hAnsi="宋体" w:eastAsia="宋体" w:cs="宋体"/>
          <w:szCs w:val="21"/>
        </w:rPr>
      </w:pPr>
    </w:p>
    <w:p w14:paraId="375F9064">
      <w:pPr>
        <w:spacing w:line="360" w:lineRule="auto"/>
        <w:ind w:right="840"/>
        <w:jc w:val="right"/>
        <w:rPr>
          <w:rFonts w:hint="eastAsia" w:ascii="宋体" w:hAnsi="宋体" w:eastAsia="宋体" w:cs="宋体"/>
          <w:b/>
          <w:spacing w:val="6"/>
          <w:sz w:val="21"/>
          <w:szCs w:val="21"/>
        </w:rPr>
      </w:pPr>
      <w:r>
        <w:rPr>
          <w:rFonts w:hint="eastAsia" w:ascii="宋体" w:hAnsi="宋体" w:eastAsia="宋体" w:cs="宋体"/>
          <w:sz w:val="21"/>
          <w:szCs w:val="21"/>
        </w:rPr>
        <w:t>日 期：</w:t>
      </w:r>
    </w:p>
    <w:p w14:paraId="7D1B26B2">
      <w:pPr>
        <w:rPr>
          <w:rFonts w:hint="eastAsia" w:ascii="宋体" w:hAnsi="宋体" w:eastAsia="宋体" w:cs="宋体"/>
          <w:b/>
        </w:rPr>
      </w:pPr>
      <w:r>
        <w:rPr>
          <w:rFonts w:hint="eastAsia" w:ascii="宋体" w:hAnsi="宋体" w:eastAsia="宋体" w:cs="宋体"/>
          <w:b/>
        </w:rPr>
        <w:br w:type="page"/>
      </w:r>
    </w:p>
    <w:p w14:paraId="00F745DF">
      <w:pPr>
        <w:spacing w:line="360" w:lineRule="auto"/>
        <w:rPr>
          <w:rFonts w:hint="eastAsia" w:ascii="宋体" w:hAnsi="宋体" w:eastAsia="宋体" w:cs="宋体"/>
          <w:b/>
        </w:rPr>
      </w:pPr>
      <w:r>
        <w:rPr>
          <w:rFonts w:hint="eastAsia" w:ascii="宋体" w:hAnsi="宋体" w:eastAsia="宋体" w:cs="宋体"/>
          <w:b/>
        </w:rPr>
        <w:t>附件</w:t>
      </w:r>
      <w:r>
        <w:rPr>
          <w:rFonts w:hint="eastAsia" w:ascii="宋体" w:hAnsi="宋体" w:eastAsia="宋体" w:cs="宋体"/>
          <w:b/>
          <w:lang w:val="en-US" w:eastAsia="zh-CN"/>
        </w:rPr>
        <w:t>3</w:t>
      </w:r>
      <w:r>
        <w:rPr>
          <w:rFonts w:hint="eastAsia" w:ascii="宋体" w:hAnsi="宋体" w:eastAsia="宋体" w:cs="宋体"/>
          <w:b/>
        </w:rPr>
        <w:t>：</w:t>
      </w:r>
    </w:p>
    <w:p w14:paraId="179BA058">
      <w:pPr>
        <w:pStyle w:val="88"/>
        <w:spacing w:line="360" w:lineRule="auto"/>
        <w:jc w:val="center"/>
        <w:rPr>
          <w:rFonts w:ascii="Times New Roman" w:hAnsi="Times New Roman"/>
          <w:sz w:val="36"/>
          <w:szCs w:val="36"/>
        </w:rPr>
      </w:pPr>
      <w:r>
        <w:rPr>
          <w:rFonts w:hint="eastAsia" w:ascii="宋体" w:hAnsi="宋体" w:eastAsia="宋体" w:cs="宋体"/>
          <w:b/>
          <w:sz w:val="32"/>
          <w:szCs w:val="21"/>
        </w:rPr>
        <w:t>监狱企业证明文件（如有）</w:t>
      </w:r>
    </w:p>
    <w:p w14:paraId="00EEE222">
      <w:pPr>
        <w:ind w:firstLine="0" w:firstLineChars="0"/>
        <w:rPr>
          <w:rFonts w:ascii="Times New Roman" w:hAnsi="Times New Roman"/>
          <w:sz w:val="28"/>
          <w:szCs w:val="28"/>
        </w:rPr>
      </w:pPr>
    </w:p>
    <w:p w14:paraId="772FDDB3">
      <w:pPr>
        <w:spacing w:line="360" w:lineRule="auto"/>
        <w:ind w:firstLine="420"/>
        <w:rPr>
          <w:rFonts w:ascii="Times New Roman" w:hAnsi="Times New Roman"/>
          <w:sz w:val="21"/>
          <w:szCs w:val="21"/>
        </w:rPr>
      </w:pPr>
      <w:r>
        <w:rPr>
          <w:rFonts w:ascii="Times New Roman" w:hAnsi="Times New Roman"/>
          <w:sz w:val="21"/>
          <w:szCs w:val="21"/>
        </w:rPr>
        <w:t>根据财政部、司法部联合印发《关于政府采购支持监狱企业发展有关问题的通知》（财库【2014】68号）文件规定，凡监狱企业参加政府采购活动视同小型、微型企业，但必须提供由省级以上监狱管理局、戒毒管理局（含新疆生产建设兵团）出具的属于监狱企业的证明文件。</w:t>
      </w:r>
    </w:p>
    <w:p w14:paraId="2C4D7C2D">
      <w:pPr>
        <w:spacing w:line="360" w:lineRule="auto"/>
        <w:ind w:firstLine="420"/>
        <w:rPr>
          <w:rFonts w:ascii="Times New Roman" w:hAnsi="Times New Roman"/>
          <w:sz w:val="21"/>
          <w:szCs w:val="21"/>
        </w:rPr>
      </w:pPr>
    </w:p>
    <w:p w14:paraId="53C4D91F">
      <w:pPr>
        <w:spacing w:line="360" w:lineRule="auto"/>
        <w:ind w:firstLine="420"/>
        <w:rPr>
          <w:rFonts w:ascii="Times New Roman" w:hAnsi="Times New Roman"/>
          <w:sz w:val="21"/>
          <w:szCs w:val="21"/>
        </w:rPr>
      </w:pPr>
    </w:p>
    <w:p w14:paraId="039E2280">
      <w:pPr>
        <w:spacing w:line="360" w:lineRule="auto"/>
        <w:ind w:firstLine="420"/>
        <w:rPr>
          <w:rFonts w:ascii="Times New Roman" w:hAnsi="Times New Roman"/>
          <w:sz w:val="21"/>
          <w:szCs w:val="21"/>
        </w:rPr>
      </w:pPr>
      <w:r>
        <w:rPr>
          <w:rFonts w:ascii="Times New Roman" w:hAnsi="Times New Roman"/>
          <w:sz w:val="21"/>
          <w:szCs w:val="21"/>
        </w:rPr>
        <w:t>注：符合条件的需附</w:t>
      </w:r>
      <w:r>
        <w:rPr>
          <w:rFonts w:hint="eastAsia" w:ascii="Times New Roman" w:hAnsi="Times New Roman"/>
          <w:sz w:val="21"/>
          <w:szCs w:val="21"/>
        </w:rPr>
        <w:t>证明文件</w:t>
      </w:r>
      <w:r>
        <w:rPr>
          <w:rFonts w:ascii="Times New Roman" w:hAnsi="Times New Roman"/>
          <w:sz w:val="21"/>
          <w:szCs w:val="21"/>
        </w:rPr>
        <w:t>扫描件</w:t>
      </w:r>
      <w:r>
        <w:rPr>
          <w:rFonts w:hint="eastAsia" w:ascii="Times New Roman" w:hAnsi="Times New Roman"/>
          <w:sz w:val="21"/>
          <w:szCs w:val="21"/>
        </w:rPr>
        <w:t>，不符合则</w:t>
      </w:r>
      <w:r>
        <w:rPr>
          <w:rFonts w:hint="eastAsia" w:ascii="Times New Roman" w:hAnsi="Times New Roman"/>
          <w:sz w:val="21"/>
          <w:szCs w:val="21"/>
          <w:lang w:val="en-US" w:eastAsia="zh-CN"/>
        </w:rPr>
        <w:t>无需</w:t>
      </w:r>
      <w:r>
        <w:rPr>
          <w:rFonts w:hint="eastAsia" w:ascii="Times New Roman" w:hAnsi="Times New Roman"/>
          <w:sz w:val="21"/>
          <w:szCs w:val="21"/>
        </w:rPr>
        <w:t>提供</w:t>
      </w:r>
      <w:r>
        <w:rPr>
          <w:rFonts w:hint="eastAsia" w:ascii="Times New Roman" w:hAnsi="Times New Roman"/>
          <w:sz w:val="21"/>
          <w:szCs w:val="21"/>
          <w:lang w:val="en-US" w:eastAsia="zh-CN"/>
        </w:rPr>
        <w:t>此项内容</w:t>
      </w:r>
      <w:r>
        <w:rPr>
          <w:rFonts w:ascii="Times New Roman" w:hAnsi="Times New Roman"/>
          <w:sz w:val="21"/>
          <w:szCs w:val="21"/>
        </w:rPr>
        <w:t>。</w:t>
      </w:r>
    </w:p>
    <w:p w14:paraId="54F6DA61"/>
    <w:p w14:paraId="5429174E">
      <w:pPr>
        <w:pStyle w:val="88"/>
        <w:spacing w:line="432" w:lineRule="auto"/>
        <w:rPr>
          <w:rFonts w:hint="eastAsia" w:ascii="宋体" w:hAnsi="宋体" w:eastAsia="宋体" w:cs="宋体"/>
          <w:b/>
          <w:spacing w:val="6"/>
          <w:sz w:val="21"/>
          <w:szCs w:val="21"/>
        </w:rPr>
      </w:pPr>
      <w:r>
        <w:rPr>
          <w:rStyle w:val="87"/>
          <w:rFonts w:hint="eastAsia" w:ascii="宋体" w:hAnsi="宋体" w:eastAsia="宋体" w:cs="宋体"/>
          <w:sz w:val="28"/>
          <w:szCs w:val="28"/>
        </w:rPr>
        <w:br w:type="page"/>
      </w:r>
      <w:r>
        <w:rPr>
          <w:rFonts w:hint="eastAsia" w:ascii="宋体" w:hAnsi="宋体" w:eastAsia="宋体" w:cs="宋体"/>
          <w:b/>
          <w:spacing w:val="6"/>
          <w:sz w:val="21"/>
          <w:szCs w:val="21"/>
        </w:rPr>
        <w:t>附件</w:t>
      </w:r>
      <w:r>
        <w:rPr>
          <w:rFonts w:hint="eastAsia" w:ascii="宋体" w:hAnsi="宋体" w:cs="宋体"/>
          <w:b/>
          <w:spacing w:val="6"/>
          <w:sz w:val="21"/>
          <w:szCs w:val="21"/>
          <w:lang w:val="en-US" w:eastAsia="zh-CN"/>
        </w:rPr>
        <w:t>4</w:t>
      </w:r>
      <w:r>
        <w:rPr>
          <w:rFonts w:hint="eastAsia" w:ascii="宋体" w:hAnsi="宋体" w:eastAsia="宋体" w:cs="宋体"/>
          <w:b/>
          <w:spacing w:val="6"/>
          <w:sz w:val="21"/>
          <w:szCs w:val="21"/>
        </w:rPr>
        <w:t>：（投标文件/响应文件无需附此项内容）</w:t>
      </w:r>
    </w:p>
    <w:p w14:paraId="3C966272">
      <w:pPr>
        <w:pStyle w:val="88"/>
        <w:spacing w:line="440" w:lineRule="exact"/>
        <w:ind w:left="480"/>
        <w:jc w:val="center"/>
        <w:rPr>
          <w:rFonts w:hint="eastAsia" w:ascii="宋体" w:hAnsi="宋体" w:eastAsia="宋体" w:cs="宋体"/>
          <w:b/>
          <w:sz w:val="32"/>
          <w:szCs w:val="21"/>
        </w:rPr>
      </w:pPr>
      <w:r>
        <w:rPr>
          <w:rFonts w:hint="eastAsia" w:ascii="宋体" w:hAnsi="宋体" w:eastAsia="宋体" w:cs="宋体"/>
          <w:b/>
          <w:sz w:val="32"/>
          <w:szCs w:val="21"/>
        </w:rPr>
        <w:t>河南省政府采购合同融资政策告知函</w:t>
      </w:r>
    </w:p>
    <w:p w14:paraId="7A98B8DB">
      <w:pPr>
        <w:pStyle w:val="88"/>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7B4FC0DF">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5B156066">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30644BF">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20874E86">
      <w:pPr>
        <w:widowControl/>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2C54E546">
      <w:pPr>
        <w:spacing w:line="312" w:lineRule="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w:t>
      </w:r>
      <w:r>
        <w:rPr>
          <w:rFonts w:hint="eastAsia" w:ascii="宋体" w:hAnsi="宋体" w:eastAsia="宋体" w:cs="宋体"/>
          <w:b/>
          <w:spacing w:val="6"/>
          <w:kern w:val="0"/>
          <w:sz w:val="21"/>
          <w:szCs w:val="21"/>
          <w:lang w:val="en-US" w:eastAsia="zh-CN"/>
        </w:rPr>
        <w:t>5</w:t>
      </w:r>
      <w:r>
        <w:rPr>
          <w:rFonts w:hint="eastAsia" w:ascii="宋体" w:hAnsi="宋体" w:eastAsia="宋体" w:cs="宋体"/>
          <w:b/>
          <w:spacing w:val="6"/>
          <w:kern w:val="0"/>
          <w:sz w:val="21"/>
          <w:szCs w:val="21"/>
        </w:rPr>
        <w:t>：</w:t>
      </w:r>
      <w:r>
        <w:rPr>
          <w:rFonts w:hint="eastAsia" w:ascii="宋体" w:hAnsi="宋体" w:eastAsia="宋体" w:cs="宋体"/>
          <w:b/>
          <w:spacing w:val="6"/>
          <w:sz w:val="21"/>
          <w:szCs w:val="21"/>
        </w:rPr>
        <w:t>（投标文件/响应文件无需附此项内容）</w:t>
      </w:r>
    </w:p>
    <w:p w14:paraId="6441CF4E">
      <w:pPr>
        <w:widowControl/>
        <w:spacing w:line="360" w:lineRule="auto"/>
        <w:ind w:firstLine="420" w:firstLineChars="200"/>
        <w:jc w:val="center"/>
        <w:rPr>
          <w:rFonts w:hint="eastAsia" w:ascii="宋体" w:hAnsi="宋体" w:eastAsia="宋体" w:cs="宋体"/>
          <w:kern w:val="0"/>
          <w:sz w:val="21"/>
          <w:szCs w:val="21"/>
        </w:rPr>
      </w:pPr>
      <w:bookmarkStart w:id="478" w:name="_Toc27946"/>
      <w:r>
        <w:rPr>
          <w:rFonts w:hint="eastAsia" w:ascii="宋体" w:hAnsi="宋体" w:eastAsia="宋体" w:cs="宋体"/>
          <w:kern w:val="0"/>
          <w:sz w:val="21"/>
          <w:szCs w:val="21"/>
        </w:rPr>
        <w:t>工信部联企业〔</w:t>
      </w:r>
      <w:bookmarkEnd w:id="478"/>
      <w:r>
        <w:rPr>
          <w:rFonts w:hint="eastAsia" w:ascii="宋体" w:hAnsi="宋体" w:eastAsia="宋体" w:cs="宋体"/>
          <w:kern w:val="0"/>
          <w:sz w:val="21"/>
          <w:szCs w:val="21"/>
        </w:rPr>
        <w:t>2011〕300号</w:t>
      </w:r>
    </w:p>
    <w:p w14:paraId="6B8CF800">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62E5A9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5102D3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6BD19B39">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7A338518">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76E9711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DFCA531">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二○一一年六月十八日</w:t>
      </w:r>
      <w:bookmarkStart w:id="479" w:name="_Toc4126"/>
      <w:bookmarkEnd w:id="479"/>
      <w:bookmarkStart w:id="480" w:name="_Toc19819"/>
      <w:bookmarkEnd w:id="480"/>
      <w:bookmarkStart w:id="481" w:name="_Toc13328"/>
      <w:bookmarkEnd w:id="481"/>
      <w:r>
        <w:rPr>
          <w:rFonts w:hint="eastAsia" w:ascii="宋体" w:hAnsi="宋体" w:eastAsia="宋体" w:cs="宋体"/>
          <w:kern w:val="0"/>
          <w:sz w:val="21"/>
          <w:szCs w:val="21"/>
        </w:rPr>
        <w:t> </w:t>
      </w:r>
    </w:p>
    <w:p w14:paraId="62279055">
      <w:pPr>
        <w:widowControl/>
        <w:spacing w:line="360" w:lineRule="auto"/>
        <w:ind w:firstLine="420" w:firstLineChars="200"/>
        <w:jc w:val="center"/>
        <w:rPr>
          <w:rFonts w:hint="eastAsia" w:ascii="宋体" w:hAnsi="宋体" w:eastAsia="宋体" w:cs="宋体"/>
          <w:kern w:val="0"/>
          <w:sz w:val="21"/>
          <w:szCs w:val="21"/>
        </w:rPr>
      </w:pPr>
      <w:bookmarkStart w:id="482" w:name="_Toc6557"/>
      <w:r>
        <w:rPr>
          <w:rFonts w:hint="eastAsia" w:ascii="宋体" w:hAnsi="宋体" w:eastAsia="宋体" w:cs="宋体"/>
          <w:kern w:val="0"/>
          <w:sz w:val="21"/>
          <w:szCs w:val="21"/>
        </w:rPr>
        <w:t>中小企业划型标准规定</w:t>
      </w:r>
      <w:bookmarkEnd w:id="482"/>
    </w:p>
    <w:p w14:paraId="7798F6F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 </w:t>
      </w:r>
    </w:p>
    <w:p w14:paraId="393270B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044549E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371D2E8C">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415861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529C5FB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27DA2553">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7FEBC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111856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360817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1549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7A394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56AE8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DFFD4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6DE2C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E3DA3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419D8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F9D6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5193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109B1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33E06D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5B4BF7C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2F30238D">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7711E50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68CFDBC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29523EBF">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552A1907">
      <w:pPr>
        <w:ind w:firstLine="420" w:firstLineChars="200"/>
        <w:rPr>
          <w:rFonts w:hint="eastAsia" w:ascii="宋体" w:hAnsi="宋体" w:eastAsia="宋体" w:cs="宋体"/>
        </w:rPr>
      </w:pPr>
      <w:r>
        <w:rPr>
          <w:rFonts w:hint="eastAsia" w:ascii="宋体" w:hAnsi="宋体" w:eastAsia="宋体" w:cs="宋体"/>
          <w:sz w:val="21"/>
          <w:szCs w:val="21"/>
        </w:rPr>
        <w:t>十、本规定自发布之日起执行，原国家经贸委、原国家计委、财政部和国家统计局2003年颁布的《中小企业标准暂行规定》同时废止。</w:t>
      </w:r>
    </w:p>
    <w:sectPr>
      <w:headerReference r:id="rId7" w:type="default"/>
      <w:footerReference r:id="rId8" w:type="default"/>
      <w:pgSz w:w="11906" w:h="16838"/>
      <w:pgMar w:top="1440" w:right="1080" w:bottom="1440" w:left="1080" w:header="851" w:footer="992" w:gutter="0"/>
      <w:pgNumType w:fmt="decimal"/>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Print"/>
    <w:panose1 w:val="020F0302020204030204"/>
    <w:charset w:val="00"/>
    <w:family w:val="swiss"/>
    <w:pitch w:val="default"/>
    <w:sig w:usb0="00000000" w:usb1="00000000" w:usb2="00000009" w:usb3="00000000" w:csb0="200001FF" w:csb1="00000000"/>
  </w:font>
  <w:font w:name="Segoe Print">
    <w:panose1 w:val="02000600000000000000"/>
    <w:charset w:val="00"/>
    <w:family w:val="auto"/>
    <w:pitch w:val="default"/>
    <w:sig w:usb0="0000028F" w:usb1="00000000" w:usb2="00000000" w:usb3="00000000" w:csb0="2000009F" w:csb1="4701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19AF7">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41E6E">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24A49">
    <w:pPr>
      <w:pStyle w:val="22"/>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D527ADE">
                <w:pPr>
                  <w:pStyle w:val="22"/>
                </w:pPr>
                <w:r>
                  <w:fldChar w:fldCharType="begin"/>
                </w:r>
                <w:r>
                  <w:instrText xml:space="preserve"> PAGE  \* MERGEFORMAT </w:instrText>
                </w:r>
                <w:r>
                  <w:fldChar w:fldCharType="separate"/>
                </w:r>
                <w:r>
                  <w:t>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84889">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76CF">
    <w:pPr>
      <w:pStyle w:val="22"/>
    </w:pPr>
    <w:r>
      <w:rPr>
        <w:sz w:val="18"/>
      </w:rP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DE4B993">
                <w:pPr>
                  <w:pStyle w:val="22"/>
                </w:pPr>
                <w:r>
                  <w:fldChar w:fldCharType="begin"/>
                </w:r>
                <w:r>
                  <w:instrText xml:space="preserve"> PAGE  \* MERGEFORMAT </w:instrText>
                </w:r>
                <w:r>
                  <w:fldChar w:fldCharType="separate"/>
                </w:r>
                <w:r>
                  <w:t>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DB7FD">
    <w:pPr>
      <w:pStyle w:val="2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90EEF8"/>
    <w:multiLevelType w:val="singleLevel"/>
    <w:tmpl w:val="D390EEF8"/>
    <w:lvl w:ilvl="0" w:tentative="0">
      <w:start w:val="1"/>
      <w:numFmt w:val="decimal"/>
      <w:suff w:val="nothing"/>
      <w:lvlText w:val="%1、"/>
      <w:lvlJc w:val="left"/>
      <w:rPr>
        <w:rFonts w:hint="default" w:ascii="宋体" w:hAnsi="宋体" w:eastAsia="宋体" w:cs="宋体"/>
        <w:b/>
        <w:bCs/>
        <w:sz w:val="28"/>
        <w:szCs w:val="28"/>
      </w:rPr>
    </w:lvl>
  </w:abstractNum>
  <w:abstractNum w:abstractNumId="1">
    <w:nsid w:val="F1B91CF2"/>
    <w:multiLevelType w:val="singleLevel"/>
    <w:tmpl w:val="F1B91CF2"/>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2FlMzBlOTk3OGM4ZDg1MGNiYzQ0MGIxMGMwM2UzZTgifQ=="/>
  </w:docVars>
  <w:rsids>
    <w:rsidRoot w:val="00762818"/>
    <w:rsid w:val="00000793"/>
    <w:rsid w:val="00000951"/>
    <w:rsid w:val="00000A85"/>
    <w:rsid w:val="00000F64"/>
    <w:rsid w:val="000025C2"/>
    <w:rsid w:val="0000276B"/>
    <w:rsid w:val="00005599"/>
    <w:rsid w:val="00006DEB"/>
    <w:rsid w:val="00010163"/>
    <w:rsid w:val="0001554C"/>
    <w:rsid w:val="00031320"/>
    <w:rsid w:val="00031B09"/>
    <w:rsid w:val="000322B4"/>
    <w:rsid w:val="00034579"/>
    <w:rsid w:val="00036E90"/>
    <w:rsid w:val="00042235"/>
    <w:rsid w:val="0004480D"/>
    <w:rsid w:val="00044DF3"/>
    <w:rsid w:val="00044E2B"/>
    <w:rsid w:val="000454B9"/>
    <w:rsid w:val="00047C5C"/>
    <w:rsid w:val="00052637"/>
    <w:rsid w:val="00067000"/>
    <w:rsid w:val="000670FD"/>
    <w:rsid w:val="000701F2"/>
    <w:rsid w:val="000715F3"/>
    <w:rsid w:val="000832F0"/>
    <w:rsid w:val="0008466C"/>
    <w:rsid w:val="00085448"/>
    <w:rsid w:val="000942A8"/>
    <w:rsid w:val="00096AC9"/>
    <w:rsid w:val="000A3C75"/>
    <w:rsid w:val="000A3E4F"/>
    <w:rsid w:val="000A4B61"/>
    <w:rsid w:val="000B0E4B"/>
    <w:rsid w:val="000B1954"/>
    <w:rsid w:val="000B7CFF"/>
    <w:rsid w:val="000C168E"/>
    <w:rsid w:val="000C22F1"/>
    <w:rsid w:val="000C747A"/>
    <w:rsid w:val="000C7B74"/>
    <w:rsid w:val="000D2BF6"/>
    <w:rsid w:val="000D45BB"/>
    <w:rsid w:val="000D57AB"/>
    <w:rsid w:val="000D7FC9"/>
    <w:rsid w:val="000E35BF"/>
    <w:rsid w:val="000E48B5"/>
    <w:rsid w:val="000E6F5E"/>
    <w:rsid w:val="000E70F3"/>
    <w:rsid w:val="000E7D5A"/>
    <w:rsid w:val="000F3F4C"/>
    <w:rsid w:val="001010E0"/>
    <w:rsid w:val="00103596"/>
    <w:rsid w:val="00104A43"/>
    <w:rsid w:val="00107459"/>
    <w:rsid w:val="00112BAE"/>
    <w:rsid w:val="00117BF4"/>
    <w:rsid w:val="0012231C"/>
    <w:rsid w:val="00124281"/>
    <w:rsid w:val="00126DF4"/>
    <w:rsid w:val="0012701F"/>
    <w:rsid w:val="00131937"/>
    <w:rsid w:val="00131F5C"/>
    <w:rsid w:val="001418D5"/>
    <w:rsid w:val="00142AA3"/>
    <w:rsid w:val="00142DF7"/>
    <w:rsid w:val="001459C7"/>
    <w:rsid w:val="00152861"/>
    <w:rsid w:val="001531D3"/>
    <w:rsid w:val="00155D89"/>
    <w:rsid w:val="00162455"/>
    <w:rsid w:val="00163AFF"/>
    <w:rsid w:val="00166DF8"/>
    <w:rsid w:val="00174D21"/>
    <w:rsid w:val="001765DD"/>
    <w:rsid w:val="001768C4"/>
    <w:rsid w:val="00183858"/>
    <w:rsid w:val="0019346F"/>
    <w:rsid w:val="001939CC"/>
    <w:rsid w:val="001A0899"/>
    <w:rsid w:val="001A48FF"/>
    <w:rsid w:val="001A5C5F"/>
    <w:rsid w:val="001B101E"/>
    <w:rsid w:val="001B24BC"/>
    <w:rsid w:val="001B342B"/>
    <w:rsid w:val="001B5E18"/>
    <w:rsid w:val="001B7E9A"/>
    <w:rsid w:val="001C291F"/>
    <w:rsid w:val="001C4682"/>
    <w:rsid w:val="001C66B1"/>
    <w:rsid w:val="001C68D1"/>
    <w:rsid w:val="001D1B91"/>
    <w:rsid w:val="001D67E5"/>
    <w:rsid w:val="001D7720"/>
    <w:rsid w:val="001E25F7"/>
    <w:rsid w:val="001E2C0C"/>
    <w:rsid w:val="001F0376"/>
    <w:rsid w:val="00205351"/>
    <w:rsid w:val="00205E58"/>
    <w:rsid w:val="00207D13"/>
    <w:rsid w:val="002101C9"/>
    <w:rsid w:val="0021494C"/>
    <w:rsid w:val="00214A22"/>
    <w:rsid w:val="002168BF"/>
    <w:rsid w:val="0022717C"/>
    <w:rsid w:val="0022753C"/>
    <w:rsid w:val="002311E6"/>
    <w:rsid w:val="00236A90"/>
    <w:rsid w:val="00241FB1"/>
    <w:rsid w:val="002443A4"/>
    <w:rsid w:val="00244FFB"/>
    <w:rsid w:val="00247C54"/>
    <w:rsid w:val="00252E03"/>
    <w:rsid w:val="002541B2"/>
    <w:rsid w:val="00254BA0"/>
    <w:rsid w:val="00255C54"/>
    <w:rsid w:val="00256093"/>
    <w:rsid w:val="00257229"/>
    <w:rsid w:val="00261D88"/>
    <w:rsid w:val="00261FF1"/>
    <w:rsid w:val="00262B52"/>
    <w:rsid w:val="00262FBA"/>
    <w:rsid w:val="00276F04"/>
    <w:rsid w:val="00281967"/>
    <w:rsid w:val="00292780"/>
    <w:rsid w:val="002958C0"/>
    <w:rsid w:val="002B025C"/>
    <w:rsid w:val="002B3790"/>
    <w:rsid w:val="002B45D9"/>
    <w:rsid w:val="002B5BAD"/>
    <w:rsid w:val="002C3732"/>
    <w:rsid w:val="002C56C8"/>
    <w:rsid w:val="002C5F87"/>
    <w:rsid w:val="002D1D1D"/>
    <w:rsid w:val="002D28C9"/>
    <w:rsid w:val="002D2D3F"/>
    <w:rsid w:val="002D4B1D"/>
    <w:rsid w:val="002D7979"/>
    <w:rsid w:val="002E0F3C"/>
    <w:rsid w:val="002E3892"/>
    <w:rsid w:val="002E4640"/>
    <w:rsid w:val="002E7E33"/>
    <w:rsid w:val="002F1176"/>
    <w:rsid w:val="00300968"/>
    <w:rsid w:val="00300CAD"/>
    <w:rsid w:val="00305594"/>
    <w:rsid w:val="00311524"/>
    <w:rsid w:val="00311B48"/>
    <w:rsid w:val="00313576"/>
    <w:rsid w:val="0031552A"/>
    <w:rsid w:val="00315955"/>
    <w:rsid w:val="00316467"/>
    <w:rsid w:val="003175E8"/>
    <w:rsid w:val="00317B09"/>
    <w:rsid w:val="0033008C"/>
    <w:rsid w:val="00332E40"/>
    <w:rsid w:val="00334C02"/>
    <w:rsid w:val="00340814"/>
    <w:rsid w:val="00344C60"/>
    <w:rsid w:val="00347436"/>
    <w:rsid w:val="00351287"/>
    <w:rsid w:val="00354C7C"/>
    <w:rsid w:val="00357E90"/>
    <w:rsid w:val="00361D92"/>
    <w:rsid w:val="00364D94"/>
    <w:rsid w:val="00365325"/>
    <w:rsid w:val="003674F4"/>
    <w:rsid w:val="00371E95"/>
    <w:rsid w:val="00377774"/>
    <w:rsid w:val="003828F9"/>
    <w:rsid w:val="0038487D"/>
    <w:rsid w:val="00385EED"/>
    <w:rsid w:val="00390ABD"/>
    <w:rsid w:val="0039597D"/>
    <w:rsid w:val="003A0953"/>
    <w:rsid w:val="003A101B"/>
    <w:rsid w:val="003A1098"/>
    <w:rsid w:val="003A1A02"/>
    <w:rsid w:val="003A670B"/>
    <w:rsid w:val="003B5197"/>
    <w:rsid w:val="003B6409"/>
    <w:rsid w:val="003C0090"/>
    <w:rsid w:val="003C0415"/>
    <w:rsid w:val="003C4823"/>
    <w:rsid w:val="003D62DE"/>
    <w:rsid w:val="003F183F"/>
    <w:rsid w:val="003F4F69"/>
    <w:rsid w:val="003F581C"/>
    <w:rsid w:val="003F7E09"/>
    <w:rsid w:val="004008E4"/>
    <w:rsid w:val="00414D30"/>
    <w:rsid w:val="004234C7"/>
    <w:rsid w:val="0043515B"/>
    <w:rsid w:val="00442118"/>
    <w:rsid w:val="00443ABB"/>
    <w:rsid w:val="00444E6D"/>
    <w:rsid w:val="00447E17"/>
    <w:rsid w:val="00452D9A"/>
    <w:rsid w:val="004541F6"/>
    <w:rsid w:val="00456261"/>
    <w:rsid w:val="00457084"/>
    <w:rsid w:val="004610CB"/>
    <w:rsid w:val="0046246C"/>
    <w:rsid w:val="004628E8"/>
    <w:rsid w:val="00464866"/>
    <w:rsid w:val="00465B73"/>
    <w:rsid w:val="00472773"/>
    <w:rsid w:val="00474AD9"/>
    <w:rsid w:val="00480312"/>
    <w:rsid w:val="004805B5"/>
    <w:rsid w:val="00485324"/>
    <w:rsid w:val="00486414"/>
    <w:rsid w:val="00497110"/>
    <w:rsid w:val="00497AD7"/>
    <w:rsid w:val="004A1A7C"/>
    <w:rsid w:val="004A4861"/>
    <w:rsid w:val="004B1F60"/>
    <w:rsid w:val="004B4FE4"/>
    <w:rsid w:val="004B70F8"/>
    <w:rsid w:val="004C01EB"/>
    <w:rsid w:val="004C1978"/>
    <w:rsid w:val="004E1FD1"/>
    <w:rsid w:val="004E26B7"/>
    <w:rsid w:val="004E4733"/>
    <w:rsid w:val="004E6712"/>
    <w:rsid w:val="004F0A9C"/>
    <w:rsid w:val="004F0E00"/>
    <w:rsid w:val="004F1FE7"/>
    <w:rsid w:val="004F316F"/>
    <w:rsid w:val="004F37AA"/>
    <w:rsid w:val="00500C33"/>
    <w:rsid w:val="00502066"/>
    <w:rsid w:val="00506CB1"/>
    <w:rsid w:val="00510047"/>
    <w:rsid w:val="0051167C"/>
    <w:rsid w:val="005124CB"/>
    <w:rsid w:val="00513FE3"/>
    <w:rsid w:val="00514F6D"/>
    <w:rsid w:val="00520875"/>
    <w:rsid w:val="00520962"/>
    <w:rsid w:val="00522553"/>
    <w:rsid w:val="005234A3"/>
    <w:rsid w:val="00526C03"/>
    <w:rsid w:val="005305D2"/>
    <w:rsid w:val="005337B6"/>
    <w:rsid w:val="0053478D"/>
    <w:rsid w:val="005353CA"/>
    <w:rsid w:val="0056122B"/>
    <w:rsid w:val="00561857"/>
    <w:rsid w:val="005634F2"/>
    <w:rsid w:val="00567562"/>
    <w:rsid w:val="005701D2"/>
    <w:rsid w:val="00573743"/>
    <w:rsid w:val="00573976"/>
    <w:rsid w:val="00576607"/>
    <w:rsid w:val="005821E9"/>
    <w:rsid w:val="00583827"/>
    <w:rsid w:val="00593D87"/>
    <w:rsid w:val="005944B5"/>
    <w:rsid w:val="005A0DD3"/>
    <w:rsid w:val="005A2939"/>
    <w:rsid w:val="005A620C"/>
    <w:rsid w:val="005B10B6"/>
    <w:rsid w:val="005B31F4"/>
    <w:rsid w:val="005B772B"/>
    <w:rsid w:val="005B77B6"/>
    <w:rsid w:val="005C27FF"/>
    <w:rsid w:val="005C395C"/>
    <w:rsid w:val="005C496E"/>
    <w:rsid w:val="005C7949"/>
    <w:rsid w:val="005D0D76"/>
    <w:rsid w:val="005D319D"/>
    <w:rsid w:val="005D75DB"/>
    <w:rsid w:val="005E2A15"/>
    <w:rsid w:val="005E3C5B"/>
    <w:rsid w:val="005E4EDE"/>
    <w:rsid w:val="005F2397"/>
    <w:rsid w:val="005F2D24"/>
    <w:rsid w:val="005F454A"/>
    <w:rsid w:val="005F68F9"/>
    <w:rsid w:val="005F713E"/>
    <w:rsid w:val="005F7E5C"/>
    <w:rsid w:val="006020CF"/>
    <w:rsid w:val="00603063"/>
    <w:rsid w:val="00604CA7"/>
    <w:rsid w:val="0061167A"/>
    <w:rsid w:val="00611CC3"/>
    <w:rsid w:val="00614EAC"/>
    <w:rsid w:val="00615254"/>
    <w:rsid w:val="00620396"/>
    <w:rsid w:val="0062165C"/>
    <w:rsid w:val="0062414C"/>
    <w:rsid w:val="006243AE"/>
    <w:rsid w:val="0063311D"/>
    <w:rsid w:val="006351EB"/>
    <w:rsid w:val="0063669E"/>
    <w:rsid w:val="00637D13"/>
    <w:rsid w:val="00646DEA"/>
    <w:rsid w:val="00646F7B"/>
    <w:rsid w:val="006519BA"/>
    <w:rsid w:val="00652B79"/>
    <w:rsid w:val="00660396"/>
    <w:rsid w:val="00666817"/>
    <w:rsid w:val="0067125A"/>
    <w:rsid w:val="00675558"/>
    <w:rsid w:val="00677D76"/>
    <w:rsid w:val="00683175"/>
    <w:rsid w:val="0069234F"/>
    <w:rsid w:val="00693F23"/>
    <w:rsid w:val="0069627A"/>
    <w:rsid w:val="0069718C"/>
    <w:rsid w:val="00697B31"/>
    <w:rsid w:val="006A48F6"/>
    <w:rsid w:val="006A5E55"/>
    <w:rsid w:val="006B1301"/>
    <w:rsid w:val="006B5C21"/>
    <w:rsid w:val="006C0766"/>
    <w:rsid w:val="006C3148"/>
    <w:rsid w:val="006C5626"/>
    <w:rsid w:val="006C6808"/>
    <w:rsid w:val="006D44BD"/>
    <w:rsid w:val="006D5FFB"/>
    <w:rsid w:val="006D68D7"/>
    <w:rsid w:val="006E0C49"/>
    <w:rsid w:val="006E17DF"/>
    <w:rsid w:val="006E3327"/>
    <w:rsid w:val="006E54B4"/>
    <w:rsid w:val="006E7F61"/>
    <w:rsid w:val="006F5D1F"/>
    <w:rsid w:val="006F72E0"/>
    <w:rsid w:val="006F7F04"/>
    <w:rsid w:val="00700289"/>
    <w:rsid w:val="00705784"/>
    <w:rsid w:val="00714BD3"/>
    <w:rsid w:val="00715376"/>
    <w:rsid w:val="00722018"/>
    <w:rsid w:val="00723000"/>
    <w:rsid w:val="00723FFD"/>
    <w:rsid w:val="00732EF4"/>
    <w:rsid w:val="00733BDC"/>
    <w:rsid w:val="007343DC"/>
    <w:rsid w:val="00736033"/>
    <w:rsid w:val="00736FBE"/>
    <w:rsid w:val="00742804"/>
    <w:rsid w:val="00745DB7"/>
    <w:rsid w:val="007526E0"/>
    <w:rsid w:val="00756965"/>
    <w:rsid w:val="0075707D"/>
    <w:rsid w:val="00757E59"/>
    <w:rsid w:val="00761931"/>
    <w:rsid w:val="00762818"/>
    <w:rsid w:val="0076329F"/>
    <w:rsid w:val="00767574"/>
    <w:rsid w:val="007720F3"/>
    <w:rsid w:val="00772137"/>
    <w:rsid w:val="00772C0D"/>
    <w:rsid w:val="00780AF4"/>
    <w:rsid w:val="00780C8C"/>
    <w:rsid w:val="007825FF"/>
    <w:rsid w:val="00786457"/>
    <w:rsid w:val="007877D0"/>
    <w:rsid w:val="007879AF"/>
    <w:rsid w:val="0079120F"/>
    <w:rsid w:val="0079142C"/>
    <w:rsid w:val="00791A16"/>
    <w:rsid w:val="00791C94"/>
    <w:rsid w:val="007A06FB"/>
    <w:rsid w:val="007A29F4"/>
    <w:rsid w:val="007B22F5"/>
    <w:rsid w:val="007B56F8"/>
    <w:rsid w:val="007B5790"/>
    <w:rsid w:val="007C0AF4"/>
    <w:rsid w:val="007C55FE"/>
    <w:rsid w:val="007C58EE"/>
    <w:rsid w:val="007D1342"/>
    <w:rsid w:val="007D1726"/>
    <w:rsid w:val="007D4E73"/>
    <w:rsid w:val="007D5C3A"/>
    <w:rsid w:val="007D6D5A"/>
    <w:rsid w:val="007D7696"/>
    <w:rsid w:val="007E4122"/>
    <w:rsid w:val="007E45E0"/>
    <w:rsid w:val="00806676"/>
    <w:rsid w:val="00810570"/>
    <w:rsid w:val="00820884"/>
    <w:rsid w:val="00821D26"/>
    <w:rsid w:val="00822AFE"/>
    <w:rsid w:val="00822B9D"/>
    <w:rsid w:val="00825626"/>
    <w:rsid w:val="00832BE9"/>
    <w:rsid w:val="00836B0B"/>
    <w:rsid w:val="00844459"/>
    <w:rsid w:val="0085096D"/>
    <w:rsid w:val="008518AE"/>
    <w:rsid w:val="008569DB"/>
    <w:rsid w:val="0086295C"/>
    <w:rsid w:val="00872FA0"/>
    <w:rsid w:val="0087445D"/>
    <w:rsid w:val="008830E0"/>
    <w:rsid w:val="00890F52"/>
    <w:rsid w:val="00893843"/>
    <w:rsid w:val="00894572"/>
    <w:rsid w:val="00895473"/>
    <w:rsid w:val="008A2836"/>
    <w:rsid w:val="008A290B"/>
    <w:rsid w:val="008A2C89"/>
    <w:rsid w:val="008A41CC"/>
    <w:rsid w:val="008A7D0D"/>
    <w:rsid w:val="008B5AA9"/>
    <w:rsid w:val="008B62C0"/>
    <w:rsid w:val="008C1DE7"/>
    <w:rsid w:val="008C3BBB"/>
    <w:rsid w:val="008C445D"/>
    <w:rsid w:val="008C5AA5"/>
    <w:rsid w:val="008C5BCE"/>
    <w:rsid w:val="008D3D76"/>
    <w:rsid w:val="008E3161"/>
    <w:rsid w:val="008E512E"/>
    <w:rsid w:val="008E551C"/>
    <w:rsid w:val="008E5DA8"/>
    <w:rsid w:val="008E72A4"/>
    <w:rsid w:val="008F0163"/>
    <w:rsid w:val="008F1396"/>
    <w:rsid w:val="008F19CA"/>
    <w:rsid w:val="008F2D0E"/>
    <w:rsid w:val="0090080E"/>
    <w:rsid w:val="00900860"/>
    <w:rsid w:val="0090093E"/>
    <w:rsid w:val="00903215"/>
    <w:rsid w:val="009047D9"/>
    <w:rsid w:val="00904C73"/>
    <w:rsid w:val="0090659B"/>
    <w:rsid w:val="00907D5C"/>
    <w:rsid w:val="00921618"/>
    <w:rsid w:val="00924771"/>
    <w:rsid w:val="00927F35"/>
    <w:rsid w:val="00934F38"/>
    <w:rsid w:val="00935BAE"/>
    <w:rsid w:val="00935D6F"/>
    <w:rsid w:val="00944040"/>
    <w:rsid w:val="00945641"/>
    <w:rsid w:val="0094582B"/>
    <w:rsid w:val="00950AD7"/>
    <w:rsid w:val="00953DB9"/>
    <w:rsid w:val="009615B6"/>
    <w:rsid w:val="009623FA"/>
    <w:rsid w:val="00962FA2"/>
    <w:rsid w:val="009664F8"/>
    <w:rsid w:val="00970B80"/>
    <w:rsid w:val="009747EE"/>
    <w:rsid w:val="00984458"/>
    <w:rsid w:val="009852B6"/>
    <w:rsid w:val="00991EAB"/>
    <w:rsid w:val="00992D07"/>
    <w:rsid w:val="00995B9D"/>
    <w:rsid w:val="00996AC0"/>
    <w:rsid w:val="009B0CE0"/>
    <w:rsid w:val="009B10FE"/>
    <w:rsid w:val="009B1131"/>
    <w:rsid w:val="009B1BF2"/>
    <w:rsid w:val="009C3185"/>
    <w:rsid w:val="009C36AD"/>
    <w:rsid w:val="009C40C3"/>
    <w:rsid w:val="009C414C"/>
    <w:rsid w:val="009C4A14"/>
    <w:rsid w:val="009C4C00"/>
    <w:rsid w:val="009C6BF8"/>
    <w:rsid w:val="009C7007"/>
    <w:rsid w:val="009D0A81"/>
    <w:rsid w:val="009D17DE"/>
    <w:rsid w:val="009D3189"/>
    <w:rsid w:val="009D57BA"/>
    <w:rsid w:val="009D59D3"/>
    <w:rsid w:val="009E3EC3"/>
    <w:rsid w:val="009E7582"/>
    <w:rsid w:val="009F32EC"/>
    <w:rsid w:val="009F3956"/>
    <w:rsid w:val="009F4724"/>
    <w:rsid w:val="009F5104"/>
    <w:rsid w:val="00A007CC"/>
    <w:rsid w:val="00A01BE1"/>
    <w:rsid w:val="00A01D2E"/>
    <w:rsid w:val="00A03318"/>
    <w:rsid w:val="00A068E2"/>
    <w:rsid w:val="00A10F11"/>
    <w:rsid w:val="00A13D3D"/>
    <w:rsid w:val="00A17C18"/>
    <w:rsid w:val="00A24203"/>
    <w:rsid w:val="00A24C07"/>
    <w:rsid w:val="00A256A5"/>
    <w:rsid w:val="00A25BC9"/>
    <w:rsid w:val="00A273EB"/>
    <w:rsid w:val="00A3247F"/>
    <w:rsid w:val="00A33D0F"/>
    <w:rsid w:val="00A34EA5"/>
    <w:rsid w:val="00A378C1"/>
    <w:rsid w:val="00A42C52"/>
    <w:rsid w:val="00A439D6"/>
    <w:rsid w:val="00A44A20"/>
    <w:rsid w:val="00A46087"/>
    <w:rsid w:val="00A5263A"/>
    <w:rsid w:val="00A5469B"/>
    <w:rsid w:val="00A55E7D"/>
    <w:rsid w:val="00A569F4"/>
    <w:rsid w:val="00A57EA9"/>
    <w:rsid w:val="00A600AF"/>
    <w:rsid w:val="00A64709"/>
    <w:rsid w:val="00A65FAD"/>
    <w:rsid w:val="00A677F3"/>
    <w:rsid w:val="00A725C0"/>
    <w:rsid w:val="00A74B64"/>
    <w:rsid w:val="00A81D43"/>
    <w:rsid w:val="00A85354"/>
    <w:rsid w:val="00A87DEB"/>
    <w:rsid w:val="00A91C39"/>
    <w:rsid w:val="00A947B3"/>
    <w:rsid w:val="00A956F8"/>
    <w:rsid w:val="00A97E7A"/>
    <w:rsid w:val="00AA1693"/>
    <w:rsid w:val="00AA2F1E"/>
    <w:rsid w:val="00AA64E7"/>
    <w:rsid w:val="00AB0EE8"/>
    <w:rsid w:val="00AB1D41"/>
    <w:rsid w:val="00AB3537"/>
    <w:rsid w:val="00AB3592"/>
    <w:rsid w:val="00AB6EC8"/>
    <w:rsid w:val="00AC5931"/>
    <w:rsid w:val="00AD1367"/>
    <w:rsid w:val="00AD1ADB"/>
    <w:rsid w:val="00AD3BE7"/>
    <w:rsid w:val="00AD4246"/>
    <w:rsid w:val="00AD715A"/>
    <w:rsid w:val="00AE01F1"/>
    <w:rsid w:val="00AE0361"/>
    <w:rsid w:val="00AE0D44"/>
    <w:rsid w:val="00AE200E"/>
    <w:rsid w:val="00AE2795"/>
    <w:rsid w:val="00AE5102"/>
    <w:rsid w:val="00AE7E34"/>
    <w:rsid w:val="00AF084A"/>
    <w:rsid w:val="00AF232E"/>
    <w:rsid w:val="00AF572F"/>
    <w:rsid w:val="00B002C6"/>
    <w:rsid w:val="00B00BD6"/>
    <w:rsid w:val="00B0386A"/>
    <w:rsid w:val="00B06BFE"/>
    <w:rsid w:val="00B106BC"/>
    <w:rsid w:val="00B10942"/>
    <w:rsid w:val="00B11190"/>
    <w:rsid w:val="00B1313B"/>
    <w:rsid w:val="00B14A90"/>
    <w:rsid w:val="00B15C54"/>
    <w:rsid w:val="00B16385"/>
    <w:rsid w:val="00B329FD"/>
    <w:rsid w:val="00B34D8C"/>
    <w:rsid w:val="00B41039"/>
    <w:rsid w:val="00B51011"/>
    <w:rsid w:val="00B553F9"/>
    <w:rsid w:val="00B60B11"/>
    <w:rsid w:val="00B61A0C"/>
    <w:rsid w:val="00B638B5"/>
    <w:rsid w:val="00B656E2"/>
    <w:rsid w:val="00B73452"/>
    <w:rsid w:val="00B74F49"/>
    <w:rsid w:val="00B75EB0"/>
    <w:rsid w:val="00B862B7"/>
    <w:rsid w:val="00B902D4"/>
    <w:rsid w:val="00B91EDD"/>
    <w:rsid w:val="00B942D4"/>
    <w:rsid w:val="00B956AF"/>
    <w:rsid w:val="00BA0259"/>
    <w:rsid w:val="00BA2465"/>
    <w:rsid w:val="00BA6147"/>
    <w:rsid w:val="00BA717A"/>
    <w:rsid w:val="00BA78AA"/>
    <w:rsid w:val="00BB1975"/>
    <w:rsid w:val="00BB2495"/>
    <w:rsid w:val="00BB561D"/>
    <w:rsid w:val="00BB753A"/>
    <w:rsid w:val="00BB7BB0"/>
    <w:rsid w:val="00BB7E6F"/>
    <w:rsid w:val="00BC0A6E"/>
    <w:rsid w:val="00BC135D"/>
    <w:rsid w:val="00BC1D7E"/>
    <w:rsid w:val="00BC6236"/>
    <w:rsid w:val="00BD35DA"/>
    <w:rsid w:val="00BD78CC"/>
    <w:rsid w:val="00BF5158"/>
    <w:rsid w:val="00BF7C00"/>
    <w:rsid w:val="00C0111F"/>
    <w:rsid w:val="00C11B57"/>
    <w:rsid w:val="00C121DC"/>
    <w:rsid w:val="00C14623"/>
    <w:rsid w:val="00C163BD"/>
    <w:rsid w:val="00C170FC"/>
    <w:rsid w:val="00C20755"/>
    <w:rsid w:val="00C20D97"/>
    <w:rsid w:val="00C21281"/>
    <w:rsid w:val="00C219A9"/>
    <w:rsid w:val="00C24976"/>
    <w:rsid w:val="00C32C3F"/>
    <w:rsid w:val="00C34281"/>
    <w:rsid w:val="00C4357E"/>
    <w:rsid w:val="00C44464"/>
    <w:rsid w:val="00C469CF"/>
    <w:rsid w:val="00C47104"/>
    <w:rsid w:val="00C5257F"/>
    <w:rsid w:val="00C5491A"/>
    <w:rsid w:val="00C54E07"/>
    <w:rsid w:val="00C555BD"/>
    <w:rsid w:val="00C56802"/>
    <w:rsid w:val="00C57C90"/>
    <w:rsid w:val="00C63366"/>
    <w:rsid w:val="00C70DF6"/>
    <w:rsid w:val="00C77713"/>
    <w:rsid w:val="00C77969"/>
    <w:rsid w:val="00C8147F"/>
    <w:rsid w:val="00C82A95"/>
    <w:rsid w:val="00C8358E"/>
    <w:rsid w:val="00C85972"/>
    <w:rsid w:val="00C86C8E"/>
    <w:rsid w:val="00C95688"/>
    <w:rsid w:val="00C95CC6"/>
    <w:rsid w:val="00C960C9"/>
    <w:rsid w:val="00CA1A7E"/>
    <w:rsid w:val="00CA3AF4"/>
    <w:rsid w:val="00CA6A60"/>
    <w:rsid w:val="00CB47D2"/>
    <w:rsid w:val="00CB6638"/>
    <w:rsid w:val="00CB7752"/>
    <w:rsid w:val="00CB7979"/>
    <w:rsid w:val="00CC00E9"/>
    <w:rsid w:val="00CC2A13"/>
    <w:rsid w:val="00CC3265"/>
    <w:rsid w:val="00CC4481"/>
    <w:rsid w:val="00CC4808"/>
    <w:rsid w:val="00CD1178"/>
    <w:rsid w:val="00CD33D1"/>
    <w:rsid w:val="00CD6B72"/>
    <w:rsid w:val="00CD79E4"/>
    <w:rsid w:val="00CE1251"/>
    <w:rsid w:val="00CE2363"/>
    <w:rsid w:val="00CE328B"/>
    <w:rsid w:val="00CE3955"/>
    <w:rsid w:val="00CF22FD"/>
    <w:rsid w:val="00CF61C1"/>
    <w:rsid w:val="00CF6D77"/>
    <w:rsid w:val="00D141C0"/>
    <w:rsid w:val="00D25895"/>
    <w:rsid w:val="00D27818"/>
    <w:rsid w:val="00D32873"/>
    <w:rsid w:val="00D36343"/>
    <w:rsid w:val="00D411C3"/>
    <w:rsid w:val="00D41F98"/>
    <w:rsid w:val="00D44AA0"/>
    <w:rsid w:val="00D46C95"/>
    <w:rsid w:val="00D46D41"/>
    <w:rsid w:val="00D5729E"/>
    <w:rsid w:val="00D576CC"/>
    <w:rsid w:val="00D61695"/>
    <w:rsid w:val="00D71BDA"/>
    <w:rsid w:val="00D7217F"/>
    <w:rsid w:val="00D84BE2"/>
    <w:rsid w:val="00D90256"/>
    <w:rsid w:val="00D90837"/>
    <w:rsid w:val="00D92A32"/>
    <w:rsid w:val="00D95038"/>
    <w:rsid w:val="00DA0943"/>
    <w:rsid w:val="00DA0FD8"/>
    <w:rsid w:val="00DA25A3"/>
    <w:rsid w:val="00DC22F2"/>
    <w:rsid w:val="00DC2B4F"/>
    <w:rsid w:val="00DC2E51"/>
    <w:rsid w:val="00DC3B39"/>
    <w:rsid w:val="00DC4A9D"/>
    <w:rsid w:val="00DC52A6"/>
    <w:rsid w:val="00DD1F90"/>
    <w:rsid w:val="00DD7CD6"/>
    <w:rsid w:val="00DE3097"/>
    <w:rsid w:val="00DE32BD"/>
    <w:rsid w:val="00DE4027"/>
    <w:rsid w:val="00DE6285"/>
    <w:rsid w:val="00DF0F15"/>
    <w:rsid w:val="00DF2760"/>
    <w:rsid w:val="00DF4CCB"/>
    <w:rsid w:val="00E00004"/>
    <w:rsid w:val="00E0007E"/>
    <w:rsid w:val="00E00F18"/>
    <w:rsid w:val="00E07C1A"/>
    <w:rsid w:val="00E108CA"/>
    <w:rsid w:val="00E110F9"/>
    <w:rsid w:val="00E114FA"/>
    <w:rsid w:val="00E20BAA"/>
    <w:rsid w:val="00E2119F"/>
    <w:rsid w:val="00E2170C"/>
    <w:rsid w:val="00E22756"/>
    <w:rsid w:val="00E23B62"/>
    <w:rsid w:val="00E26FA7"/>
    <w:rsid w:val="00E2741B"/>
    <w:rsid w:val="00E31E23"/>
    <w:rsid w:val="00E33C45"/>
    <w:rsid w:val="00E3466B"/>
    <w:rsid w:val="00E37C6E"/>
    <w:rsid w:val="00E404C4"/>
    <w:rsid w:val="00E412EA"/>
    <w:rsid w:val="00E458B8"/>
    <w:rsid w:val="00E50A92"/>
    <w:rsid w:val="00E5179D"/>
    <w:rsid w:val="00E51C82"/>
    <w:rsid w:val="00E5205A"/>
    <w:rsid w:val="00E5219B"/>
    <w:rsid w:val="00E61F73"/>
    <w:rsid w:val="00E63490"/>
    <w:rsid w:val="00E6448E"/>
    <w:rsid w:val="00E66032"/>
    <w:rsid w:val="00E67810"/>
    <w:rsid w:val="00E70DD9"/>
    <w:rsid w:val="00E7274A"/>
    <w:rsid w:val="00E73959"/>
    <w:rsid w:val="00E75F0F"/>
    <w:rsid w:val="00E806AF"/>
    <w:rsid w:val="00E81350"/>
    <w:rsid w:val="00E81B13"/>
    <w:rsid w:val="00E8552C"/>
    <w:rsid w:val="00E8799D"/>
    <w:rsid w:val="00E901EB"/>
    <w:rsid w:val="00E90A39"/>
    <w:rsid w:val="00E9184C"/>
    <w:rsid w:val="00E92041"/>
    <w:rsid w:val="00E9296C"/>
    <w:rsid w:val="00E92A94"/>
    <w:rsid w:val="00E956A2"/>
    <w:rsid w:val="00E9758D"/>
    <w:rsid w:val="00EA34AF"/>
    <w:rsid w:val="00EA6583"/>
    <w:rsid w:val="00EA78CA"/>
    <w:rsid w:val="00EB0D24"/>
    <w:rsid w:val="00EB17D7"/>
    <w:rsid w:val="00EB2411"/>
    <w:rsid w:val="00EC51E9"/>
    <w:rsid w:val="00EC786C"/>
    <w:rsid w:val="00ED06DF"/>
    <w:rsid w:val="00EE17A5"/>
    <w:rsid w:val="00EE2A6D"/>
    <w:rsid w:val="00EF0A27"/>
    <w:rsid w:val="00EF2E7F"/>
    <w:rsid w:val="00EF4352"/>
    <w:rsid w:val="00F04CF0"/>
    <w:rsid w:val="00F07A5C"/>
    <w:rsid w:val="00F1282F"/>
    <w:rsid w:val="00F13651"/>
    <w:rsid w:val="00F15A4A"/>
    <w:rsid w:val="00F20BAC"/>
    <w:rsid w:val="00F22B45"/>
    <w:rsid w:val="00F23604"/>
    <w:rsid w:val="00F26229"/>
    <w:rsid w:val="00F359EB"/>
    <w:rsid w:val="00F376B6"/>
    <w:rsid w:val="00F37BF3"/>
    <w:rsid w:val="00F44273"/>
    <w:rsid w:val="00F4429C"/>
    <w:rsid w:val="00F501E9"/>
    <w:rsid w:val="00F50C18"/>
    <w:rsid w:val="00F50FB9"/>
    <w:rsid w:val="00F539F8"/>
    <w:rsid w:val="00F56CD1"/>
    <w:rsid w:val="00F56D7A"/>
    <w:rsid w:val="00F612D5"/>
    <w:rsid w:val="00F62095"/>
    <w:rsid w:val="00F6256E"/>
    <w:rsid w:val="00F730FD"/>
    <w:rsid w:val="00F73111"/>
    <w:rsid w:val="00F7720B"/>
    <w:rsid w:val="00F77CC5"/>
    <w:rsid w:val="00F80EF1"/>
    <w:rsid w:val="00F814A7"/>
    <w:rsid w:val="00F822F9"/>
    <w:rsid w:val="00F82958"/>
    <w:rsid w:val="00F8474A"/>
    <w:rsid w:val="00F85BA7"/>
    <w:rsid w:val="00F8634F"/>
    <w:rsid w:val="00F86659"/>
    <w:rsid w:val="00F90D03"/>
    <w:rsid w:val="00F9231F"/>
    <w:rsid w:val="00F92DAF"/>
    <w:rsid w:val="00F966CE"/>
    <w:rsid w:val="00F97C17"/>
    <w:rsid w:val="00FA12B5"/>
    <w:rsid w:val="00FA4EAC"/>
    <w:rsid w:val="00FA767C"/>
    <w:rsid w:val="00FB3C59"/>
    <w:rsid w:val="00FC3651"/>
    <w:rsid w:val="00FD2761"/>
    <w:rsid w:val="00FD3F7E"/>
    <w:rsid w:val="00FD5AB3"/>
    <w:rsid w:val="00FD7DD3"/>
    <w:rsid w:val="00FE02CB"/>
    <w:rsid w:val="00FE38C0"/>
    <w:rsid w:val="00FE7D7F"/>
    <w:rsid w:val="00FF0C72"/>
    <w:rsid w:val="00FF1445"/>
    <w:rsid w:val="00FF231C"/>
    <w:rsid w:val="00FF361C"/>
    <w:rsid w:val="00FF6F5C"/>
    <w:rsid w:val="01207B0A"/>
    <w:rsid w:val="018810E1"/>
    <w:rsid w:val="01913B53"/>
    <w:rsid w:val="0213766F"/>
    <w:rsid w:val="028265A2"/>
    <w:rsid w:val="02B91200"/>
    <w:rsid w:val="02C35E24"/>
    <w:rsid w:val="02DC69F8"/>
    <w:rsid w:val="02F57CA9"/>
    <w:rsid w:val="04A63F52"/>
    <w:rsid w:val="04FA2D68"/>
    <w:rsid w:val="05085408"/>
    <w:rsid w:val="0523406D"/>
    <w:rsid w:val="05AB73D8"/>
    <w:rsid w:val="0620509A"/>
    <w:rsid w:val="069F5975"/>
    <w:rsid w:val="06B3161C"/>
    <w:rsid w:val="06B331CE"/>
    <w:rsid w:val="06E635A4"/>
    <w:rsid w:val="07034156"/>
    <w:rsid w:val="07457030"/>
    <w:rsid w:val="07630750"/>
    <w:rsid w:val="084B203D"/>
    <w:rsid w:val="089B2955"/>
    <w:rsid w:val="089D3FDB"/>
    <w:rsid w:val="08BB636A"/>
    <w:rsid w:val="08D363DC"/>
    <w:rsid w:val="08FB2C0B"/>
    <w:rsid w:val="0926503A"/>
    <w:rsid w:val="096B7D90"/>
    <w:rsid w:val="09A17C56"/>
    <w:rsid w:val="09EA260E"/>
    <w:rsid w:val="0A814129"/>
    <w:rsid w:val="0A9F0701"/>
    <w:rsid w:val="0ABB3E3F"/>
    <w:rsid w:val="0B8B2A81"/>
    <w:rsid w:val="0BAA5C9D"/>
    <w:rsid w:val="0C450D6C"/>
    <w:rsid w:val="0C4D4692"/>
    <w:rsid w:val="0C745424"/>
    <w:rsid w:val="0E1924B1"/>
    <w:rsid w:val="0E292EC3"/>
    <w:rsid w:val="0E8C2C83"/>
    <w:rsid w:val="102F0B8C"/>
    <w:rsid w:val="106A35BB"/>
    <w:rsid w:val="10AD7440"/>
    <w:rsid w:val="10DB3009"/>
    <w:rsid w:val="11531836"/>
    <w:rsid w:val="1193257A"/>
    <w:rsid w:val="12A273BF"/>
    <w:rsid w:val="12C624DB"/>
    <w:rsid w:val="12CD386A"/>
    <w:rsid w:val="130354DD"/>
    <w:rsid w:val="13044405"/>
    <w:rsid w:val="1331204B"/>
    <w:rsid w:val="13313E49"/>
    <w:rsid w:val="133562A4"/>
    <w:rsid w:val="13A46379"/>
    <w:rsid w:val="13AC3173"/>
    <w:rsid w:val="13E0137B"/>
    <w:rsid w:val="143E480A"/>
    <w:rsid w:val="144968D3"/>
    <w:rsid w:val="147D74EC"/>
    <w:rsid w:val="15EC4007"/>
    <w:rsid w:val="16CD467C"/>
    <w:rsid w:val="16F72C63"/>
    <w:rsid w:val="175E3EB2"/>
    <w:rsid w:val="179F7397"/>
    <w:rsid w:val="17AC1CA0"/>
    <w:rsid w:val="17B1375A"/>
    <w:rsid w:val="17C25C94"/>
    <w:rsid w:val="17F61A17"/>
    <w:rsid w:val="186712CF"/>
    <w:rsid w:val="188D1AD1"/>
    <w:rsid w:val="1890511D"/>
    <w:rsid w:val="18DA6CE0"/>
    <w:rsid w:val="190B7602"/>
    <w:rsid w:val="19DB3D80"/>
    <w:rsid w:val="1A4F0D0E"/>
    <w:rsid w:val="1A516B2E"/>
    <w:rsid w:val="1A533956"/>
    <w:rsid w:val="1A5F061A"/>
    <w:rsid w:val="1AA475E6"/>
    <w:rsid w:val="1ABA7B1A"/>
    <w:rsid w:val="1AF51BB0"/>
    <w:rsid w:val="1B0F3B71"/>
    <w:rsid w:val="1B157F7A"/>
    <w:rsid w:val="1B3B6807"/>
    <w:rsid w:val="1B9F5A25"/>
    <w:rsid w:val="1BDD2C24"/>
    <w:rsid w:val="1C1775FC"/>
    <w:rsid w:val="1C3D43D1"/>
    <w:rsid w:val="1CC651D8"/>
    <w:rsid w:val="1D103D8F"/>
    <w:rsid w:val="1D4B0418"/>
    <w:rsid w:val="1DCB6BF8"/>
    <w:rsid w:val="1DE2466D"/>
    <w:rsid w:val="1E566E09"/>
    <w:rsid w:val="1EB76986"/>
    <w:rsid w:val="1F271F5F"/>
    <w:rsid w:val="1F3256C3"/>
    <w:rsid w:val="1F78690B"/>
    <w:rsid w:val="1F874453"/>
    <w:rsid w:val="1F921359"/>
    <w:rsid w:val="1FBC09B0"/>
    <w:rsid w:val="1FE842E7"/>
    <w:rsid w:val="1FE913A2"/>
    <w:rsid w:val="204976BD"/>
    <w:rsid w:val="20AA1395"/>
    <w:rsid w:val="20CC5D55"/>
    <w:rsid w:val="21026DD4"/>
    <w:rsid w:val="21611D4D"/>
    <w:rsid w:val="21E41F66"/>
    <w:rsid w:val="22D40EB5"/>
    <w:rsid w:val="22F025CC"/>
    <w:rsid w:val="233254E8"/>
    <w:rsid w:val="23553853"/>
    <w:rsid w:val="235A7FE2"/>
    <w:rsid w:val="23A14683"/>
    <w:rsid w:val="23CB7951"/>
    <w:rsid w:val="248F097F"/>
    <w:rsid w:val="24A35988"/>
    <w:rsid w:val="24B959FC"/>
    <w:rsid w:val="24D568E7"/>
    <w:rsid w:val="24FB6069"/>
    <w:rsid w:val="25641E0C"/>
    <w:rsid w:val="257C53A7"/>
    <w:rsid w:val="25E52890"/>
    <w:rsid w:val="26380BF9"/>
    <w:rsid w:val="26437C73"/>
    <w:rsid w:val="264677C7"/>
    <w:rsid w:val="264D215C"/>
    <w:rsid w:val="264E519F"/>
    <w:rsid w:val="26FE003E"/>
    <w:rsid w:val="27133AE9"/>
    <w:rsid w:val="27344249"/>
    <w:rsid w:val="27C91581"/>
    <w:rsid w:val="287D7AE4"/>
    <w:rsid w:val="28C677CB"/>
    <w:rsid w:val="28DE6577"/>
    <w:rsid w:val="29127DD1"/>
    <w:rsid w:val="29F64FFC"/>
    <w:rsid w:val="2A0B4F4C"/>
    <w:rsid w:val="2A5334FF"/>
    <w:rsid w:val="2AAD0B5C"/>
    <w:rsid w:val="2B607CC3"/>
    <w:rsid w:val="2B8E2201"/>
    <w:rsid w:val="2C1A4639"/>
    <w:rsid w:val="2C2A6795"/>
    <w:rsid w:val="2C6F76C7"/>
    <w:rsid w:val="2C7C54EB"/>
    <w:rsid w:val="2CB73169"/>
    <w:rsid w:val="2CEB6FAF"/>
    <w:rsid w:val="2D356274"/>
    <w:rsid w:val="2DA0687A"/>
    <w:rsid w:val="2DF6381D"/>
    <w:rsid w:val="2E383E35"/>
    <w:rsid w:val="2E5629C0"/>
    <w:rsid w:val="2E6E3B96"/>
    <w:rsid w:val="2EA66FF1"/>
    <w:rsid w:val="2EB711FE"/>
    <w:rsid w:val="2EF273A9"/>
    <w:rsid w:val="2FAA48BF"/>
    <w:rsid w:val="30150C77"/>
    <w:rsid w:val="309B06AC"/>
    <w:rsid w:val="30A21A3A"/>
    <w:rsid w:val="30B01036"/>
    <w:rsid w:val="30E24E48"/>
    <w:rsid w:val="314F1BC2"/>
    <w:rsid w:val="31A041CB"/>
    <w:rsid w:val="31A04A78"/>
    <w:rsid w:val="321338D5"/>
    <w:rsid w:val="32524156"/>
    <w:rsid w:val="326C2300"/>
    <w:rsid w:val="327A0EC0"/>
    <w:rsid w:val="32C959A4"/>
    <w:rsid w:val="33325417"/>
    <w:rsid w:val="3350792B"/>
    <w:rsid w:val="339A4C4A"/>
    <w:rsid w:val="33CB5AF7"/>
    <w:rsid w:val="33E62733"/>
    <w:rsid w:val="33F26952"/>
    <w:rsid w:val="34F36D08"/>
    <w:rsid w:val="351C4E29"/>
    <w:rsid w:val="352A48EB"/>
    <w:rsid w:val="35481339"/>
    <w:rsid w:val="35527ED3"/>
    <w:rsid w:val="360C62D3"/>
    <w:rsid w:val="36107446"/>
    <w:rsid w:val="362B7978"/>
    <w:rsid w:val="363E0457"/>
    <w:rsid w:val="36453D49"/>
    <w:rsid w:val="36492831"/>
    <w:rsid w:val="366C6D72"/>
    <w:rsid w:val="366D3E8C"/>
    <w:rsid w:val="36890D20"/>
    <w:rsid w:val="3712518B"/>
    <w:rsid w:val="372A4E59"/>
    <w:rsid w:val="37310BE1"/>
    <w:rsid w:val="376E09B0"/>
    <w:rsid w:val="37A34A15"/>
    <w:rsid w:val="37D8392D"/>
    <w:rsid w:val="37F232A7"/>
    <w:rsid w:val="37F73595"/>
    <w:rsid w:val="37F96EAD"/>
    <w:rsid w:val="3843357E"/>
    <w:rsid w:val="384653A1"/>
    <w:rsid w:val="38505BB5"/>
    <w:rsid w:val="389F4363"/>
    <w:rsid w:val="38A87E0A"/>
    <w:rsid w:val="38B35171"/>
    <w:rsid w:val="394A4C3B"/>
    <w:rsid w:val="39AB5E03"/>
    <w:rsid w:val="39E92488"/>
    <w:rsid w:val="39F552D0"/>
    <w:rsid w:val="3A2801BE"/>
    <w:rsid w:val="3A286049"/>
    <w:rsid w:val="3A5838C6"/>
    <w:rsid w:val="3AB26D1E"/>
    <w:rsid w:val="3AE315CD"/>
    <w:rsid w:val="3B3B3313"/>
    <w:rsid w:val="3B516536"/>
    <w:rsid w:val="3B733902"/>
    <w:rsid w:val="3B7A3CDF"/>
    <w:rsid w:val="3BCE5DD9"/>
    <w:rsid w:val="3BE67FAB"/>
    <w:rsid w:val="3C97441D"/>
    <w:rsid w:val="3C9E57AB"/>
    <w:rsid w:val="3D223E81"/>
    <w:rsid w:val="3D537FD8"/>
    <w:rsid w:val="3D6F51D8"/>
    <w:rsid w:val="3D755F71"/>
    <w:rsid w:val="3D7A2536"/>
    <w:rsid w:val="3E0930F8"/>
    <w:rsid w:val="3E5663C6"/>
    <w:rsid w:val="3E5809F4"/>
    <w:rsid w:val="3E5F71BC"/>
    <w:rsid w:val="3E740EBA"/>
    <w:rsid w:val="3E774E75"/>
    <w:rsid w:val="3E834C59"/>
    <w:rsid w:val="3F367F1D"/>
    <w:rsid w:val="3FA533C4"/>
    <w:rsid w:val="3FC77B4E"/>
    <w:rsid w:val="3FF50AD3"/>
    <w:rsid w:val="414C53C4"/>
    <w:rsid w:val="416936AA"/>
    <w:rsid w:val="4171348E"/>
    <w:rsid w:val="41842500"/>
    <w:rsid w:val="41DE664A"/>
    <w:rsid w:val="420204DA"/>
    <w:rsid w:val="423346D0"/>
    <w:rsid w:val="42504797"/>
    <w:rsid w:val="429D53C2"/>
    <w:rsid w:val="42C60F5C"/>
    <w:rsid w:val="42CA6AC7"/>
    <w:rsid w:val="431A1904"/>
    <w:rsid w:val="431F4B72"/>
    <w:rsid w:val="4320765B"/>
    <w:rsid w:val="439C6257"/>
    <w:rsid w:val="43CE261E"/>
    <w:rsid w:val="441D16AC"/>
    <w:rsid w:val="44213429"/>
    <w:rsid w:val="449F6565"/>
    <w:rsid w:val="44ED72D0"/>
    <w:rsid w:val="45246A6A"/>
    <w:rsid w:val="454E1745"/>
    <w:rsid w:val="46AC5466"/>
    <w:rsid w:val="46BF08D0"/>
    <w:rsid w:val="47083738"/>
    <w:rsid w:val="47D254BD"/>
    <w:rsid w:val="47D46525"/>
    <w:rsid w:val="47E47287"/>
    <w:rsid w:val="48413E8D"/>
    <w:rsid w:val="487675DC"/>
    <w:rsid w:val="487F0B87"/>
    <w:rsid w:val="48BC66EE"/>
    <w:rsid w:val="49121BEA"/>
    <w:rsid w:val="49443317"/>
    <w:rsid w:val="49613E85"/>
    <w:rsid w:val="497A30FC"/>
    <w:rsid w:val="49951CE4"/>
    <w:rsid w:val="49C11E36"/>
    <w:rsid w:val="4A5C478F"/>
    <w:rsid w:val="4ADD4872"/>
    <w:rsid w:val="4B016D87"/>
    <w:rsid w:val="4B4614E8"/>
    <w:rsid w:val="4B6D570B"/>
    <w:rsid w:val="4BE64A79"/>
    <w:rsid w:val="4C072295"/>
    <w:rsid w:val="4C5453B5"/>
    <w:rsid w:val="4C60425D"/>
    <w:rsid w:val="4D662315"/>
    <w:rsid w:val="4DB12E65"/>
    <w:rsid w:val="4E872543"/>
    <w:rsid w:val="4E8F764A"/>
    <w:rsid w:val="4F0E4A13"/>
    <w:rsid w:val="4F196F13"/>
    <w:rsid w:val="4F2159BA"/>
    <w:rsid w:val="4F247F06"/>
    <w:rsid w:val="4F4C132A"/>
    <w:rsid w:val="4FB37368"/>
    <w:rsid w:val="500C248C"/>
    <w:rsid w:val="506B19F1"/>
    <w:rsid w:val="50AD025B"/>
    <w:rsid w:val="50C51101"/>
    <w:rsid w:val="50DC6037"/>
    <w:rsid w:val="519D5C5C"/>
    <w:rsid w:val="51A9620A"/>
    <w:rsid w:val="51F85506"/>
    <w:rsid w:val="524751DF"/>
    <w:rsid w:val="52644AB9"/>
    <w:rsid w:val="52D63F42"/>
    <w:rsid w:val="53237473"/>
    <w:rsid w:val="536A0A5C"/>
    <w:rsid w:val="539179C0"/>
    <w:rsid w:val="539A53E1"/>
    <w:rsid w:val="53C30205"/>
    <w:rsid w:val="53CE3503"/>
    <w:rsid w:val="53F15DAF"/>
    <w:rsid w:val="54471B54"/>
    <w:rsid w:val="54596730"/>
    <w:rsid w:val="54967BB3"/>
    <w:rsid w:val="55A5225D"/>
    <w:rsid w:val="55D9155A"/>
    <w:rsid w:val="560B207B"/>
    <w:rsid w:val="56272B59"/>
    <w:rsid w:val="56577E92"/>
    <w:rsid w:val="56674A08"/>
    <w:rsid w:val="5683561C"/>
    <w:rsid w:val="56AB0D99"/>
    <w:rsid w:val="56DA342C"/>
    <w:rsid w:val="57201787"/>
    <w:rsid w:val="57250B4B"/>
    <w:rsid w:val="57D86446"/>
    <w:rsid w:val="5818245E"/>
    <w:rsid w:val="58A571F6"/>
    <w:rsid w:val="58B959EF"/>
    <w:rsid w:val="58D629C4"/>
    <w:rsid w:val="58DB2731"/>
    <w:rsid w:val="59154BEF"/>
    <w:rsid w:val="591B5E09"/>
    <w:rsid w:val="594700E3"/>
    <w:rsid w:val="5960150F"/>
    <w:rsid w:val="59D81EA5"/>
    <w:rsid w:val="59F44805"/>
    <w:rsid w:val="5A1D0200"/>
    <w:rsid w:val="5A3A490E"/>
    <w:rsid w:val="5A662026"/>
    <w:rsid w:val="5A7B6CD4"/>
    <w:rsid w:val="5B8F0C89"/>
    <w:rsid w:val="5C3F445D"/>
    <w:rsid w:val="5C677226"/>
    <w:rsid w:val="5C9E3AD9"/>
    <w:rsid w:val="5D3C274B"/>
    <w:rsid w:val="5FF76DFD"/>
    <w:rsid w:val="600C644D"/>
    <w:rsid w:val="603A0512"/>
    <w:rsid w:val="605A0AF3"/>
    <w:rsid w:val="609C5BF9"/>
    <w:rsid w:val="60BD3243"/>
    <w:rsid w:val="61073325"/>
    <w:rsid w:val="62035F2D"/>
    <w:rsid w:val="627110E9"/>
    <w:rsid w:val="62E25B42"/>
    <w:rsid w:val="636C382D"/>
    <w:rsid w:val="63A66B70"/>
    <w:rsid w:val="63A749E0"/>
    <w:rsid w:val="63C60FC0"/>
    <w:rsid w:val="63F81B90"/>
    <w:rsid w:val="6427244F"/>
    <w:rsid w:val="64BF7142"/>
    <w:rsid w:val="64D616D7"/>
    <w:rsid w:val="666A7635"/>
    <w:rsid w:val="66772A46"/>
    <w:rsid w:val="670A0612"/>
    <w:rsid w:val="67446219"/>
    <w:rsid w:val="675B64C8"/>
    <w:rsid w:val="67D0631C"/>
    <w:rsid w:val="68631C14"/>
    <w:rsid w:val="68680898"/>
    <w:rsid w:val="692C32C0"/>
    <w:rsid w:val="69990F25"/>
    <w:rsid w:val="69B77069"/>
    <w:rsid w:val="69E403F2"/>
    <w:rsid w:val="69E90156"/>
    <w:rsid w:val="6A1F745E"/>
    <w:rsid w:val="6A450A4F"/>
    <w:rsid w:val="6A8917B4"/>
    <w:rsid w:val="6AE306AA"/>
    <w:rsid w:val="6B1271E1"/>
    <w:rsid w:val="6B146AB5"/>
    <w:rsid w:val="6B234F4A"/>
    <w:rsid w:val="6B567508"/>
    <w:rsid w:val="6B6F304C"/>
    <w:rsid w:val="6B7A3154"/>
    <w:rsid w:val="6BDE4E25"/>
    <w:rsid w:val="6D055FB4"/>
    <w:rsid w:val="6D4B2536"/>
    <w:rsid w:val="6D567859"/>
    <w:rsid w:val="6E057489"/>
    <w:rsid w:val="6E07229E"/>
    <w:rsid w:val="6E301E58"/>
    <w:rsid w:val="6E5024FA"/>
    <w:rsid w:val="6E5A47AD"/>
    <w:rsid w:val="6E663ACB"/>
    <w:rsid w:val="6E867143"/>
    <w:rsid w:val="6EDC5B3C"/>
    <w:rsid w:val="6EE80984"/>
    <w:rsid w:val="6EFB4907"/>
    <w:rsid w:val="6F046682"/>
    <w:rsid w:val="6FCD4946"/>
    <w:rsid w:val="70441BEA"/>
    <w:rsid w:val="70D43718"/>
    <w:rsid w:val="714D6009"/>
    <w:rsid w:val="715E4F2E"/>
    <w:rsid w:val="717604C9"/>
    <w:rsid w:val="71A97BF2"/>
    <w:rsid w:val="71D329D8"/>
    <w:rsid w:val="720023AB"/>
    <w:rsid w:val="720B62BF"/>
    <w:rsid w:val="726522EC"/>
    <w:rsid w:val="726E73F3"/>
    <w:rsid w:val="72A67378"/>
    <w:rsid w:val="735F2141"/>
    <w:rsid w:val="73851CA1"/>
    <w:rsid w:val="73F25CD2"/>
    <w:rsid w:val="7408706A"/>
    <w:rsid w:val="74237D69"/>
    <w:rsid w:val="747C5C15"/>
    <w:rsid w:val="74876442"/>
    <w:rsid w:val="760C31AA"/>
    <w:rsid w:val="760D2A7F"/>
    <w:rsid w:val="763409E0"/>
    <w:rsid w:val="76550D87"/>
    <w:rsid w:val="76E83058"/>
    <w:rsid w:val="771176C7"/>
    <w:rsid w:val="77500A95"/>
    <w:rsid w:val="77DC1354"/>
    <w:rsid w:val="77FA6282"/>
    <w:rsid w:val="781B279B"/>
    <w:rsid w:val="78435FF9"/>
    <w:rsid w:val="78533545"/>
    <w:rsid w:val="78C13E4C"/>
    <w:rsid w:val="78D855C6"/>
    <w:rsid w:val="78EE6B97"/>
    <w:rsid w:val="7909350D"/>
    <w:rsid w:val="79282F08"/>
    <w:rsid w:val="798B5C2D"/>
    <w:rsid w:val="79BB3AEB"/>
    <w:rsid w:val="79EB30D7"/>
    <w:rsid w:val="79FC3536"/>
    <w:rsid w:val="7A13262E"/>
    <w:rsid w:val="7A676694"/>
    <w:rsid w:val="7A7C01D3"/>
    <w:rsid w:val="7ADB6043"/>
    <w:rsid w:val="7AF46434"/>
    <w:rsid w:val="7B3560B5"/>
    <w:rsid w:val="7B6B5883"/>
    <w:rsid w:val="7B7F7F7B"/>
    <w:rsid w:val="7BAD46E5"/>
    <w:rsid w:val="7C224DAA"/>
    <w:rsid w:val="7C8156DD"/>
    <w:rsid w:val="7CAB2FF1"/>
    <w:rsid w:val="7D4E3613"/>
    <w:rsid w:val="7E290672"/>
    <w:rsid w:val="7E9C0E44"/>
    <w:rsid w:val="7EBD6681"/>
    <w:rsid w:val="7F1B16C7"/>
    <w:rsid w:val="7F1C3BEB"/>
    <w:rsid w:val="7F9C3A4F"/>
    <w:rsid w:val="7F9F3B25"/>
    <w:rsid w:val="7F9F508F"/>
    <w:rsid w:val="7FC8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53"/>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1"/>
    <w:link w:val="4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semiHidden/>
    <w:unhideWhenUsed/>
    <w:qFormat/>
    <w:uiPriority w:val="9"/>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2520" w:leftChars="1200"/>
    </w:pPr>
    <w:rPr>
      <w:rFonts w:ascii="Calibri" w:hAnsi="Calibri" w:eastAsia="宋体" w:cs="Times New Roman"/>
      <w:sz w:val="21"/>
    </w:rPr>
  </w:style>
  <w:style w:type="paragraph" w:styleId="8">
    <w:name w:val="Normal Indent"/>
    <w:basedOn w:val="1"/>
    <w:next w:val="9"/>
    <w:link w:val="85"/>
    <w:unhideWhenUsed/>
    <w:qFormat/>
    <w:uiPriority w:val="0"/>
    <w:pPr>
      <w:ind w:firstLine="420" w:firstLineChars="200"/>
    </w:pPr>
  </w:style>
  <w:style w:type="paragraph" w:styleId="9">
    <w:name w:val="Body Text 2"/>
    <w:basedOn w:val="1"/>
    <w:qFormat/>
    <w:uiPriority w:val="0"/>
    <w:pPr>
      <w:spacing w:line="280" w:lineRule="exact"/>
      <w:jc w:val="center"/>
    </w:pPr>
  </w:style>
  <w:style w:type="paragraph" w:styleId="10">
    <w:name w:val="Document Map"/>
    <w:basedOn w:val="1"/>
    <w:link w:val="69"/>
    <w:semiHidden/>
    <w:qFormat/>
    <w:uiPriority w:val="0"/>
    <w:pPr>
      <w:shd w:val="clear" w:color="auto" w:fill="000080"/>
    </w:pPr>
    <w:rPr>
      <w:rFonts w:ascii="Times New Roman" w:hAnsi="Times New Roman" w:eastAsia="宋体" w:cs="Times New Roman"/>
      <w:sz w:val="21"/>
      <w:szCs w:val="24"/>
    </w:rPr>
  </w:style>
  <w:style w:type="paragraph" w:styleId="11">
    <w:name w:val="annotation text"/>
    <w:basedOn w:val="1"/>
    <w:link w:val="63"/>
    <w:qFormat/>
    <w:uiPriority w:val="0"/>
    <w:pPr>
      <w:jc w:val="left"/>
    </w:pPr>
    <w:rPr>
      <w:sz w:val="21"/>
      <w:szCs w:val="24"/>
    </w:rPr>
  </w:style>
  <w:style w:type="paragraph" w:styleId="12">
    <w:name w:val="Body Text"/>
    <w:basedOn w:val="1"/>
    <w:next w:val="1"/>
    <w:link w:val="56"/>
    <w:unhideWhenUsed/>
    <w:qFormat/>
    <w:uiPriority w:val="0"/>
    <w:pPr>
      <w:spacing w:after="120"/>
    </w:pPr>
  </w:style>
  <w:style w:type="paragraph" w:styleId="13">
    <w:name w:val="Body Text Indent"/>
    <w:basedOn w:val="1"/>
    <w:qFormat/>
    <w:uiPriority w:val="0"/>
    <w:pPr>
      <w:spacing w:after="120"/>
      <w:ind w:left="420" w:leftChars="200"/>
    </w:pPr>
  </w:style>
  <w:style w:type="paragraph" w:styleId="14">
    <w:name w:val="List 2"/>
    <w:basedOn w:val="1"/>
    <w:qFormat/>
    <w:uiPriority w:val="0"/>
    <w:pPr>
      <w:spacing w:before="120" w:after="120"/>
      <w:ind w:left="100" w:leftChars="200" w:hanging="200" w:hangingChars="200"/>
    </w:pPr>
    <w:rPr>
      <w:rFonts w:ascii="Times New Roman" w:hAnsi="Times New Roman" w:eastAsia="宋体" w:cs="Times New Roman"/>
      <w:sz w:val="28"/>
      <w:szCs w:val="20"/>
      <w:vertAlign w:val="subscript"/>
    </w:rPr>
  </w:style>
  <w:style w:type="paragraph" w:styleId="15">
    <w:name w:val="toc 5"/>
    <w:basedOn w:val="1"/>
    <w:next w:val="1"/>
    <w:unhideWhenUsed/>
    <w:qFormat/>
    <w:uiPriority w:val="39"/>
    <w:pPr>
      <w:ind w:left="1680" w:leftChars="800"/>
    </w:pPr>
    <w:rPr>
      <w:rFonts w:ascii="Calibri" w:hAnsi="Calibri" w:eastAsia="宋体" w:cs="Times New Roman"/>
      <w:sz w:val="21"/>
    </w:rPr>
  </w:style>
  <w:style w:type="paragraph" w:styleId="16">
    <w:name w:val="toc 3"/>
    <w:basedOn w:val="1"/>
    <w:next w:val="1"/>
    <w:qFormat/>
    <w:uiPriority w:val="39"/>
    <w:pPr>
      <w:ind w:left="840" w:leftChars="400"/>
    </w:pPr>
    <w:rPr>
      <w:rFonts w:ascii="Times New Roman" w:hAnsi="Times New Roman" w:eastAsia="宋体" w:cs="Times New Roman"/>
      <w:sz w:val="21"/>
      <w:szCs w:val="24"/>
    </w:rPr>
  </w:style>
  <w:style w:type="paragraph" w:styleId="17">
    <w:name w:val="Plain Text"/>
    <w:basedOn w:val="1"/>
    <w:link w:val="75"/>
    <w:qFormat/>
    <w:uiPriority w:val="0"/>
    <w:rPr>
      <w:rFonts w:ascii="宋体" w:hAnsi="Courier New" w:eastAsia="宋体" w:cs="宋体"/>
      <w:sz w:val="21"/>
      <w:szCs w:val="21"/>
    </w:rPr>
  </w:style>
  <w:style w:type="paragraph" w:styleId="18">
    <w:name w:val="toc 8"/>
    <w:basedOn w:val="1"/>
    <w:next w:val="1"/>
    <w:unhideWhenUsed/>
    <w:qFormat/>
    <w:uiPriority w:val="39"/>
    <w:pPr>
      <w:ind w:left="2940" w:leftChars="1400"/>
    </w:pPr>
    <w:rPr>
      <w:rFonts w:ascii="Calibri" w:hAnsi="Calibri" w:eastAsia="宋体" w:cs="Times New Roman"/>
      <w:sz w:val="21"/>
    </w:rPr>
  </w:style>
  <w:style w:type="paragraph" w:styleId="19">
    <w:name w:val="Date"/>
    <w:basedOn w:val="1"/>
    <w:next w:val="1"/>
    <w:link w:val="62"/>
    <w:qFormat/>
    <w:uiPriority w:val="0"/>
    <w:pPr>
      <w:ind w:left="100" w:leftChars="2500"/>
    </w:pPr>
    <w:rPr>
      <w:sz w:val="21"/>
      <w:szCs w:val="24"/>
    </w:rPr>
  </w:style>
  <w:style w:type="paragraph" w:styleId="20">
    <w:name w:val="Body Text Indent 2"/>
    <w:basedOn w:val="1"/>
    <w:next w:val="17"/>
    <w:link w:val="58"/>
    <w:unhideWhenUsed/>
    <w:qFormat/>
    <w:uiPriority w:val="99"/>
    <w:pPr>
      <w:spacing w:after="120" w:line="480" w:lineRule="auto"/>
      <w:ind w:left="420" w:leftChars="200"/>
    </w:pPr>
  </w:style>
  <w:style w:type="paragraph" w:styleId="21">
    <w:name w:val="Balloon Text"/>
    <w:basedOn w:val="1"/>
    <w:link w:val="66"/>
    <w:qFormat/>
    <w:uiPriority w:val="0"/>
    <w:rPr>
      <w:sz w:val="18"/>
      <w:szCs w:val="18"/>
    </w:rPr>
  </w:style>
  <w:style w:type="paragraph" w:styleId="22">
    <w:name w:val="footer"/>
    <w:basedOn w:val="1"/>
    <w:link w:val="51"/>
    <w:unhideWhenUsed/>
    <w:qFormat/>
    <w:uiPriority w:val="99"/>
    <w:pPr>
      <w:tabs>
        <w:tab w:val="center" w:pos="4153"/>
        <w:tab w:val="right" w:pos="8306"/>
      </w:tabs>
      <w:snapToGrid w:val="0"/>
      <w:jc w:val="left"/>
    </w:pPr>
    <w:rPr>
      <w:sz w:val="18"/>
      <w:szCs w:val="18"/>
    </w:rPr>
  </w:style>
  <w:style w:type="paragraph" w:styleId="23">
    <w:name w:val="envelope return"/>
    <w:basedOn w:val="1"/>
    <w:qFormat/>
    <w:uiPriority w:val="0"/>
    <w:pPr>
      <w:snapToGrid w:val="0"/>
    </w:pPr>
    <w:rPr>
      <w:rFonts w:ascii="Arial" w:hAnsi="Arial"/>
    </w:rPr>
  </w:style>
  <w:style w:type="paragraph" w:styleId="24">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rPr>
      <w:rFonts w:ascii="Times New Roman" w:hAnsi="Times New Roman" w:eastAsia="宋体" w:cs="Times New Roman"/>
      <w:sz w:val="21"/>
      <w:szCs w:val="24"/>
    </w:rPr>
  </w:style>
  <w:style w:type="paragraph" w:styleId="26">
    <w:name w:val="toc 4"/>
    <w:basedOn w:val="1"/>
    <w:next w:val="1"/>
    <w:unhideWhenUsed/>
    <w:qFormat/>
    <w:uiPriority w:val="39"/>
    <w:pPr>
      <w:ind w:left="1260" w:leftChars="600"/>
    </w:pPr>
    <w:rPr>
      <w:rFonts w:ascii="Calibri" w:hAnsi="Calibri" w:eastAsia="宋体" w:cs="Times New Roman"/>
      <w:sz w:val="21"/>
    </w:rPr>
  </w:style>
  <w:style w:type="paragraph" w:styleId="27">
    <w:name w:val="toc 6"/>
    <w:basedOn w:val="1"/>
    <w:next w:val="1"/>
    <w:unhideWhenUsed/>
    <w:qFormat/>
    <w:uiPriority w:val="39"/>
    <w:pPr>
      <w:ind w:left="2100" w:leftChars="1000"/>
    </w:pPr>
    <w:rPr>
      <w:rFonts w:ascii="Calibri" w:hAnsi="Calibri" w:eastAsia="宋体" w:cs="Times New Roman"/>
      <w:sz w:val="21"/>
    </w:rPr>
  </w:style>
  <w:style w:type="paragraph" w:styleId="28">
    <w:name w:val="toc 2"/>
    <w:basedOn w:val="1"/>
    <w:next w:val="1"/>
    <w:qFormat/>
    <w:uiPriority w:val="39"/>
    <w:pPr>
      <w:ind w:left="420" w:leftChars="200"/>
    </w:pPr>
    <w:rPr>
      <w:rFonts w:ascii="Times New Roman" w:hAnsi="Times New Roman" w:eastAsia="宋体" w:cs="Times New Roman"/>
      <w:sz w:val="21"/>
      <w:szCs w:val="24"/>
    </w:rPr>
  </w:style>
  <w:style w:type="paragraph" w:styleId="29">
    <w:name w:val="toc 9"/>
    <w:basedOn w:val="1"/>
    <w:next w:val="1"/>
    <w:unhideWhenUsed/>
    <w:qFormat/>
    <w:uiPriority w:val="39"/>
    <w:pPr>
      <w:ind w:left="3360" w:leftChars="1600"/>
    </w:pPr>
    <w:rPr>
      <w:rFonts w:ascii="Calibri" w:hAnsi="Calibri" w:eastAsia="宋体" w:cs="Times New Roman"/>
      <w:sz w:val="21"/>
    </w:rPr>
  </w:style>
  <w:style w:type="paragraph" w:styleId="30">
    <w:name w:val="Normal (Web)"/>
    <w:basedOn w:val="1"/>
    <w:qFormat/>
    <w:uiPriority w:val="99"/>
    <w:pPr>
      <w:widowControl/>
      <w:spacing w:before="100" w:beforeAutospacing="1" w:after="100" w:afterAutospacing="1"/>
      <w:jc w:val="left"/>
    </w:pPr>
    <w:rPr>
      <w:rFonts w:ascii="宋体" w:hAnsi="宋体" w:eastAsia="宋体" w:cs="宋体"/>
      <w:kern w:val="0"/>
      <w:szCs w:val="24"/>
    </w:rPr>
  </w:style>
  <w:style w:type="paragraph" w:styleId="31">
    <w:name w:val="annotation subject"/>
    <w:basedOn w:val="11"/>
    <w:next w:val="11"/>
    <w:link w:val="64"/>
    <w:qFormat/>
    <w:uiPriority w:val="0"/>
    <w:rPr>
      <w:b/>
      <w:bCs/>
    </w:rPr>
  </w:style>
  <w:style w:type="paragraph" w:styleId="32">
    <w:name w:val="Body Text First Indent"/>
    <w:basedOn w:val="12"/>
    <w:next w:val="33"/>
    <w:link w:val="55"/>
    <w:qFormat/>
    <w:uiPriority w:val="0"/>
    <w:pPr>
      <w:ind w:firstLine="420" w:firstLineChars="100"/>
    </w:pPr>
    <w:rPr>
      <w:sz w:val="21"/>
      <w:szCs w:val="24"/>
    </w:rPr>
  </w:style>
  <w:style w:type="paragraph" w:styleId="33">
    <w:name w:val="Body Text First Indent 2"/>
    <w:basedOn w:val="13"/>
    <w:link w:val="89"/>
    <w:qFormat/>
    <w:uiPriority w:val="0"/>
    <w:pPr>
      <w:ind w:firstLine="420" w:firstLineChars="200"/>
    </w:pPr>
    <w:rPr>
      <w:rFonts w:ascii="Times New Roman" w:eastAsia="宋体"/>
      <w:sz w:val="21"/>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bCs/>
    </w:rPr>
  </w:style>
  <w:style w:type="character" w:styleId="38">
    <w:name w:val="page number"/>
    <w:basedOn w:val="36"/>
    <w:qFormat/>
    <w:uiPriority w:val="0"/>
  </w:style>
  <w:style w:type="character" w:styleId="39">
    <w:name w:val="FollowedHyperlink"/>
    <w:basedOn w:val="36"/>
    <w:semiHidden/>
    <w:unhideWhenUsed/>
    <w:qFormat/>
    <w:uiPriority w:val="99"/>
    <w:rPr>
      <w:color w:val="1F3149"/>
      <w:u w:val="none"/>
    </w:rPr>
  </w:style>
  <w:style w:type="character" w:styleId="40">
    <w:name w:val="HTML Definition"/>
    <w:basedOn w:val="36"/>
    <w:semiHidden/>
    <w:unhideWhenUsed/>
    <w:qFormat/>
    <w:uiPriority w:val="99"/>
    <w:rPr>
      <w:i/>
      <w:iCs/>
    </w:rPr>
  </w:style>
  <w:style w:type="character" w:styleId="41">
    <w:name w:val="Hyperlink"/>
    <w:basedOn w:val="36"/>
    <w:qFormat/>
    <w:uiPriority w:val="99"/>
    <w:rPr>
      <w:color w:val="1F3149"/>
      <w:u w:val="none"/>
    </w:rPr>
  </w:style>
  <w:style w:type="character" w:styleId="42">
    <w:name w:val="HTML Code"/>
    <w:basedOn w:val="36"/>
    <w:semiHidden/>
    <w:unhideWhenUsed/>
    <w:qFormat/>
    <w:uiPriority w:val="99"/>
    <w:rPr>
      <w:rFonts w:hint="default" w:ascii="Consolas" w:hAnsi="Consolas" w:eastAsia="Consolas" w:cs="Consolas"/>
      <w:color w:val="C7254E"/>
      <w:sz w:val="21"/>
      <w:szCs w:val="21"/>
      <w:shd w:val="clear" w:color="auto" w:fill="F9F2F4"/>
    </w:rPr>
  </w:style>
  <w:style w:type="character" w:styleId="43">
    <w:name w:val="annotation reference"/>
    <w:qFormat/>
    <w:uiPriority w:val="0"/>
    <w:rPr>
      <w:sz w:val="21"/>
      <w:szCs w:val="21"/>
    </w:rPr>
  </w:style>
  <w:style w:type="character" w:styleId="44">
    <w:name w:val="HTML Keyboard"/>
    <w:basedOn w:val="36"/>
    <w:semiHidden/>
    <w:unhideWhenUsed/>
    <w:qFormat/>
    <w:uiPriority w:val="99"/>
    <w:rPr>
      <w:rFonts w:ascii="Consolas" w:hAnsi="Consolas" w:eastAsia="Consolas" w:cs="Consolas"/>
      <w:color w:val="FFFFFF"/>
      <w:sz w:val="21"/>
      <w:szCs w:val="21"/>
      <w:shd w:val="clear" w:color="auto" w:fill="333333"/>
    </w:rPr>
  </w:style>
  <w:style w:type="character" w:styleId="45">
    <w:name w:val="HTML Sample"/>
    <w:basedOn w:val="36"/>
    <w:semiHidden/>
    <w:unhideWhenUsed/>
    <w:qFormat/>
    <w:uiPriority w:val="99"/>
    <w:rPr>
      <w:rFonts w:hint="default" w:ascii="Consolas" w:hAnsi="Consolas" w:eastAsia="Consolas" w:cs="Consolas"/>
      <w:sz w:val="21"/>
      <w:szCs w:val="21"/>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_Style 23"/>
    <w:basedOn w:val="1"/>
    <w:qFormat/>
    <w:uiPriority w:val="0"/>
    <w:pPr>
      <w:adjustRightInd w:val="0"/>
      <w:spacing w:line="360" w:lineRule="atLeast"/>
      <w:jc w:val="left"/>
    </w:pPr>
    <w:rPr>
      <w:rFonts w:ascii="Times New Roman" w:hAnsi="Times New Roman" w:eastAsia="宋体" w:cs="Times New Roman"/>
      <w:szCs w:val="24"/>
    </w:rPr>
  </w:style>
  <w:style w:type="character" w:customStyle="1" w:styleId="48">
    <w:name w:val="标题 3 字符"/>
    <w:basedOn w:val="36"/>
    <w:link w:val="4"/>
    <w:semiHidden/>
    <w:qFormat/>
    <w:uiPriority w:val="9"/>
    <w:rPr>
      <w:b/>
      <w:bCs/>
      <w:sz w:val="32"/>
      <w:szCs w:val="32"/>
    </w:rPr>
  </w:style>
  <w:style w:type="character" w:customStyle="1" w:styleId="49">
    <w:name w:val="标题 2 字符"/>
    <w:basedOn w:val="36"/>
    <w:link w:val="3"/>
    <w:semiHidden/>
    <w:qFormat/>
    <w:uiPriority w:val="9"/>
    <w:rPr>
      <w:rFonts w:asciiTheme="majorHAnsi" w:hAnsiTheme="majorHAnsi" w:eastAsiaTheme="majorEastAsia" w:cstheme="majorBidi"/>
      <w:b/>
      <w:bCs/>
      <w:sz w:val="32"/>
      <w:szCs w:val="32"/>
    </w:rPr>
  </w:style>
  <w:style w:type="character" w:customStyle="1" w:styleId="50">
    <w:name w:val="页眉 字符"/>
    <w:basedOn w:val="36"/>
    <w:link w:val="24"/>
    <w:qFormat/>
    <w:uiPriority w:val="99"/>
    <w:rPr>
      <w:sz w:val="18"/>
      <w:szCs w:val="18"/>
    </w:rPr>
  </w:style>
  <w:style w:type="character" w:customStyle="1" w:styleId="51">
    <w:name w:val="页脚 字符"/>
    <w:basedOn w:val="36"/>
    <w:link w:val="22"/>
    <w:qFormat/>
    <w:uiPriority w:val="99"/>
    <w:rPr>
      <w:sz w:val="18"/>
      <w:szCs w:val="18"/>
    </w:rPr>
  </w:style>
  <w:style w:type="paragraph" w:styleId="52">
    <w:name w:val="List Paragraph"/>
    <w:basedOn w:val="1"/>
    <w:qFormat/>
    <w:uiPriority w:val="34"/>
    <w:pPr>
      <w:widowControl/>
      <w:ind w:firstLine="420" w:firstLineChars="200"/>
      <w:jc w:val="left"/>
    </w:pPr>
    <w:rPr>
      <w:rFonts w:ascii="Calibri" w:hAnsi="Calibri" w:eastAsia="宋体" w:cs="Times New Roman"/>
    </w:rPr>
  </w:style>
  <w:style w:type="character" w:customStyle="1" w:styleId="53">
    <w:name w:val="标题 1 字符"/>
    <w:basedOn w:val="36"/>
    <w:link w:val="2"/>
    <w:qFormat/>
    <w:uiPriority w:val="0"/>
    <w:rPr>
      <w:b/>
      <w:bCs/>
      <w:kern w:val="44"/>
      <w:sz w:val="32"/>
      <w:szCs w:val="44"/>
    </w:rPr>
  </w:style>
  <w:style w:type="paragraph" w:customStyle="1" w:styleId="54">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Cs w:val="32"/>
    </w:rPr>
  </w:style>
  <w:style w:type="character" w:customStyle="1" w:styleId="55">
    <w:name w:val="正文文本首行缩进 字符"/>
    <w:link w:val="32"/>
    <w:qFormat/>
    <w:uiPriority w:val="0"/>
    <w:rPr>
      <w:szCs w:val="24"/>
    </w:rPr>
  </w:style>
  <w:style w:type="character" w:customStyle="1" w:styleId="56">
    <w:name w:val="正文文本 字符"/>
    <w:basedOn w:val="36"/>
    <w:link w:val="12"/>
    <w:semiHidden/>
    <w:qFormat/>
    <w:uiPriority w:val="99"/>
    <w:rPr>
      <w:sz w:val="24"/>
    </w:rPr>
  </w:style>
  <w:style w:type="character" w:customStyle="1" w:styleId="57">
    <w:name w:val="正文首行缩进 Char1"/>
    <w:basedOn w:val="56"/>
    <w:semiHidden/>
    <w:qFormat/>
    <w:uiPriority w:val="99"/>
    <w:rPr>
      <w:sz w:val="24"/>
    </w:rPr>
  </w:style>
  <w:style w:type="character" w:customStyle="1" w:styleId="58">
    <w:name w:val="正文文本缩进 2 字符"/>
    <w:basedOn w:val="36"/>
    <w:link w:val="20"/>
    <w:qFormat/>
    <w:uiPriority w:val="99"/>
    <w:rPr>
      <w:sz w:val="24"/>
    </w:rPr>
  </w:style>
  <w:style w:type="paragraph" w:customStyle="1" w:styleId="59">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paragraph" w:customStyle="1" w:styleId="60">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bCs w:val="0"/>
      <w:sz w:val="24"/>
      <w:szCs w:val="20"/>
    </w:rPr>
  </w:style>
  <w:style w:type="character" w:customStyle="1" w:styleId="61">
    <w:name w:val="标题 4 字符"/>
    <w:basedOn w:val="36"/>
    <w:link w:val="5"/>
    <w:qFormat/>
    <w:uiPriority w:val="0"/>
    <w:rPr>
      <w:rFonts w:ascii="Cambria" w:hAnsi="Cambria" w:eastAsia="宋体" w:cs="Times New Roman"/>
      <w:b/>
      <w:bCs/>
      <w:sz w:val="28"/>
      <w:szCs w:val="28"/>
    </w:rPr>
  </w:style>
  <w:style w:type="character" w:customStyle="1" w:styleId="62">
    <w:name w:val="日期 字符"/>
    <w:link w:val="19"/>
    <w:qFormat/>
    <w:uiPriority w:val="0"/>
    <w:rPr>
      <w:szCs w:val="24"/>
    </w:rPr>
  </w:style>
  <w:style w:type="character" w:customStyle="1" w:styleId="63">
    <w:name w:val="批注文字 字符"/>
    <w:link w:val="11"/>
    <w:qFormat/>
    <w:uiPriority w:val="0"/>
    <w:rPr>
      <w:szCs w:val="24"/>
    </w:rPr>
  </w:style>
  <w:style w:type="character" w:customStyle="1" w:styleId="64">
    <w:name w:val="批注主题 字符"/>
    <w:link w:val="31"/>
    <w:qFormat/>
    <w:uiPriority w:val="0"/>
    <w:rPr>
      <w:b/>
      <w:bCs/>
      <w:szCs w:val="24"/>
    </w:rPr>
  </w:style>
  <w:style w:type="character" w:customStyle="1" w:styleId="65">
    <w:name w:val="apple-style-span"/>
    <w:basedOn w:val="36"/>
    <w:qFormat/>
    <w:uiPriority w:val="0"/>
  </w:style>
  <w:style w:type="character" w:customStyle="1" w:styleId="66">
    <w:name w:val="批注框文本 字符"/>
    <w:link w:val="21"/>
    <w:qFormat/>
    <w:uiPriority w:val="0"/>
    <w:rPr>
      <w:sz w:val="18"/>
      <w:szCs w:val="18"/>
    </w:rPr>
  </w:style>
  <w:style w:type="character" w:customStyle="1" w:styleId="67">
    <w:name w:val="批注文字 Char1"/>
    <w:basedOn w:val="36"/>
    <w:semiHidden/>
    <w:qFormat/>
    <w:uiPriority w:val="99"/>
    <w:rPr>
      <w:sz w:val="24"/>
    </w:rPr>
  </w:style>
  <w:style w:type="character" w:customStyle="1" w:styleId="68">
    <w:name w:val="日期 Char1"/>
    <w:basedOn w:val="36"/>
    <w:semiHidden/>
    <w:qFormat/>
    <w:uiPriority w:val="99"/>
    <w:rPr>
      <w:sz w:val="24"/>
    </w:rPr>
  </w:style>
  <w:style w:type="character" w:customStyle="1" w:styleId="69">
    <w:name w:val="文档结构图 字符"/>
    <w:basedOn w:val="36"/>
    <w:link w:val="10"/>
    <w:semiHidden/>
    <w:qFormat/>
    <w:uiPriority w:val="0"/>
    <w:rPr>
      <w:rFonts w:ascii="Times New Roman" w:hAnsi="Times New Roman" w:eastAsia="宋体" w:cs="Times New Roman"/>
      <w:szCs w:val="24"/>
      <w:shd w:val="clear" w:color="auto" w:fill="000080"/>
    </w:rPr>
  </w:style>
  <w:style w:type="character" w:customStyle="1" w:styleId="70">
    <w:name w:val="批注主题 Char1"/>
    <w:basedOn w:val="67"/>
    <w:semiHidden/>
    <w:qFormat/>
    <w:uiPriority w:val="99"/>
    <w:rPr>
      <w:b/>
      <w:bCs/>
      <w:sz w:val="24"/>
    </w:rPr>
  </w:style>
  <w:style w:type="character" w:customStyle="1" w:styleId="71">
    <w:name w:val="批注框文本 Char1"/>
    <w:basedOn w:val="36"/>
    <w:semiHidden/>
    <w:qFormat/>
    <w:uiPriority w:val="99"/>
    <w:rPr>
      <w:sz w:val="18"/>
      <w:szCs w:val="18"/>
    </w:rPr>
  </w:style>
  <w:style w:type="paragraph" w:customStyle="1" w:styleId="72">
    <w:name w:val="p0"/>
    <w:basedOn w:val="1"/>
    <w:qFormat/>
    <w:uiPriority w:val="0"/>
    <w:pPr>
      <w:widowControl/>
    </w:pPr>
    <w:rPr>
      <w:rFonts w:ascii="Times New Roman" w:hAnsi="Times New Roman" w:eastAsia="宋体" w:cs="Times New Roman"/>
      <w:kern w:val="0"/>
      <w:sz w:val="21"/>
      <w:szCs w:val="21"/>
    </w:rPr>
  </w:style>
  <w:style w:type="paragraph" w:customStyle="1" w:styleId="73">
    <w:name w:val="无间隔1"/>
    <w:basedOn w:val="1"/>
    <w:qFormat/>
    <w:uiPriority w:val="1"/>
    <w:pPr>
      <w:spacing w:line="400" w:lineRule="exact"/>
    </w:pPr>
    <w:rPr>
      <w:rFonts w:ascii="Times New Roman" w:hAnsi="Times New Roman" w:eastAsia="宋体" w:cs="Times New Roman"/>
      <w:szCs w:val="24"/>
    </w:rPr>
  </w:style>
  <w:style w:type="paragraph" w:customStyle="1" w:styleId="7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75">
    <w:name w:val="纯文本 字符"/>
    <w:basedOn w:val="36"/>
    <w:link w:val="17"/>
    <w:qFormat/>
    <w:uiPriority w:val="0"/>
    <w:rPr>
      <w:rFonts w:ascii="宋体" w:hAnsi="Courier New" w:eastAsia="宋体" w:cs="宋体"/>
      <w:szCs w:val="21"/>
    </w:rPr>
  </w:style>
  <w:style w:type="character" w:customStyle="1" w:styleId="76">
    <w:name w:val="hover"/>
    <w:basedOn w:val="36"/>
    <w:qFormat/>
    <w:uiPriority w:val="0"/>
  </w:style>
  <w:style w:type="paragraph" w:customStyle="1" w:styleId="77">
    <w:name w:val="文档正文5"/>
    <w:basedOn w:val="8"/>
    <w:qFormat/>
    <w:uiPriority w:val="0"/>
    <w:pPr>
      <w:autoSpaceDE w:val="0"/>
      <w:autoSpaceDN w:val="0"/>
      <w:snapToGrid w:val="0"/>
      <w:spacing w:line="440" w:lineRule="exact"/>
      <w:ind w:firstLine="505" w:firstLineChars="0"/>
    </w:pPr>
    <w:rPr>
      <w:rFonts w:ascii="Times New Roman" w:hAnsi="Times New Roman" w:eastAsia="仿宋_GB2312" w:cs="Times New Roman"/>
      <w:spacing w:val="4"/>
      <w:szCs w:val="20"/>
    </w:rPr>
  </w:style>
  <w:style w:type="character" w:customStyle="1" w:styleId="78">
    <w:name w:val="MSG_EN_FONT_STYLE_NAME_TEMPLATE_ROLE_NUMBER MSG_EN_FONT_STYLE_NAME_BY_ROLE_TEXT 9_"/>
    <w:basedOn w:val="36"/>
    <w:link w:val="79"/>
    <w:unhideWhenUsed/>
    <w:qFormat/>
    <w:locked/>
    <w:uiPriority w:val="99"/>
    <w:rPr>
      <w:rFonts w:ascii="宋体" w:cs="宋体"/>
      <w:b/>
      <w:bCs/>
      <w:sz w:val="30"/>
      <w:szCs w:val="30"/>
      <w:shd w:val="clear" w:color="auto" w:fill="FFFFFF"/>
    </w:rPr>
  </w:style>
  <w:style w:type="paragraph" w:customStyle="1" w:styleId="79">
    <w:name w:val="MSG_EN_FONT_STYLE_NAME_TEMPLATE_ROLE_NUMBER MSG_EN_FONT_STYLE_NAME_BY_ROLE_TEXT 9"/>
    <w:basedOn w:val="1"/>
    <w:link w:val="78"/>
    <w:unhideWhenUsed/>
    <w:qFormat/>
    <w:uiPriority w:val="99"/>
    <w:pPr>
      <w:shd w:val="clear" w:color="auto" w:fill="FFFFFF"/>
      <w:spacing w:line="557" w:lineRule="exact"/>
      <w:jc w:val="center"/>
    </w:pPr>
    <w:rPr>
      <w:rFonts w:ascii="宋体" w:hAnsi="Calibri" w:eastAsia="宋体" w:cs="宋体"/>
      <w:b/>
      <w:bCs/>
      <w:kern w:val="0"/>
      <w:sz w:val="30"/>
      <w:szCs w:val="30"/>
    </w:rPr>
  </w:style>
  <w:style w:type="character" w:customStyle="1" w:styleId="80">
    <w:name w:val="MSG_EN_FONT_STYLE_NAME_TEMPLATE_ROLE_NUMBER MSG_EN_FONT_STYLE_NAME_BY_ROLE_TEXT 10 + MSG_EN_FONT_STYLE_MODIFER_SIZE 12"/>
    <w:basedOn w:val="81"/>
    <w:unhideWhenUsed/>
    <w:qFormat/>
    <w:uiPriority w:val="99"/>
    <w:rPr>
      <w:rFonts w:ascii="宋体" w:cs="宋体"/>
      <w:b/>
      <w:bCs/>
      <w:sz w:val="22"/>
      <w:szCs w:val="22"/>
      <w:shd w:val="clear" w:color="auto" w:fill="FFFFFF"/>
    </w:rPr>
  </w:style>
  <w:style w:type="character" w:customStyle="1" w:styleId="81">
    <w:name w:val="MSG_EN_FONT_STYLE_NAME_TEMPLATE_ROLE_NUMBER MSG_EN_FONT_STYLE_NAME_BY_ROLE_TEXT 10_"/>
    <w:basedOn w:val="36"/>
    <w:link w:val="82"/>
    <w:unhideWhenUsed/>
    <w:qFormat/>
    <w:locked/>
    <w:uiPriority w:val="99"/>
    <w:rPr>
      <w:rFonts w:ascii="宋体" w:cs="宋体"/>
      <w:sz w:val="22"/>
      <w:szCs w:val="22"/>
      <w:shd w:val="clear" w:color="auto" w:fill="FFFFFF"/>
    </w:rPr>
  </w:style>
  <w:style w:type="paragraph" w:customStyle="1" w:styleId="82">
    <w:name w:val="MSG_EN_FONT_STYLE_NAME_TEMPLATE_ROLE_NUMBER MSG_EN_FONT_STYLE_NAME_BY_ROLE_TEXT 10"/>
    <w:basedOn w:val="1"/>
    <w:link w:val="81"/>
    <w:unhideWhenUsed/>
    <w:qFormat/>
    <w:uiPriority w:val="99"/>
    <w:pPr>
      <w:shd w:val="clear" w:color="auto" w:fill="FFFFFF"/>
      <w:spacing w:line="470" w:lineRule="exact"/>
      <w:jc w:val="left"/>
    </w:pPr>
    <w:rPr>
      <w:rFonts w:ascii="宋体" w:hAnsi="Calibri" w:eastAsia="宋体" w:cs="宋体"/>
      <w:kern w:val="0"/>
      <w:sz w:val="22"/>
    </w:rPr>
  </w:style>
  <w:style w:type="character" w:customStyle="1" w:styleId="83">
    <w:name w:val="MSG_EN_FONT_STYLE_NAME_TEMPLATE_ROLE_LEVEL MSG_EN_FONT_STYLE_NAME_BY_ROLE_HEADING 5_"/>
    <w:basedOn w:val="36"/>
    <w:link w:val="84"/>
    <w:unhideWhenUsed/>
    <w:qFormat/>
    <w:locked/>
    <w:uiPriority w:val="99"/>
    <w:rPr>
      <w:rFonts w:ascii="宋体" w:cs="宋体"/>
      <w:b/>
      <w:bCs/>
      <w:shd w:val="clear" w:color="auto" w:fill="FFFFFF"/>
    </w:rPr>
  </w:style>
  <w:style w:type="paragraph" w:customStyle="1" w:styleId="84">
    <w:name w:val="MSG_EN_FONT_STYLE_NAME_TEMPLATE_ROLE_LEVEL MSG_EN_FONT_STYLE_NAME_BY_ROLE_HEADING 5"/>
    <w:basedOn w:val="1"/>
    <w:link w:val="83"/>
    <w:unhideWhenUsed/>
    <w:qFormat/>
    <w:uiPriority w:val="99"/>
    <w:pPr>
      <w:shd w:val="clear" w:color="auto" w:fill="FFFFFF"/>
      <w:spacing w:before="340" w:after="160" w:line="240" w:lineRule="exact"/>
      <w:jc w:val="center"/>
      <w:outlineLvl w:val="4"/>
    </w:pPr>
    <w:rPr>
      <w:rFonts w:ascii="宋体" w:hAnsi="Calibri" w:eastAsia="宋体" w:cs="宋体"/>
      <w:b/>
      <w:bCs/>
      <w:kern w:val="0"/>
      <w:sz w:val="20"/>
      <w:szCs w:val="20"/>
    </w:rPr>
  </w:style>
  <w:style w:type="character" w:customStyle="1" w:styleId="85">
    <w:name w:val="正文缩进 字符"/>
    <w:link w:val="8"/>
    <w:qFormat/>
    <w:uiPriority w:val="0"/>
    <w:rPr>
      <w:rFonts w:asciiTheme="minorHAnsi" w:hAnsiTheme="minorHAnsi" w:eastAsiaTheme="minorEastAsia" w:cstheme="minorBidi"/>
      <w:kern w:val="2"/>
      <w:sz w:val="24"/>
      <w:szCs w:val="22"/>
    </w:rPr>
  </w:style>
  <w:style w:type="paragraph" w:customStyle="1" w:styleId="86">
    <w:name w:val="_Style 4"/>
    <w:basedOn w:val="2"/>
    <w:next w:val="1"/>
    <w:qFormat/>
    <w:uiPriority w:val="0"/>
    <w:pPr>
      <w:outlineLvl w:val="9"/>
    </w:pPr>
  </w:style>
  <w:style w:type="character" w:customStyle="1" w:styleId="87">
    <w:name w:val="15"/>
    <w:qFormat/>
    <w:uiPriority w:val="0"/>
    <w:rPr>
      <w:rFonts w:ascii="Times New Roman" w:hAnsi="Times New Roman" w:cs="Times New Roman"/>
      <w:b/>
      <w:bCs/>
    </w:rPr>
  </w:style>
  <w:style w:type="paragraph" w:customStyle="1" w:styleId="88">
    <w:name w:val="普通(网站)1"/>
    <w:basedOn w:val="1"/>
    <w:qFormat/>
    <w:uiPriority w:val="0"/>
    <w:pPr>
      <w:widowControl/>
      <w:jc w:val="left"/>
    </w:pPr>
    <w:rPr>
      <w:rFonts w:ascii="Helvetica" w:hAnsi="Helvetica" w:eastAsia="宋体" w:cs="Helvetica"/>
      <w:kern w:val="0"/>
      <w:szCs w:val="24"/>
    </w:rPr>
  </w:style>
  <w:style w:type="character" w:customStyle="1" w:styleId="89">
    <w:name w:val="正文文本首行缩进 2 字符"/>
    <w:basedOn w:val="36"/>
    <w:link w:val="33"/>
    <w:qFormat/>
    <w:uiPriority w:val="0"/>
    <w:rPr>
      <w:rFonts w:ascii="Times New Roman" w:eastAsia="宋体" w:hAnsiTheme="minorHAnsi" w:cstheme="minorBidi"/>
      <w:kern w:val="2"/>
      <w:sz w:val="21"/>
      <w:szCs w:val="22"/>
    </w:rPr>
  </w:style>
  <w:style w:type="paragraph" w:customStyle="1" w:styleId="90">
    <w:name w:val="cjk"/>
    <w:basedOn w:val="1"/>
    <w:qFormat/>
    <w:uiPriority w:val="0"/>
    <w:pPr>
      <w:widowControl/>
      <w:spacing w:before="100" w:beforeAutospacing="1" w:after="100" w:afterAutospacing="1"/>
      <w:jc w:val="left"/>
    </w:pPr>
    <w:rPr>
      <w:rFonts w:ascii="宋体" w:hAnsi="宋体" w:eastAsia="宋体" w:cs="宋体"/>
      <w:kern w:val="0"/>
      <w:szCs w:val="24"/>
    </w:rPr>
  </w:style>
  <w:style w:type="paragraph" w:customStyle="1" w:styleId="91">
    <w:name w:val="No Spacing1"/>
    <w:basedOn w:val="1"/>
    <w:qFormat/>
    <w:uiPriority w:val="0"/>
    <w:pPr>
      <w:spacing w:line="400" w:lineRule="exact"/>
      <w:jc w:val="left"/>
    </w:pPr>
    <w:rPr>
      <w:rFonts w:ascii="Times New Roman" w:hAnsi="Times New Roman" w:eastAsia="宋体" w:cs="宋体"/>
      <w:color w:val="000000"/>
      <w:kern w:val="0"/>
      <w:szCs w:val="24"/>
      <w:lang w:val="zh-CN"/>
    </w:rPr>
  </w:style>
  <w:style w:type="paragraph" w:customStyle="1" w:styleId="92">
    <w:name w:val="*正文"/>
    <w:basedOn w:val="1"/>
    <w:qFormat/>
    <w:uiPriority w:val="0"/>
    <w:pPr>
      <w:keepNext/>
      <w:keepLines/>
      <w:spacing w:line="360" w:lineRule="auto"/>
      <w:ind w:firstLine="200" w:firstLineChars="200"/>
    </w:pPr>
    <w:rPr>
      <w:rFonts w:ascii="宋体" w:hAnsi="宋体" w:eastAsia="宋体" w:cs="Times New Roman"/>
      <w:szCs w:val="24"/>
    </w:rPr>
  </w:style>
  <w:style w:type="table" w:customStyle="1" w:styleId="93">
    <w:name w:val="网格型1"/>
    <w:basedOn w:val="34"/>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4">
    <w:name w:val="color-blue"/>
    <w:basedOn w:val="36"/>
    <w:qFormat/>
    <w:uiPriority w:val="0"/>
    <w:rPr>
      <w:color w:val="1890FF"/>
      <w:sz w:val="14"/>
      <w:szCs w:val="14"/>
      <w:bdr w:val="single" w:color="1890FF" w:sz="4" w:space="0"/>
    </w:rPr>
  </w:style>
  <w:style w:type="character" w:customStyle="1" w:styleId="95">
    <w:name w:val="m-text"/>
    <w:basedOn w:val="36"/>
    <w:qFormat/>
    <w:uiPriority w:val="0"/>
  </w:style>
  <w:style w:type="character" w:customStyle="1" w:styleId="96">
    <w:name w:val="l_10"/>
    <w:basedOn w:val="36"/>
    <w:qFormat/>
    <w:uiPriority w:val="0"/>
  </w:style>
  <w:style w:type="character" w:customStyle="1" w:styleId="97">
    <w:name w:val="color-yellow"/>
    <w:basedOn w:val="36"/>
    <w:qFormat/>
    <w:uiPriority w:val="0"/>
    <w:rPr>
      <w:color w:val="FAAD14"/>
      <w:sz w:val="14"/>
      <w:szCs w:val="14"/>
      <w:bdr w:val="single" w:color="FAAD14" w:sz="4" w:space="0"/>
    </w:rPr>
  </w:style>
  <w:style w:type="character" w:customStyle="1" w:styleId="98">
    <w:name w:val="l_14"/>
    <w:basedOn w:val="36"/>
    <w:qFormat/>
    <w:uiPriority w:val="0"/>
  </w:style>
  <w:style w:type="character" w:customStyle="1" w:styleId="99">
    <w:name w:val="l_141"/>
    <w:basedOn w:val="36"/>
    <w:qFormat/>
    <w:uiPriority w:val="0"/>
  </w:style>
  <w:style w:type="character" w:customStyle="1" w:styleId="100">
    <w:name w:val="l_13"/>
    <w:basedOn w:val="36"/>
    <w:qFormat/>
    <w:uiPriority w:val="0"/>
  </w:style>
  <w:style w:type="character" w:customStyle="1" w:styleId="101">
    <w:name w:val="l_1"/>
    <w:basedOn w:val="36"/>
    <w:qFormat/>
    <w:uiPriority w:val="0"/>
  </w:style>
  <w:style w:type="character" w:customStyle="1" w:styleId="102">
    <w:name w:val="icon_lzrz"/>
    <w:basedOn w:val="36"/>
    <w:qFormat/>
    <w:uiPriority w:val="0"/>
  </w:style>
  <w:style w:type="character" w:customStyle="1" w:styleId="103">
    <w:name w:val="icon_dljg"/>
    <w:basedOn w:val="36"/>
    <w:qFormat/>
    <w:uiPriority w:val="0"/>
  </w:style>
  <w:style w:type="character" w:customStyle="1" w:styleId="104">
    <w:name w:val="icon_cxktbr"/>
    <w:basedOn w:val="36"/>
    <w:qFormat/>
    <w:uiPriority w:val="0"/>
  </w:style>
  <w:style w:type="character" w:customStyle="1" w:styleId="105">
    <w:name w:val="icon_cxkcyry"/>
    <w:basedOn w:val="36"/>
    <w:qFormat/>
    <w:uiPriority w:val="0"/>
  </w:style>
  <w:style w:type="character" w:customStyle="1" w:styleId="106">
    <w:name w:val="color_cdyy"/>
    <w:basedOn w:val="36"/>
    <w:qFormat/>
    <w:uiPriority w:val="0"/>
    <w:rPr>
      <w:color w:val="FFFFFF"/>
      <w:bdr w:val="single" w:color="FFFFFF" w:sz="4" w:space="0"/>
    </w:rPr>
  </w:style>
  <w:style w:type="character" w:customStyle="1" w:styleId="107">
    <w:name w:val="layui-laypage-curr"/>
    <w:basedOn w:val="36"/>
    <w:qFormat/>
    <w:uiPriority w:val="0"/>
  </w:style>
  <w:style w:type="character" w:customStyle="1" w:styleId="108">
    <w:name w:val="l_5"/>
    <w:basedOn w:val="36"/>
    <w:qFormat/>
    <w:uiPriority w:val="0"/>
  </w:style>
  <w:style w:type="character" w:customStyle="1" w:styleId="109">
    <w:name w:val="l_51"/>
    <w:basedOn w:val="36"/>
    <w:qFormat/>
    <w:uiPriority w:val="0"/>
  </w:style>
  <w:style w:type="character" w:customStyle="1" w:styleId="110">
    <w:name w:val="l_6"/>
    <w:basedOn w:val="36"/>
    <w:qFormat/>
    <w:uiPriority w:val="0"/>
  </w:style>
  <w:style w:type="character" w:customStyle="1" w:styleId="111">
    <w:name w:val="l_8"/>
    <w:basedOn w:val="36"/>
    <w:qFormat/>
    <w:uiPriority w:val="0"/>
  </w:style>
  <w:style w:type="character" w:customStyle="1" w:styleId="112">
    <w:name w:val="l_3"/>
    <w:basedOn w:val="36"/>
    <w:qFormat/>
    <w:uiPriority w:val="0"/>
  </w:style>
  <w:style w:type="character" w:customStyle="1" w:styleId="113">
    <w:name w:val="l_0"/>
    <w:basedOn w:val="36"/>
    <w:qFormat/>
    <w:uiPriority w:val="0"/>
  </w:style>
  <w:style w:type="character" w:customStyle="1" w:styleId="114">
    <w:name w:val="l_01"/>
    <w:basedOn w:val="36"/>
    <w:qFormat/>
    <w:uiPriority w:val="0"/>
  </w:style>
  <w:style w:type="character" w:customStyle="1" w:styleId="115">
    <w:name w:val="icon_gzkj"/>
    <w:basedOn w:val="36"/>
    <w:qFormat/>
    <w:uiPriority w:val="0"/>
  </w:style>
  <w:style w:type="character" w:customStyle="1" w:styleId="116">
    <w:name w:val="icon_xzry"/>
    <w:basedOn w:val="36"/>
    <w:qFormat/>
    <w:uiPriority w:val="0"/>
  </w:style>
  <w:style w:type="character" w:customStyle="1" w:styleId="117">
    <w:name w:val="icon_xglc"/>
    <w:basedOn w:val="36"/>
    <w:qFormat/>
    <w:uiPriority w:val="0"/>
  </w:style>
  <w:style w:type="character" w:customStyle="1" w:styleId="118">
    <w:name w:val="l_4"/>
    <w:basedOn w:val="36"/>
    <w:qFormat/>
    <w:uiPriority w:val="0"/>
  </w:style>
  <w:style w:type="character" w:customStyle="1" w:styleId="119">
    <w:name w:val="l_41"/>
    <w:basedOn w:val="36"/>
    <w:qFormat/>
    <w:uiPriority w:val="0"/>
  </w:style>
  <w:style w:type="character" w:customStyle="1" w:styleId="120">
    <w:name w:val="l_2"/>
    <w:basedOn w:val="36"/>
    <w:qFormat/>
    <w:uiPriority w:val="0"/>
  </w:style>
  <w:style w:type="character" w:customStyle="1" w:styleId="121">
    <w:name w:val="l_21"/>
    <w:basedOn w:val="36"/>
    <w:qFormat/>
    <w:uiPriority w:val="0"/>
  </w:style>
  <w:style w:type="character" w:customStyle="1" w:styleId="122">
    <w:name w:val="l_7"/>
    <w:basedOn w:val="36"/>
    <w:qFormat/>
    <w:uiPriority w:val="0"/>
  </w:style>
  <w:style w:type="character" w:customStyle="1" w:styleId="123">
    <w:name w:val="l_71"/>
    <w:basedOn w:val="36"/>
    <w:qFormat/>
    <w:uiPriority w:val="0"/>
  </w:style>
  <w:style w:type="character" w:customStyle="1" w:styleId="124">
    <w:name w:val="l_9"/>
    <w:basedOn w:val="36"/>
    <w:qFormat/>
    <w:uiPriority w:val="0"/>
  </w:style>
  <w:style w:type="character" w:customStyle="1" w:styleId="125">
    <w:name w:val="l_91"/>
    <w:basedOn w:val="36"/>
    <w:qFormat/>
    <w:uiPriority w:val="0"/>
  </w:style>
  <w:style w:type="character" w:customStyle="1" w:styleId="126">
    <w:name w:val="l_11"/>
    <w:basedOn w:val="36"/>
    <w:qFormat/>
    <w:uiPriority w:val="0"/>
  </w:style>
  <w:style w:type="character" w:customStyle="1" w:styleId="127">
    <w:name w:val="l_111"/>
    <w:basedOn w:val="36"/>
    <w:qFormat/>
    <w:uiPriority w:val="0"/>
  </w:style>
  <w:style w:type="character" w:customStyle="1" w:styleId="128">
    <w:name w:val="l_12"/>
    <w:basedOn w:val="36"/>
    <w:qFormat/>
    <w:uiPriority w:val="0"/>
  </w:style>
  <w:style w:type="character" w:customStyle="1" w:styleId="129">
    <w:name w:val="l_121"/>
    <w:basedOn w:val="36"/>
    <w:qFormat/>
    <w:uiPriority w:val="0"/>
  </w:style>
  <w:style w:type="character" w:customStyle="1" w:styleId="130">
    <w:name w:val="l_15"/>
    <w:basedOn w:val="36"/>
    <w:qFormat/>
    <w:uiPriority w:val="0"/>
  </w:style>
  <w:style w:type="character" w:customStyle="1" w:styleId="131">
    <w:name w:val="l_151"/>
    <w:basedOn w:val="36"/>
    <w:qFormat/>
    <w:uiPriority w:val="0"/>
  </w:style>
  <w:style w:type="character" w:customStyle="1" w:styleId="132">
    <w:name w:val="first-child1"/>
    <w:basedOn w:val="36"/>
    <w:qFormat/>
    <w:uiPriority w:val="0"/>
  </w:style>
  <w:style w:type="character" w:customStyle="1" w:styleId="133">
    <w:name w:val="first-child"/>
    <w:basedOn w:val="36"/>
    <w:qFormat/>
    <w:uiPriority w:val="0"/>
  </w:style>
  <w:style w:type="character" w:customStyle="1" w:styleId="134">
    <w:name w:val="l_31"/>
    <w:basedOn w:val="36"/>
    <w:qFormat/>
    <w:uiPriority w:val="0"/>
  </w:style>
  <w:style w:type="character" w:customStyle="1" w:styleId="135">
    <w:name w:val="l_81"/>
    <w:basedOn w:val="36"/>
    <w:qFormat/>
    <w:uiPriority w:val="0"/>
  </w:style>
  <w:style w:type="character" w:customStyle="1" w:styleId="136">
    <w:name w:val="l_131"/>
    <w:basedOn w:val="36"/>
    <w:qFormat/>
    <w:uiPriority w:val="0"/>
  </w:style>
  <w:style w:type="character" w:customStyle="1" w:styleId="137">
    <w:name w:val="l_61"/>
    <w:basedOn w:val="36"/>
    <w:qFormat/>
    <w:uiPriority w:val="0"/>
  </w:style>
  <w:style w:type="character" w:customStyle="1" w:styleId="138">
    <w:name w:val="l_101"/>
    <w:basedOn w:val="36"/>
    <w:qFormat/>
    <w:uiPriority w:val="0"/>
  </w:style>
  <w:style w:type="character" w:customStyle="1" w:styleId="139">
    <w:name w:val="color-yellow1"/>
    <w:basedOn w:val="36"/>
    <w:qFormat/>
    <w:uiPriority w:val="0"/>
    <w:rPr>
      <w:color w:val="FAAD14"/>
      <w:sz w:val="14"/>
      <w:szCs w:val="14"/>
      <w:bdr w:val="single" w:color="FAAD14" w:sz="4" w:space="0"/>
    </w:rPr>
  </w:style>
  <w:style w:type="paragraph" w:customStyle="1" w:styleId="140">
    <w:name w:val="正文首行缩进1"/>
    <w:basedOn w:val="141"/>
    <w:next w:val="142"/>
    <w:unhideWhenUsed/>
    <w:qFormat/>
    <w:uiPriority w:val="99"/>
    <w:pPr>
      <w:ind w:firstLine="420"/>
    </w:pPr>
  </w:style>
  <w:style w:type="paragraph" w:customStyle="1" w:styleId="141">
    <w:name w:val="正文文本1"/>
    <w:basedOn w:val="1"/>
    <w:next w:val="74"/>
    <w:unhideWhenUsed/>
    <w:qFormat/>
    <w:uiPriority w:val="0"/>
    <w:pPr>
      <w:spacing w:before="100" w:beforeAutospacing="1" w:after="120"/>
    </w:pPr>
  </w:style>
  <w:style w:type="paragraph" w:customStyle="1" w:styleId="142">
    <w:name w:val="正文首行缩进 21"/>
    <w:basedOn w:val="143"/>
    <w:next w:val="145"/>
    <w:unhideWhenUsed/>
    <w:qFormat/>
    <w:uiPriority w:val="99"/>
    <w:pPr>
      <w:ind w:firstLine="420"/>
    </w:pPr>
  </w:style>
  <w:style w:type="paragraph" w:customStyle="1" w:styleId="143">
    <w:name w:val="正文文本缩进1"/>
    <w:basedOn w:val="1"/>
    <w:next w:val="144"/>
    <w:unhideWhenUsed/>
    <w:qFormat/>
    <w:uiPriority w:val="0"/>
    <w:pPr>
      <w:spacing w:before="100" w:beforeAutospacing="1"/>
      <w:ind w:left="200"/>
    </w:pPr>
  </w:style>
  <w:style w:type="paragraph" w:customStyle="1" w:styleId="144">
    <w:name w:val="寄信人地址1"/>
    <w:basedOn w:val="1"/>
    <w:unhideWhenUsed/>
    <w:qFormat/>
    <w:uiPriority w:val="0"/>
    <w:rPr>
      <w:rFonts w:ascii="Arial" w:hAnsi="Arial"/>
    </w:rPr>
  </w:style>
  <w:style w:type="paragraph" w:customStyle="1" w:styleId="145">
    <w:name w:val="正文缩进1"/>
    <w:basedOn w:val="1"/>
    <w:next w:val="146"/>
    <w:qFormat/>
    <w:uiPriority w:val="0"/>
    <w:pPr>
      <w:ind w:firstLine="560"/>
    </w:pPr>
    <w:rPr>
      <w:rFonts w:ascii="Times New Roman" w:hAnsi="Times New Roman" w:cs="Times New Roman"/>
      <w:sz w:val="28"/>
      <w:szCs w:val="20"/>
    </w:rPr>
  </w:style>
  <w:style w:type="paragraph" w:customStyle="1" w:styleId="146">
    <w:name w:val="正文文本 21"/>
    <w:basedOn w:val="1"/>
    <w:qFormat/>
    <w:uiPriority w:val="0"/>
    <w:rPr>
      <w:rFonts w:eastAsia="仿宋_GB2312"/>
    </w:rPr>
  </w:style>
  <w:style w:type="character" w:customStyle="1" w:styleId="147">
    <w:name w:val="WPSOffice手动目录 2 Char"/>
    <w:link w:val="148"/>
    <w:qFormat/>
    <w:uiPriority w:val="0"/>
    <w:rPr>
      <w:rFonts w:ascii="Calibri" w:hAnsi="Calibri" w:eastAsia="宋体" w:cs="Times New Roman"/>
      <w:sz w:val="21"/>
      <w:szCs w:val="22"/>
      <w:lang w:val="en-US" w:eastAsia="zh-CN" w:bidi="ar-SA"/>
    </w:rPr>
  </w:style>
  <w:style w:type="paragraph" w:customStyle="1" w:styleId="148">
    <w:name w:val="WPSOffice手动目录 2"/>
    <w:link w:val="147"/>
    <w:qFormat/>
    <w:uiPriority w:val="0"/>
    <w:pPr>
      <w:ind w:leftChars="200"/>
    </w:pPr>
    <w:rPr>
      <w:rFonts w:ascii="Calibri" w:hAnsi="Calibri" w:eastAsia="宋体" w:cs="Times New Roman"/>
      <w:sz w:val="21"/>
      <w:szCs w:val="22"/>
      <w:lang w:val="en-US" w:eastAsia="zh-CN" w:bidi="ar-SA"/>
    </w:rPr>
  </w:style>
  <w:style w:type="character" w:customStyle="1" w:styleId="149">
    <w:name w:val="font01"/>
    <w:basedOn w:val="36"/>
    <w:qFormat/>
    <w:uiPriority w:val="0"/>
    <w:rPr>
      <w:rFonts w:hint="eastAsia" w:ascii="宋体" w:hAnsi="宋体" w:eastAsia="宋体" w:cs="宋体"/>
      <w:color w:val="000000"/>
      <w:sz w:val="22"/>
      <w:szCs w:val="22"/>
      <w:u w:val="none"/>
    </w:rPr>
  </w:style>
  <w:style w:type="paragraph" w:customStyle="1" w:styleId="150">
    <w:name w:val="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9"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6BF53-1C2D-4A9F-AE87-45B35B3E5FAC}">
  <ds:schemaRefs/>
</ds:datastoreItem>
</file>

<file path=docProps/app.xml><?xml version="1.0" encoding="utf-8"?>
<Properties xmlns="http://schemas.openxmlformats.org/officeDocument/2006/extended-properties" xmlns:vt="http://schemas.openxmlformats.org/officeDocument/2006/docPropsVTypes">
  <Template>Normal</Template>
  <Pages>68</Pages>
  <Words>11867</Words>
  <Characters>13061</Characters>
  <Lines>1741</Lines>
  <Paragraphs>2401</Paragraphs>
  <TotalTime>0</TotalTime>
  <ScaleCrop>false</ScaleCrop>
  <LinksUpToDate>false</LinksUpToDate>
  <CharactersWithSpaces>13449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2019-11-20T02:29:00Z</dcterms:created>
  <dc:creator>高达建设管理发展有限责任公司:陈小磊</dc:creator>
  <cp:lastModifiedBy>开疆拓土</cp:lastModifiedBy>
  <cp:lastPrinted>2025-12-27T11:21:00Z</cp:lastPrinted>
  <dcterms:modified xsi:type="dcterms:W3CDTF">2026-01-30T07:36:01Z</dcterms:modified>
  <cp:revision>716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6EB1385DEAF74735BD9ACF34BDCFBDAB_13</vt:lpwstr>
  </property>
  <property fmtid="{D5CDD505-2E9C-101B-9397-08002B2CF9AE}" pid="4" name="KSOTemplateDocerSaveRecord">
    <vt:lpwstr>eyJoZGlkIjoiYzM0YzUzZTdmMmQ0YTUxNTM1OWI5MWU1YjQyODEyOTgiLCJ1c2VySWQiOiIyODIxMzYxNjIifQ==</vt:lpwstr>
  </property>
</Properties>
</file>