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F01F1D">
      <w:r>
        <w:drawing>
          <wp:inline distT="0" distB="0" distL="114300" distR="114300">
            <wp:extent cx="6178550" cy="8609965"/>
            <wp:effectExtent l="0" t="0" r="12700"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6178550" cy="8609965"/>
                    </a:xfrm>
                    <a:prstGeom prst="rect">
                      <a:avLst/>
                    </a:prstGeom>
                    <a:noFill/>
                    <a:ln>
                      <a:noFill/>
                    </a:ln>
                  </pic:spPr>
                </pic:pic>
              </a:graphicData>
            </a:graphic>
          </wp:inline>
        </w:drawing>
      </w:r>
    </w:p>
    <w:p w14:paraId="1F58296F">
      <w:pPr>
        <w:rPr>
          <w:rFonts w:hint="eastAsia"/>
          <w:lang w:eastAsia="zh-CN"/>
        </w:rPr>
        <w:sectPr>
          <w:pgSz w:w="11906" w:h="16838"/>
          <w:pgMar w:top="1440" w:right="1080" w:bottom="1440" w:left="1080" w:header="851" w:footer="1331" w:gutter="0"/>
          <w:cols w:space="720" w:num="1"/>
          <w:titlePg/>
          <w:docGrid w:type="lines" w:linePitch="326" w:charSpace="0"/>
        </w:sectPr>
      </w:pPr>
    </w:p>
    <w:p w14:paraId="3F805A7A">
      <w:pPr>
        <w:rPr>
          <w:rFonts w:hint="eastAsia"/>
          <w:lang w:eastAsia="zh-CN"/>
        </w:rPr>
      </w:pPr>
    </w:p>
    <w:p w14:paraId="304DB874">
      <w:pPr>
        <w:pStyle w:val="22"/>
        <w:rPr>
          <w:rFonts w:hint="eastAsia" w:ascii="宋体" w:hAnsi="宋体" w:eastAsia="宋体" w:cs="宋体"/>
        </w:rPr>
      </w:pPr>
    </w:p>
    <w:p w14:paraId="2752CEA3">
      <w:pPr>
        <w:pStyle w:val="22"/>
        <w:rPr>
          <w:rFonts w:hint="eastAsia" w:ascii="宋体" w:hAnsi="宋体" w:eastAsia="宋体" w:cs="宋体"/>
        </w:rPr>
      </w:pPr>
    </w:p>
    <w:p w14:paraId="71A93ECF">
      <w:pPr>
        <w:pStyle w:val="22"/>
        <w:spacing w:line="360" w:lineRule="auto"/>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中共平顶山市新华区委政法委员会202</w:t>
      </w:r>
      <w:r>
        <w:rPr>
          <w:rFonts w:hint="eastAsia" w:ascii="宋体" w:hAnsi="宋体" w:eastAsia="宋体" w:cs="宋体"/>
          <w:b/>
          <w:bCs/>
          <w:sz w:val="44"/>
          <w:szCs w:val="44"/>
          <w:lang w:val="en-US" w:eastAsia="zh-CN"/>
        </w:rPr>
        <w:t>6</w:t>
      </w:r>
      <w:r>
        <w:rPr>
          <w:rFonts w:hint="eastAsia" w:ascii="宋体" w:hAnsi="宋体" w:eastAsia="宋体" w:cs="宋体"/>
          <w:b/>
          <w:bCs/>
          <w:sz w:val="44"/>
          <w:szCs w:val="44"/>
          <w:lang w:eastAsia="zh-CN"/>
        </w:rPr>
        <w:t>年新华区平安家园民生综合保险项目（</w:t>
      </w:r>
      <w:r>
        <w:rPr>
          <w:rFonts w:hint="eastAsia" w:ascii="宋体" w:hAnsi="宋体" w:eastAsia="宋体" w:cs="宋体"/>
          <w:b/>
          <w:bCs/>
          <w:sz w:val="44"/>
          <w:szCs w:val="44"/>
          <w:lang w:val="en-US" w:eastAsia="zh-CN"/>
        </w:rPr>
        <w:t>第一标段</w:t>
      </w:r>
      <w:r>
        <w:rPr>
          <w:rFonts w:hint="eastAsia" w:ascii="宋体" w:hAnsi="宋体" w:eastAsia="宋体" w:cs="宋体"/>
          <w:b/>
          <w:bCs/>
          <w:sz w:val="44"/>
          <w:szCs w:val="44"/>
          <w:lang w:eastAsia="zh-CN"/>
        </w:rPr>
        <w:t>）</w:t>
      </w:r>
    </w:p>
    <w:p w14:paraId="0969849A">
      <w:pPr>
        <w:pStyle w:val="22"/>
        <w:rPr>
          <w:rFonts w:hint="eastAsia" w:ascii="宋体" w:hAnsi="宋体" w:eastAsia="宋体" w:cs="宋体"/>
        </w:rPr>
      </w:pPr>
    </w:p>
    <w:p w14:paraId="6B1ED3AB">
      <w:pPr>
        <w:pStyle w:val="22"/>
        <w:rPr>
          <w:rFonts w:hint="eastAsia" w:ascii="宋体" w:hAnsi="宋体" w:eastAsia="宋体" w:cs="宋体"/>
        </w:rPr>
      </w:pPr>
    </w:p>
    <w:p w14:paraId="63E10B73">
      <w:pPr>
        <w:pStyle w:val="33"/>
        <w:ind w:left="480"/>
        <w:rPr>
          <w:rFonts w:hint="eastAsia" w:ascii="宋体" w:hAnsi="宋体" w:eastAsia="宋体" w:cs="宋体"/>
        </w:rPr>
      </w:pPr>
    </w:p>
    <w:p w14:paraId="4FCCBEA6">
      <w:pPr>
        <w:pStyle w:val="33"/>
        <w:ind w:left="480"/>
        <w:rPr>
          <w:rFonts w:hint="eastAsia" w:ascii="宋体" w:hAnsi="宋体" w:eastAsia="宋体" w:cs="宋体"/>
        </w:rPr>
      </w:pPr>
    </w:p>
    <w:p w14:paraId="5F870BDB">
      <w:pPr>
        <w:pStyle w:val="33"/>
        <w:ind w:left="480"/>
        <w:rPr>
          <w:rFonts w:hint="eastAsia" w:ascii="宋体" w:hAnsi="宋体" w:eastAsia="宋体" w:cs="宋体"/>
        </w:rPr>
      </w:pPr>
    </w:p>
    <w:p w14:paraId="325832EB">
      <w:pPr>
        <w:pStyle w:val="33"/>
        <w:ind w:left="480"/>
        <w:rPr>
          <w:rFonts w:hint="eastAsia" w:ascii="宋体" w:hAnsi="宋体" w:eastAsia="宋体" w:cs="宋体"/>
        </w:rPr>
      </w:pPr>
    </w:p>
    <w:p w14:paraId="4CC7C73C">
      <w:pPr>
        <w:jc w:val="center"/>
        <w:rPr>
          <w:rFonts w:hint="eastAsia" w:ascii="宋体" w:hAnsi="宋体" w:eastAsia="宋体" w:cs="宋体"/>
          <w:b/>
          <w:sz w:val="72"/>
        </w:rPr>
      </w:pPr>
      <w:r>
        <w:rPr>
          <w:rFonts w:hint="eastAsia" w:ascii="宋体" w:hAnsi="宋体" w:eastAsia="宋体" w:cs="宋体"/>
          <w:b/>
          <w:sz w:val="72"/>
          <w:szCs w:val="21"/>
        </w:rPr>
        <w:t>竞争性磋商文件</w:t>
      </w:r>
    </w:p>
    <w:p w14:paraId="08CEB5D5">
      <w:pPr>
        <w:rPr>
          <w:rFonts w:hint="eastAsia" w:ascii="宋体" w:hAnsi="宋体" w:eastAsia="宋体" w:cs="宋体"/>
        </w:rPr>
      </w:pPr>
    </w:p>
    <w:p w14:paraId="72FE63E5">
      <w:pPr>
        <w:rPr>
          <w:rFonts w:hint="eastAsia" w:ascii="宋体" w:hAnsi="宋体" w:eastAsia="宋体" w:cs="宋体"/>
        </w:rPr>
      </w:pPr>
    </w:p>
    <w:p w14:paraId="0A90FBEE">
      <w:pPr>
        <w:rPr>
          <w:rFonts w:hint="eastAsia" w:ascii="宋体" w:hAnsi="宋体" w:eastAsia="宋体" w:cs="宋体"/>
        </w:rPr>
      </w:pPr>
    </w:p>
    <w:p w14:paraId="10E7609F">
      <w:pPr>
        <w:rPr>
          <w:rFonts w:hint="eastAsia" w:ascii="宋体" w:hAnsi="宋体" w:eastAsia="宋体" w:cs="宋体"/>
        </w:rPr>
      </w:pPr>
    </w:p>
    <w:p w14:paraId="59F9EEBD">
      <w:pPr>
        <w:rPr>
          <w:rFonts w:hint="eastAsia" w:ascii="宋体" w:hAnsi="宋体" w:eastAsia="宋体" w:cs="宋体"/>
        </w:rPr>
      </w:pPr>
    </w:p>
    <w:p w14:paraId="2ED8415C">
      <w:pPr>
        <w:rPr>
          <w:rFonts w:hint="eastAsia" w:ascii="宋体" w:hAnsi="宋体" w:eastAsia="宋体" w:cs="宋体"/>
        </w:rPr>
      </w:pPr>
    </w:p>
    <w:p w14:paraId="21F65956">
      <w:pPr>
        <w:rPr>
          <w:rFonts w:hint="eastAsia" w:ascii="宋体" w:hAnsi="宋体" w:eastAsia="宋体" w:cs="宋体"/>
        </w:rPr>
      </w:pPr>
    </w:p>
    <w:p w14:paraId="0A09670E">
      <w:pPr>
        <w:rPr>
          <w:rFonts w:hint="eastAsia" w:ascii="宋体" w:hAnsi="宋体" w:eastAsia="宋体" w:cs="宋体"/>
        </w:rPr>
      </w:pPr>
    </w:p>
    <w:p w14:paraId="4606AC9B">
      <w:pPr>
        <w:rPr>
          <w:rFonts w:hint="eastAsia" w:ascii="宋体" w:hAnsi="宋体" w:eastAsia="宋体" w:cs="宋体"/>
        </w:rPr>
      </w:pPr>
    </w:p>
    <w:p w14:paraId="20745131">
      <w:pPr>
        <w:rPr>
          <w:rFonts w:hint="eastAsia" w:ascii="宋体" w:hAnsi="宋体" w:eastAsia="宋体" w:cs="宋体"/>
        </w:rPr>
      </w:pPr>
    </w:p>
    <w:p w14:paraId="4766FC5E">
      <w:pPr>
        <w:rPr>
          <w:rFonts w:hint="eastAsia" w:ascii="宋体" w:hAnsi="宋体" w:eastAsia="宋体" w:cs="宋体"/>
        </w:rPr>
      </w:pPr>
    </w:p>
    <w:p w14:paraId="3AAE04F1">
      <w:pPr>
        <w:rPr>
          <w:rFonts w:hint="eastAsia" w:ascii="宋体" w:hAnsi="宋体" w:eastAsia="宋体" w:cs="宋体"/>
        </w:rPr>
      </w:pPr>
    </w:p>
    <w:p w14:paraId="397CE3F1">
      <w:pPr>
        <w:rPr>
          <w:rFonts w:hint="eastAsia" w:ascii="宋体" w:hAnsi="宋体" w:eastAsia="宋体" w:cs="宋体"/>
        </w:rPr>
      </w:pPr>
    </w:p>
    <w:p w14:paraId="17061100">
      <w:pPr>
        <w:rPr>
          <w:rFonts w:hint="eastAsia" w:ascii="宋体" w:hAnsi="宋体" w:eastAsia="宋体" w:cs="宋体"/>
        </w:rPr>
      </w:pPr>
    </w:p>
    <w:p w14:paraId="531358B7">
      <w:pPr>
        <w:pStyle w:val="33"/>
        <w:ind w:left="0" w:leftChars="0" w:firstLine="0" w:firstLineChars="0"/>
        <w:jc w:val="left"/>
        <w:rPr>
          <w:rFonts w:hint="eastAsia" w:ascii="宋体" w:hAnsi="宋体" w:eastAsia="宋体" w:cs="宋体"/>
        </w:rPr>
      </w:pPr>
    </w:p>
    <w:p w14:paraId="2FACD616">
      <w:pPr>
        <w:pStyle w:val="33"/>
        <w:ind w:left="0" w:leftChars="0" w:firstLine="0" w:firstLineChars="0"/>
        <w:jc w:val="left"/>
        <w:rPr>
          <w:rFonts w:hint="eastAsia" w:ascii="宋体" w:hAnsi="宋体" w:eastAsia="宋体" w:cs="宋体"/>
        </w:rPr>
      </w:pPr>
    </w:p>
    <w:p w14:paraId="514B302D">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采   购   人：中共平顶山市新华区委政法委员会</w:t>
      </w:r>
    </w:p>
    <w:p w14:paraId="256ECD79">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采购代理机构：河南易采工程管理有限公司</w:t>
      </w:r>
    </w:p>
    <w:p w14:paraId="744F1C5B">
      <w:pPr>
        <w:ind w:left="960" w:leftChars="400" w:firstLine="643" w:firstLineChars="200"/>
        <w:jc w:val="left"/>
        <w:rPr>
          <w:rFonts w:hint="eastAsia" w:ascii="宋体" w:hAnsi="宋体" w:eastAsia="宋体" w:cs="宋体"/>
          <w:b/>
          <w:bCs/>
          <w:sz w:val="32"/>
          <w:szCs w:val="40"/>
        </w:rPr>
      </w:pPr>
      <w:r>
        <w:rPr>
          <w:rFonts w:hint="eastAsia" w:ascii="宋体" w:hAnsi="宋体" w:eastAsia="宋体" w:cs="宋体"/>
          <w:b/>
          <w:bCs/>
          <w:sz w:val="32"/>
          <w:szCs w:val="40"/>
        </w:rPr>
        <w:t>日        期：二〇二</w:t>
      </w:r>
      <w:r>
        <w:rPr>
          <w:rFonts w:hint="eastAsia" w:ascii="宋体" w:hAnsi="宋体" w:eastAsia="宋体" w:cs="宋体"/>
          <w:b/>
          <w:bCs/>
          <w:sz w:val="32"/>
          <w:szCs w:val="40"/>
          <w:lang w:val="en-US" w:eastAsia="zh-CN"/>
        </w:rPr>
        <w:t>六</w:t>
      </w:r>
      <w:r>
        <w:rPr>
          <w:rFonts w:hint="eastAsia" w:ascii="宋体" w:hAnsi="宋体" w:eastAsia="宋体" w:cs="宋体"/>
          <w:b/>
          <w:bCs/>
          <w:sz w:val="32"/>
          <w:szCs w:val="40"/>
        </w:rPr>
        <w:t>年</w:t>
      </w:r>
      <w:r>
        <w:rPr>
          <w:rFonts w:hint="eastAsia" w:ascii="宋体" w:hAnsi="宋体" w:eastAsia="宋体" w:cs="宋体"/>
          <w:b/>
          <w:bCs/>
          <w:sz w:val="32"/>
          <w:szCs w:val="40"/>
          <w:lang w:val="en-US" w:eastAsia="zh-CN"/>
        </w:rPr>
        <w:t>一</w:t>
      </w:r>
      <w:r>
        <w:rPr>
          <w:rFonts w:hint="eastAsia" w:ascii="宋体" w:hAnsi="宋体" w:eastAsia="宋体" w:cs="宋体"/>
          <w:b/>
          <w:bCs/>
          <w:sz w:val="32"/>
          <w:szCs w:val="40"/>
        </w:rPr>
        <w:t>月</w:t>
      </w:r>
    </w:p>
    <w:p w14:paraId="3A5AA392">
      <w:pPr>
        <w:pStyle w:val="33"/>
        <w:ind w:left="0" w:leftChars="0" w:firstLine="0" w:firstLineChars="0"/>
        <w:rPr>
          <w:rFonts w:hint="eastAsia" w:ascii="宋体" w:hAnsi="宋体" w:eastAsia="宋体" w:cs="宋体"/>
        </w:rPr>
      </w:pPr>
    </w:p>
    <w:p w14:paraId="480ACF2D">
      <w:pPr>
        <w:jc w:val="center"/>
        <w:rPr>
          <w:rFonts w:hint="eastAsia" w:ascii="宋体" w:hAnsi="宋体" w:eastAsia="宋体" w:cs="宋体"/>
          <w:sz w:val="20"/>
          <w:szCs w:val="21"/>
        </w:rPr>
        <w:sectPr>
          <w:footerReference r:id="rId4" w:type="first"/>
          <w:footerReference r:id="rId3" w:type="default"/>
          <w:pgSz w:w="11906" w:h="16838"/>
          <w:pgMar w:top="1440" w:right="1080" w:bottom="1440" w:left="1080" w:header="851" w:footer="1331" w:gutter="0"/>
          <w:cols w:space="720" w:num="1"/>
          <w:titlePg/>
          <w:docGrid w:type="lines" w:linePitch="326" w:charSpace="0"/>
        </w:sectPr>
      </w:pPr>
    </w:p>
    <w:sdt>
      <w:sdtPr>
        <w:rPr>
          <w:rFonts w:hint="eastAsia" w:ascii="宋体" w:hAnsi="宋体" w:eastAsia="宋体" w:cs="宋体"/>
          <w:sz w:val="20"/>
          <w:szCs w:val="21"/>
        </w:rPr>
        <w:id w:val="147475524"/>
        <w:docPartObj>
          <w:docPartGallery w:val="Table of Contents"/>
          <w:docPartUnique/>
        </w:docPartObj>
      </w:sdtPr>
      <w:sdtEndPr>
        <w:rPr>
          <w:rFonts w:hint="eastAsia" w:ascii="宋体" w:hAnsi="宋体" w:eastAsia="宋体" w:cs="宋体"/>
          <w:sz w:val="24"/>
          <w:szCs w:val="22"/>
        </w:rPr>
      </w:sdtEndPr>
      <w:sdtContent>
        <w:p w14:paraId="46476D5A">
          <w:pPr>
            <w:jc w:val="center"/>
            <w:rPr>
              <w:rFonts w:hint="eastAsia" w:ascii="宋体" w:hAnsi="宋体" w:eastAsia="宋体" w:cs="宋体"/>
              <w:sz w:val="40"/>
              <w:szCs w:val="40"/>
            </w:rPr>
          </w:pPr>
          <w:r>
            <w:rPr>
              <w:rFonts w:hint="eastAsia" w:ascii="宋体" w:hAnsi="宋体" w:eastAsia="宋体" w:cs="宋体"/>
              <w:sz w:val="40"/>
              <w:szCs w:val="40"/>
            </w:rPr>
            <w:t>目  录</w:t>
          </w:r>
        </w:p>
        <w:p w14:paraId="035DB140">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TOC \o "1-3" \h \u </w:instrText>
          </w:r>
          <w:r>
            <w:rPr>
              <w:rFonts w:hint="eastAsia" w:ascii="宋体" w:hAnsi="宋体" w:eastAsia="宋体" w:cs="宋体"/>
              <w:szCs w:val="21"/>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"_Toc31259" </w:instrText>
          </w:r>
          <w:r>
            <w:rPr>
              <w:rFonts w:hint="eastAsia" w:ascii="宋体" w:hAnsi="宋体" w:eastAsia="宋体" w:cs="宋体"/>
            </w:rPr>
            <w:fldChar w:fldCharType="separate"/>
          </w:r>
          <w:r>
            <w:rPr>
              <w:rFonts w:hint="eastAsia" w:ascii="宋体" w:hAnsi="宋体" w:eastAsia="宋体" w:cs="宋体"/>
              <w:szCs w:val="21"/>
            </w:rPr>
            <w:t>第一章  磋商公告</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_Toc31259 \h </w:instrText>
          </w:r>
          <w:r>
            <w:rPr>
              <w:rFonts w:hint="eastAsia" w:ascii="宋体" w:hAnsi="宋体" w:eastAsia="宋体" w:cs="宋体"/>
              <w:szCs w:val="21"/>
            </w:rPr>
            <w:fldChar w:fldCharType="separate"/>
          </w:r>
          <w:r>
            <w:rPr>
              <w:rFonts w:hint="eastAsia" w:ascii="宋体" w:hAnsi="宋体" w:eastAsia="宋体" w:cs="宋体"/>
              <w:szCs w:val="21"/>
            </w:rPr>
            <w:t>4</w:t>
          </w:r>
          <w:r>
            <w:rPr>
              <w:rFonts w:hint="eastAsia" w:ascii="宋体" w:hAnsi="宋体" w:eastAsia="宋体" w:cs="宋体"/>
              <w:szCs w:val="21"/>
            </w:rPr>
            <w:fldChar w:fldCharType="end"/>
          </w:r>
          <w:r>
            <w:rPr>
              <w:rFonts w:hint="eastAsia" w:ascii="宋体" w:hAnsi="宋体" w:eastAsia="宋体" w:cs="宋体"/>
              <w:szCs w:val="21"/>
            </w:rPr>
            <w:fldChar w:fldCharType="end"/>
          </w:r>
        </w:p>
        <w:p w14:paraId="2D5B65D3">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"_Toc19193" </w:instrText>
          </w:r>
          <w:r>
            <w:rPr>
              <w:rFonts w:hint="eastAsia" w:ascii="宋体" w:hAnsi="宋体" w:eastAsia="宋体" w:cs="宋体"/>
            </w:rPr>
            <w:fldChar w:fldCharType="separate"/>
          </w:r>
          <w:r>
            <w:rPr>
              <w:rFonts w:hint="eastAsia" w:ascii="宋体" w:hAnsi="宋体" w:eastAsia="宋体" w:cs="宋体"/>
              <w:szCs w:val="21"/>
            </w:rPr>
            <w:t>第二章  供应商须知</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_Toc19193 \h </w:instrText>
          </w:r>
          <w:r>
            <w:rPr>
              <w:rFonts w:hint="eastAsia" w:ascii="宋体" w:hAnsi="宋体" w:eastAsia="宋体" w:cs="宋体"/>
              <w:szCs w:val="21"/>
            </w:rPr>
            <w:fldChar w:fldCharType="separate"/>
          </w:r>
          <w:r>
            <w:rPr>
              <w:rFonts w:hint="eastAsia" w:ascii="宋体" w:hAnsi="宋体" w:eastAsia="宋体" w:cs="宋体"/>
              <w:szCs w:val="21"/>
            </w:rPr>
            <w:t>9</w:t>
          </w:r>
          <w:r>
            <w:rPr>
              <w:rFonts w:hint="eastAsia" w:ascii="宋体" w:hAnsi="宋体" w:eastAsia="宋体" w:cs="宋体"/>
              <w:szCs w:val="21"/>
            </w:rPr>
            <w:fldChar w:fldCharType="end"/>
          </w:r>
          <w:r>
            <w:rPr>
              <w:rFonts w:hint="eastAsia" w:ascii="宋体" w:hAnsi="宋体" w:eastAsia="宋体" w:cs="宋体"/>
              <w:szCs w:val="21"/>
            </w:rPr>
            <w:fldChar w:fldCharType="end"/>
          </w:r>
        </w:p>
        <w:p w14:paraId="17ECA563">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"_Toc20133" </w:instrText>
          </w:r>
          <w:r>
            <w:rPr>
              <w:rFonts w:hint="eastAsia" w:ascii="宋体" w:hAnsi="宋体" w:eastAsia="宋体" w:cs="宋体"/>
            </w:rPr>
            <w:fldChar w:fldCharType="separate"/>
          </w:r>
          <w:r>
            <w:rPr>
              <w:rFonts w:hint="eastAsia" w:ascii="宋体" w:hAnsi="宋体" w:eastAsia="宋体" w:cs="宋体"/>
              <w:bCs/>
              <w:szCs w:val="21"/>
            </w:rPr>
            <w:t>1. 总则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_Toc20133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75712931">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"_Toc22909" </w:instrText>
          </w:r>
          <w:r>
            <w:rPr>
              <w:rFonts w:hint="eastAsia" w:ascii="宋体" w:hAnsi="宋体" w:eastAsia="宋体" w:cs="宋体"/>
            </w:rPr>
            <w:fldChar w:fldCharType="separate"/>
          </w:r>
          <w:r>
            <w:rPr>
              <w:rFonts w:hint="eastAsia" w:ascii="宋体" w:hAnsi="宋体" w:eastAsia="宋体" w:cs="宋体"/>
              <w:szCs w:val="21"/>
            </w:rPr>
            <w:t>1.1 项目概况</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_Toc22909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0B190829">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"_Toc19789" </w:instrText>
          </w:r>
          <w:r>
            <w:rPr>
              <w:rFonts w:hint="eastAsia" w:ascii="宋体" w:hAnsi="宋体" w:eastAsia="宋体" w:cs="宋体"/>
            </w:rPr>
            <w:fldChar w:fldCharType="separate"/>
          </w:r>
          <w:r>
            <w:rPr>
              <w:rFonts w:hint="eastAsia" w:ascii="宋体" w:hAnsi="宋体" w:eastAsia="宋体" w:cs="宋体"/>
              <w:szCs w:val="21"/>
            </w:rPr>
            <w:t>1.2 资金来源和落实情况</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_Toc19789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12205FC4">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"_Toc29441" </w:instrText>
          </w:r>
          <w:r>
            <w:rPr>
              <w:rFonts w:hint="eastAsia" w:ascii="宋体" w:hAnsi="宋体" w:eastAsia="宋体" w:cs="宋体"/>
            </w:rPr>
            <w:fldChar w:fldCharType="separate"/>
          </w:r>
          <w:r>
            <w:rPr>
              <w:rFonts w:hint="eastAsia" w:ascii="宋体" w:hAnsi="宋体" w:eastAsia="宋体" w:cs="宋体"/>
              <w:szCs w:val="21"/>
            </w:rPr>
            <w:t>1.3 招标范围、服务期限和质量要求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_Toc29441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5850633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"_Toc1004" </w:instrText>
          </w:r>
          <w:r>
            <w:rPr>
              <w:rFonts w:hint="eastAsia" w:ascii="宋体" w:hAnsi="宋体" w:eastAsia="宋体" w:cs="宋体"/>
            </w:rPr>
            <w:fldChar w:fldCharType="separate"/>
          </w:r>
          <w:r>
            <w:rPr>
              <w:rFonts w:hint="eastAsia" w:ascii="宋体" w:hAnsi="宋体" w:eastAsia="宋体" w:cs="宋体"/>
              <w:szCs w:val="21"/>
            </w:rPr>
            <w:t>1.4 供应商资格要求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_Toc1004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474E8DE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"_Toc31429" </w:instrText>
          </w:r>
          <w:r>
            <w:rPr>
              <w:rFonts w:hint="eastAsia" w:ascii="宋体" w:hAnsi="宋体" w:eastAsia="宋体" w:cs="宋体"/>
            </w:rPr>
            <w:fldChar w:fldCharType="separate"/>
          </w:r>
          <w:r>
            <w:rPr>
              <w:rFonts w:hint="eastAsia" w:ascii="宋体" w:hAnsi="宋体" w:eastAsia="宋体" w:cs="宋体"/>
              <w:szCs w:val="21"/>
            </w:rPr>
            <w:t>1.5 费用承担</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_Toc31429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1EA7BB66">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"_Toc19043" </w:instrText>
          </w:r>
          <w:r>
            <w:rPr>
              <w:rFonts w:hint="eastAsia" w:ascii="宋体" w:hAnsi="宋体" w:eastAsia="宋体" w:cs="宋体"/>
            </w:rPr>
            <w:fldChar w:fldCharType="separate"/>
          </w:r>
          <w:r>
            <w:rPr>
              <w:rFonts w:hint="eastAsia" w:ascii="宋体" w:hAnsi="宋体" w:eastAsia="宋体" w:cs="宋体"/>
              <w:szCs w:val="21"/>
            </w:rPr>
            <w:t>1.6 保密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_Toc19043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74512760">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"_Toc27707" </w:instrText>
          </w:r>
          <w:r>
            <w:rPr>
              <w:rFonts w:hint="eastAsia" w:ascii="宋体" w:hAnsi="宋体" w:eastAsia="宋体" w:cs="宋体"/>
            </w:rPr>
            <w:fldChar w:fldCharType="separate"/>
          </w:r>
          <w:r>
            <w:rPr>
              <w:rFonts w:hint="eastAsia" w:ascii="宋体" w:hAnsi="宋体" w:eastAsia="宋体" w:cs="宋体"/>
              <w:szCs w:val="21"/>
            </w:rPr>
            <w:t>1.7 语言文字</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_Toc27707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53BB168B">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"_Toc3337" </w:instrText>
          </w:r>
          <w:r>
            <w:rPr>
              <w:rFonts w:hint="eastAsia" w:ascii="宋体" w:hAnsi="宋体" w:eastAsia="宋体" w:cs="宋体"/>
            </w:rPr>
            <w:fldChar w:fldCharType="separate"/>
          </w:r>
          <w:r>
            <w:rPr>
              <w:rFonts w:hint="eastAsia" w:ascii="宋体" w:hAnsi="宋体" w:eastAsia="宋体" w:cs="宋体"/>
              <w:szCs w:val="21"/>
            </w:rPr>
            <w:t>1.8 计量单位</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_Toc3337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409B3170">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"_Toc11853" </w:instrText>
          </w:r>
          <w:r>
            <w:rPr>
              <w:rFonts w:hint="eastAsia" w:ascii="宋体" w:hAnsi="宋体" w:eastAsia="宋体" w:cs="宋体"/>
            </w:rPr>
            <w:fldChar w:fldCharType="separate"/>
          </w:r>
          <w:r>
            <w:rPr>
              <w:rFonts w:hint="eastAsia" w:ascii="宋体" w:hAnsi="宋体" w:eastAsia="宋体" w:cs="宋体"/>
              <w:szCs w:val="21"/>
            </w:rPr>
            <w:t>1.9 踏勘现场(本项目不适用)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_Toc11853 \h </w:instrText>
          </w:r>
          <w:r>
            <w:rPr>
              <w:rFonts w:hint="eastAsia" w:ascii="宋体" w:hAnsi="宋体" w:eastAsia="宋体" w:cs="宋体"/>
              <w:szCs w:val="21"/>
            </w:rPr>
            <w:fldChar w:fldCharType="separate"/>
          </w:r>
          <w:r>
            <w:rPr>
              <w:rFonts w:hint="eastAsia" w:ascii="宋体" w:hAnsi="宋体" w:eastAsia="宋体" w:cs="宋体"/>
              <w:szCs w:val="21"/>
            </w:rPr>
            <w:t>18</w:t>
          </w:r>
          <w:r>
            <w:rPr>
              <w:rFonts w:hint="eastAsia" w:ascii="宋体" w:hAnsi="宋体" w:eastAsia="宋体" w:cs="宋体"/>
              <w:szCs w:val="21"/>
            </w:rPr>
            <w:fldChar w:fldCharType="end"/>
          </w:r>
          <w:r>
            <w:rPr>
              <w:rFonts w:hint="eastAsia" w:ascii="宋体" w:hAnsi="宋体" w:eastAsia="宋体" w:cs="宋体"/>
              <w:szCs w:val="21"/>
            </w:rPr>
            <w:fldChar w:fldCharType="end"/>
          </w:r>
        </w:p>
        <w:p w14:paraId="1EFAF49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"_Toc15208" </w:instrText>
          </w:r>
          <w:r>
            <w:rPr>
              <w:rFonts w:hint="eastAsia" w:ascii="宋体" w:hAnsi="宋体" w:eastAsia="宋体" w:cs="宋体"/>
            </w:rPr>
            <w:fldChar w:fldCharType="separate"/>
          </w:r>
          <w:r>
            <w:rPr>
              <w:rFonts w:hint="eastAsia" w:ascii="宋体" w:hAnsi="宋体" w:eastAsia="宋体" w:cs="宋体"/>
              <w:szCs w:val="21"/>
            </w:rPr>
            <w:t>1.10 投标预备会(本项目不适用)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_Toc15208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024C378A">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"_Toc3479" </w:instrText>
          </w:r>
          <w:r>
            <w:rPr>
              <w:rFonts w:hint="eastAsia" w:ascii="宋体" w:hAnsi="宋体" w:eastAsia="宋体" w:cs="宋体"/>
            </w:rPr>
            <w:fldChar w:fldCharType="separate"/>
          </w:r>
          <w:r>
            <w:rPr>
              <w:rFonts w:hint="eastAsia" w:ascii="宋体" w:hAnsi="宋体" w:eastAsia="宋体" w:cs="宋体"/>
              <w:szCs w:val="21"/>
            </w:rPr>
            <w:t>1.11 分包</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_Toc3479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1E003606">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"_Toc1528" </w:instrText>
          </w:r>
          <w:r>
            <w:rPr>
              <w:rFonts w:hint="eastAsia" w:ascii="宋体" w:hAnsi="宋体" w:eastAsia="宋体" w:cs="宋体"/>
            </w:rPr>
            <w:fldChar w:fldCharType="separate"/>
          </w:r>
          <w:r>
            <w:rPr>
              <w:rFonts w:hint="eastAsia" w:ascii="宋体" w:hAnsi="宋体" w:eastAsia="宋体" w:cs="宋体"/>
              <w:szCs w:val="21"/>
            </w:rPr>
            <w:t>1.12 偏离</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_Toc1528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3EB20A32">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"_Toc32183" </w:instrText>
          </w:r>
          <w:r>
            <w:rPr>
              <w:rFonts w:hint="eastAsia" w:ascii="宋体" w:hAnsi="宋体" w:eastAsia="宋体" w:cs="宋体"/>
            </w:rPr>
            <w:fldChar w:fldCharType="separate"/>
          </w:r>
          <w:r>
            <w:rPr>
              <w:rFonts w:hint="eastAsia" w:ascii="宋体" w:hAnsi="宋体" w:eastAsia="宋体" w:cs="宋体"/>
              <w:bCs/>
              <w:szCs w:val="21"/>
            </w:rPr>
            <w:t>2. 磋商文件</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_Toc32183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344F31EC">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"_Toc10949" </w:instrText>
          </w:r>
          <w:r>
            <w:rPr>
              <w:rFonts w:hint="eastAsia" w:ascii="宋体" w:hAnsi="宋体" w:eastAsia="宋体" w:cs="宋体"/>
            </w:rPr>
            <w:fldChar w:fldCharType="separate"/>
          </w:r>
          <w:r>
            <w:rPr>
              <w:rFonts w:hint="eastAsia" w:ascii="宋体" w:hAnsi="宋体" w:eastAsia="宋体" w:cs="宋体"/>
              <w:szCs w:val="21"/>
            </w:rPr>
            <w:t>2.1 磋商文件的组成</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_Toc10949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79C2BB9E">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"_Toc485" </w:instrText>
          </w:r>
          <w:r>
            <w:rPr>
              <w:rFonts w:hint="eastAsia" w:ascii="宋体" w:hAnsi="宋体" w:eastAsia="宋体" w:cs="宋体"/>
            </w:rPr>
            <w:fldChar w:fldCharType="separate"/>
          </w:r>
          <w:r>
            <w:rPr>
              <w:rFonts w:hint="eastAsia" w:ascii="宋体" w:hAnsi="宋体" w:eastAsia="宋体" w:cs="宋体"/>
              <w:szCs w:val="21"/>
            </w:rPr>
            <w:t>2.2 磋商文件的澄清</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_Toc485 \h </w:instrText>
          </w:r>
          <w:r>
            <w:rPr>
              <w:rFonts w:hint="eastAsia" w:ascii="宋体" w:hAnsi="宋体" w:eastAsia="宋体" w:cs="宋体"/>
              <w:szCs w:val="21"/>
            </w:rPr>
            <w:fldChar w:fldCharType="separate"/>
          </w:r>
          <w:r>
            <w:rPr>
              <w:rFonts w:hint="eastAsia" w:ascii="宋体" w:hAnsi="宋体" w:eastAsia="宋体" w:cs="宋体"/>
              <w:szCs w:val="21"/>
            </w:rPr>
            <w:t>19</w:t>
          </w:r>
          <w:r>
            <w:rPr>
              <w:rFonts w:hint="eastAsia" w:ascii="宋体" w:hAnsi="宋体" w:eastAsia="宋体" w:cs="宋体"/>
              <w:szCs w:val="21"/>
            </w:rPr>
            <w:fldChar w:fldCharType="end"/>
          </w:r>
          <w:r>
            <w:rPr>
              <w:rFonts w:hint="eastAsia" w:ascii="宋体" w:hAnsi="宋体" w:eastAsia="宋体" w:cs="宋体"/>
              <w:szCs w:val="21"/>
            </w:rPr>
            <w:fldChar w:fldCharType="end"/>
          </w:r>
        </w:p>
        <w:p w14:paraId="37529853">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"_Toc20508" </w:instrText>
          </w:r>
          <w:r>
            <w:rPr>
              <w:rFonts w:hint="eastAsia" w:ascii="宋体" w:hAnsi="宋体" w:eastAsia="宋体" w:cs="宋体"/>
            </w:rPr>
            <w:fldChar w:fldCharType="separate"/>
          </w:r>
          <w:r>
            <w:rPr>
              <w:rFonts w:hint="eastAsia" w:ascii="宋体" w:hAnsi="宋体" w:eastAsia="宋体" w:cs="宋体"/>
              <w:szCs w:val="21"/>
            </w:rPr>
            <w:t>2.3 磋商文件的修改</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_Toc20508 \h </w:instrText>
          </w:r>
          <w:r>
            <w:rPr>
              <w:rFonts w:hint="eastAsia" w:ascii="宋体" w:hAnsi="宋体" w:eastAsia="宋体" w:cs="宋体"/>
              <w:szCs w:val="21"/>
            </w:rPr>
            <w:fldChar w:fldCharType="separate"/>
          </w:r>
          <w:r>
            <w:rPr>
              <w:rFonts w:hint="eastAsia" w:ascii="宋体" w:hAnsi="宋体" w:eastAsia="宋体" w:cs="宋体"/>
              <w:szCs w:val="21"/>
            </w:rPr>
            <w:t>20</w:t>
          </w:r>
          <w:r>
            <w:rPr>
              <w:rFonts w:hint="eastAsia" w:ascii="宋体" w:hAnsi="宋体" w:eastAsia="宋体" w:cs="宋体"/>
              <w:szCs w:val="21"/>
            </w:rPr>
            <w:fldChar w:fldCharType="end"/>
          </w:r>
          <w:r>
            <w:rPr>
              <w:rFonts w:hint="eastAsia" w:ascii="宋体" w:hAnsi="宋体" w:eastAsia="宋体" w:cs="宋体"/>
              <w:szCs w:val="21"/>
            </w:rPr>
            <w:fldChar w:fldCharType="end"/>
          </w:r>
        </w:p>
        <w:p w14:paraId="19C69E1B">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"_Toc24420" </w:instrText>
          </w:r>
          <w:r>
            <w:rPr>
              <w:rFonts w:hint="eastAsia" w:ascii="宋体" w:hAnsi="宋体" w:eastAsia="宋体" w:cs="宋体"/>
            </w:rPr>
            <w:fldChar w:fldCharType="separate"/>
          </w:r>
          <w:r>
            <w:rPr>
              <w:rFonts w:hint="eastAsia" w:ascii="宋体" w:hAnsi="宋体" w:eastAsia="宋体" w:cs="宋体"/>
              <w:bCs/>
              <w:szCs w:val="21"/>
            </w:rPr>
            <w:t>3. 响应文件</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_Toc24420 \h </w:instrText>
          </w:r>
          <w:r>
            <w:rPr>
              <w:rFonts w:hint="eastAsia" w:ascii="宋体" w:hAnsi="宋体" w:eastAsia="宋体" w:cs="宋体"/>
              <w:szCs w:val="21"/>
            </w:rPr>
            <w:fldChar w:fldCharType="separate"/>
          </w:r>
          <w:r>
            <w:rPr>
              <w:rFonts w:hint="eastAsia" w:ascii="宋体" w:hAnsi="宋体" w:eastAsia="宋体" w:cs="宋体"/>
              <w:szCs w:val="21"/>
            </w:rPr>
            <w:t>20</w:t>
          </w:r>
          <w:r>
            <w:rPr>
              <w:rFonts w:hint="eastAsia" w:ascii="宋体" w:hAnsi="宋体" w:eastAsia="宋体" w:cs="宋体"/>
              <w:szCs w:val="21"/>
            </w:rPr>
            <w:fldChar w:fldCharType="end"/>
          </w:r>
          <w:r>
            <w:rPr>
              <w:rFonts w:hint="eastAsia" w:ascii="宋体" w:hAnsi="宋体" w:eastAsia="宋体" w:cs="宋体"/>
              <w:szCs w:val="21"/>
            </w:rPr>
            <w:fldChar w:fldCharType="end"/>
          </w:r>
        </w:p>
        <w:p w14:paraId="29BAA966">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"_Toc9645" </w:instrText>
          </w:r>
          <w:r>
            <w:rPr>
              <w:rFonts w:hint="eastAsia" w:ascii="宋体" w:hAnsi="宋体" w:eastAsia="宋体" w:cs="宋体"/>
            </w:rPr>
            <w:fldChar w:fldCharType="separate"/>
          </w:r>
          <w:r>
            <w:rPr>
              <w:rFonts w:hint="eastAsia" w:ascii="宋体" w:hAnsi="宋体" w:eastAsia="宋体" w:cs="宋体"/>
              <w:szCs w:val="21"/>
            </w:rPr>
            <w:t>3.1 响应文件的组成</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_Toc9645 \h </w:instrText>
          </w:r>
          <w:r>
            <w:rPr>
              <w:rFonts w:hint="eastAsia" w:ascii="宋体" w:hAnsi="宋体" w:eastAsia="宋体" w:cs="宋体"/>
              <w:szCs w:val="21"/>
            </w:rPr>
            <w:fldChar w:fldCharType="separate"/>
          </w:r>
          <w:r>
            <w:rPr>
              <w:rFonts w:hint="eastAsia" w:ascii="宋体" w:hAnsi="宋体" w:eastAsia="宋体" w:cs="宋体"/>
              <w:szCs w:val="21"/>
            </w:rPr>
            <w:t>20</w:t>
          </w:r>
          <w:r>
            <w:rPr>
              <w:rFonts w:hint="eastAsia" w:ascii="宋体" w:hAnsi="宋体" w:eastAsia="宋体" w:cs="宋体"/>
              <w:szCs w:val="21"/>
            </w:rPr>
            <w:fldChar w:fldCharType="end"/>
          </w:r>
          <w:r>
            <w:rPr>
              <w:rFonts w:hint="eastAsia" w:ascii="宋体" w:hAnsi="宋体" w:eastAsia="宋体" w:cs="宋体"/>
              <w:szCs w:val="21"/>
            </w:rPr>
            <w:fldChar w:fldCharType="end"/>
          </w:r>
        </w:p>
        <w:p w14:paraId="6DB2C4E9">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"_Toc4257" </w:instrText>
          </w:r>
          <w:r>
            <w:rPr>
              <w:rFonts w:hint="eastAsia" w:ascii="宋体" w:hAnsi="宋体" w:eastAsia="宋体" w:cs="宋体"/>
            </w:rPr>
            <w:fldChar w:fldCharType="separate"/>
          </w:r>
          <w:r>
            <w:rPr>
              <w:rFonts w:hint="eastAsia" w:ascii="宋体" w:hAnsi="宋体" w:eastAsia="宋体" w:cs="宋体"/>
              <w:szCs w:val="21"/>
            </w:rPr>
            <w:t>3.2 投标报价</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_Toc4257 \h </w:instrText>
          </w:r>
          <w:r>
            <w:rPr>
              <w:rFonts w:hint="eastAsia" w:ascii="宋体" w:hAnsi="宋体" w:eastAsia="宋体" w:cs="宋体"/>
              <w:szCs w:val="21"/>
            </w:rPr>
            <w:fldChar w:fldCharType="separate"/>
          </w:r>
          <w:r>
            <w:rPr>
              <w:rFonts w:hint="eastAsia" w:ascii="宋体" w:hAnsi="宋体" w:eastAsia="宋体" w:cs="宋体"/>
              <w:szCs w:val="21"/>
            </w:rPr>
            <w:t>20</w:t>
          </w:r>
          <w:r>
            <w:rPr>
              <w:rFonts w:hint="eastAsia" w:ascii="宋体" w:hAnsi="宋体" w:eastAsia="宋体" w:cs="宋体"/>
              <w:szCs w:val="21"/>
            </w:rPr>
            <w:fldChar w:fldCharType="end"/>
          </w:r>
          <w:r>
            <w:rPr>
              <w:rFonts w:hint="eastAsia" w:ascii="宋体" w:hAnsi="宋体" w:eastAsia="宋体" w:cs="宋体"/>
              <w:szCs w:val="21"/>
            </w:rPr>
            <w:fldChar w:fldCharType="end"/>
          </w:r>
        </w:p>
        <w:p w14:paraId="65DD054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"_Toc1996" </w:instrText>
          </w:r>
          <w:r>
            <w:rPr>
              <w:rFonts w:hint="eastAsia" w:ascii="宋体" w:hAnsi="宋体" w:eastAsia="宋体" w:cs="宋体"/>
            </w:rPr>
            <w:fldChar w:fldCharType="separate"/>
          </w:r>
          <w:r>
            <w:rPr>
              <w:rFonts w:hint="eastAsia" w:ascii="宋体" w:hAnsi="宋体" w:eastAsia="宋体" w:cs="宋体"/>
              <w:szCs w:val="21"/>
            </w:rPr>
            <w:t>3.3 投标有效期</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_Toc1996 \h </w:instrText>
          </w:r>
          <w:r>
            <w:rPr>
              <w:rFonts w:hint="eastAsia" w:ascii="宋体" w:hAnsi="宋体" w:eastAsia="宋体" w:cs="宋体"/>
              <w:szCs w:val="21"/>
            </w:rPr>
            <w:fldChar w:fldCharType="separate"/>
          </w:r>
          <w:r>
            <w:rPr>
              <w:rFonts w:hint="eastAsia" w:ascii="宋体" w:hAnsi="宋体" w:eastAsia="宋体" w:cs="宋体"/>
              <w:szCs w:val="21"/>
            </w:rPr>
            <w:t>21</w:t>
          </w:r>
          <w:r>
            <w:rPr>
              <w:rFonts w:hint="eastAsia" w:ascii="宋体" w:hAnsi="宋体" w:eastAsia="宋体" w:cs="宋体"/>
              <w:szCs w:val="21"/>
            </w:rPr>
            <w:fldChar w:fldCharType="end"/>
          </w:r>
          <w:r>
            <w:rPr>
              <w:rFonts w:hint="eastAsia" w:ascii="宋体" w:hAnsi="宋体" w:eastAsia="宋体" w:cs="宋体"/>
              <w:szCs w:val="21"/>
            </w:rPr>
            <w:fldChar w:fldCharType="end"/>
          </w:r>
        </w:p>
        <w:p w14:paraId="64E8E5E5">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"_Toc26086" </w:instrText>
          </w:r>
          <w:r>
            <w:rPr>
              <w:rFonts w:hint="eastAsia" w:ascii="宋体" w:hAnsi="宋体" w:eastAsia="宋体" w:cs="宋体"/>
            </w:rPr>
            <w:fldChar w:fldCharType="separate"/>
          </w:r>
          <w:r>
            <w:rPr>
              <w:rFonts w:hint="eastAsia" w:ascii="宋体" w:hAnsi="宋体" w:eastAsia="宋体" w:cs="宋体"/>
              <w:szCs w:val="21"/>
            </w:rPr>
            <w:t>3.4 投标保证金</w:t>
          </w:r>
          <w:r>
            <w:rPr>
              <w:rFonts w:hint="eastAsia" w:ascii="宋体" w:hAnsi="宋体" w:eastAsia="宋体" w:cs="宋体"/>
              <w:bCs/>
              <w:szCs w:val="21"/>
            </w:rPr>
            <w:t>（本项目不适用）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_Toc26086 \h </w:instrText>
          </w:r>
          <w:r>
            <w:rPr>
              <w:rFonts w:hint="eastAsia" w:ascii="宋体" w:hAnsi="宋体" w:eastAsia="宋体" w:cs="宋体"/>
              <w:szCs w:val="21"/>
            </w:rPr>
            <w:fldChar w:fldCharType="separate"/>
          </w:r>
          <w:r>
            <w:rPr>
              <w:rFonts w:hint="eastAsia" w:ascii="宋体" w:hAnsi="宋体" w:eastAsia="宋体" w:cs="宋体"/>
              <w:szCs w:val="21"/>
            </w:rPr>
            <w:t>21</w:t>
          </w:r>
          <w:r>
            <w:rPr>
              <w:rFonts w:hint="eastAsia" w:ascii="宋体" w:hAnsi="宋体" w:eastAsia="宋体" w:cs="宋体"/>
              <w:szCs w:val="21"/>
            </w:rPr>
            <w:fldChar w:fldCharType="end"/>
          </w:r>
          <w:r>
            <w:rPr>
              <w:rFonts w:hint="eastAsia" w:ascii="宋体" w:hAnsi="宋体" w:eastAsia="宋体" w:cs="宋体"/>
              <w:szCs w:val="21"/>
            </w:rPr>
            <w:fldChar w:fldCharType="end"/>
          </w:r>
        </w:p>
        <w:p w14:paraId="1A26E5CC">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"_Toc32184" </w:instrText>
          </w:r>
          <w:r>
            <w:rPr>
              <w:rFonts w:hint="eastAsia" w:ascii="宋体" w:hAnsi="宋体" w:eastAsia="宋体" w:cs="宋体"/>
            </w:rPr>
            <w:fldChar w:fldCharType="separate"/>
          </w:r>
          <w:r>
            <w:rPr>
              <w:rFonts w:hint="eastAsia" w:ascii="宋体" w:hAnsi="宋体" w:eastAsia="宋体" w:cs="宋体"/>
              <w:szCs w:val="21"/>
            </w:rPr>
            <w:t>3.5 资格审查资料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_Toc32184 \h </w:instrText>
          </w:r>
          <w:r>
            <w:rPr>
              <w:rFonts w:hint="eastAsia" w:ascii="宋体" w:hAnsi="宋体" w:eastAsia="宋体" w:cs="宋体"/>
              <w:szCs w:val="21"/>
            </w:rPr>
            <w:fldChar w:fldCharType="separate"/>
          </w:r>
          <w:r>
            <w:rPr>
              <w:rFonts w:hint="eastAsia" w:ascii="宋体" w:hAnsi="宋体" w:eastAsia="宋体" w:cs="宋体"/>
              <w:szCs w:val="21"/>
            </w:rPr>
            <w:t>21</w:t>
          </w:r>
          <w:r>
            <w:rPr>
              <w:rFonts w:hint="eastAsia" w:ascii="宋体" w:hAnsi="宋体" w:eastAsia="宋体" w:cs="宋体"/>
              <w:szCs w:val="21"/>
            </w:rPr>
            <w:fldChar w:fldCharType="end"/>
          </w:r>
          <w:r>
            <w:rPr>
              <w:rFonts w:hint="eastAsia" w:ascii="宋体" w:hAnsi="宋体" w:eastAsia="宋体" w:cs="宋体"/>
              <w:szCs w:val="21"/>
            </w:rPr>
            <w:fldChar w:fldCharType="end"/>
          </w:r>
        </w:p>
        <w:p w14:paraId="1BDE22CD">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"_Toc26896" </w:instrText>
          </w:r>
          <w:r>
            <w:rPr>
              <w:rFonts w:hint="eastAsia" w:ascii="宋体" w:hAnsi="宋体" w:eastAsia="宋体" w:cs="宋体"/>
            </w:rPr>
            <w:fldChar w:fldCharType="separate"/>
          </w:r>
          <w:r>
            <w:rPr>
              <w:rFonts w:hint="eastAsia" w:ascii="宋体" w:hAnsi="宋体" w:eastAsia="宋体" w:cs="宋体"/>
              <w:szCs w:val="21"/>
            </w:rPr>
            <w:t>3.6 备选投标方案（本项目不适用）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_Toc26896 \h </w:instrText>
          </w:r>
          <w:r>
            <w:rPr>
              <w:rFonts w:hint="eastAsia" w:ascii="宋体" w:hAnsi="宋体" w:eastAsia="宋体" w:cs="宋体"/>
              <w:szCs w:val="21"/>
            </w:rPr>
            <w:fldChar w:fldCharType="separate"/>
          </w:r>
          <w:r>
            <w:rPr>
              <w:rFonts w:hint="eastAsia" w:ascii="宋体" w:hAnsi="宋体" w:eastAsia="宋体" w:cs="宋体"/>
              <w:szCs w:val="21"/>
            </w:rPr>
            <w:t>21</w:t>
          </w:r>
          <w:r>
            <w:rPr>
              <w:rFonts w:hint="eastAsia" w:ascii="宋体" w:hAnsi="宋体" w:eastAsia="宋体" w:cs="宋体"/>
              <w:szCs w:val="21"/>
            </w:rPr>
            <w:fldChar w:fldCharType="end"/>
          </w:r>
          <w:r>
            <w:rPr>
              <w:rFonts w:hint="eastAsia" w:ascii="宋体" w:hAnsi="宋体" w:eastAsia="宋体" w:cs="宋体"/>
              <w:szCs w:val="21"/>
            </w:rPr>
            <w:fldChar w:fldCharType="end"/>
          </w:r>
        </w:p>
        <w:p w14:paraId="2ED269E0">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"_Toc29454" </w:instrText>
          </w:r>
          <w:r>
            <w:rPr>
              <w:rFonts w:hint="eastAsia" w:ascii="宋体" w:hAnsi="宋体" w:eastAsia="宋体" w:cs="宋体"/>
            </w:rPr>
            <w:fldChar w:fldCharType="separate"/>
          </w:r>
          <w:r>
            <w:rPr>
              <w:rFonts w:hint="eastAsia" w:ascii="宋体" w:hAnsi="宋体" w:eastAsia="宋体" w:cs="宋体"/>
              <w:bCs/>
              <w:szCs w:val="21"/>
            </w:rPr>
            <w:t>4. 投标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_Toc29454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1377D3AE">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"_Toc948" </w:instrText>
          </w:r>
          <w:r>
            <w:rPr>
              <w:rFonts w:hint="eastAsia" w:ascii="宋体" w:hAnsi="宋体" w:eastAsia="宋体" w:cs="宋体"/>
            </w:rPr>
            <w:fldChar w:fldCharType="separate"/>
          </w:r>
          <w:r>
            <w:rPr>
              <w:rFonts w:hint="eastAsia" w:ascii="宋体" w:hAnsi="宋体" w:eastAsia="宋体" w:cs="宋体"/>
              <w:szCs w:val="21"/>
            </w:rPr>
            <w:t>4.1 响应文件的递交</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_Toc948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08EB8052">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"_Toc19918" </w:instrText>
          </w:r>
          <w:r>
            <w:rPr>
              <w:rFonts w:hint="eastAsia" w:ascii="宋体" w:hAnsi="宋体" w:eastAsia="宋体" w:cs="宋体"/>
            </w:rPr>
            <w:fldChar w:fldCharType="separate"/>
          </w:r>
          <w:r>
            <w:rPr>
              <w:rFonts w:hint="eastAsia" w:ascii="宋体" w:hAnsi="宋体" w:eastAsia="宋体" w:cs="宋体"/>
              <w:bCs/>
              <w:szCs w:val="21"/>
            </w:rPr>
            <w:t>5. 开标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_Toc19918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4C5F855C">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"_Toc9100" </w:instrText>
          </w:r>
          <w:r>
            <w:rPr>
              <w:rFonts w:hint="eastAsia" w:ascii="宋体" w:hAnsi="宋体" w:eastAsia="宋体" w:cs="宋体"/>
            </w:rPr>
            <w:fldChar w:fldCharType="separate"/>
          </w:r>
          <w:r>
            <w:rPr>
              <w:rFonts w:hint="eastAsia" w:ascii="宋体" w:hAnsi="宋体" w:eastAsia="宋体" w:cs="宋体"/>
              <w:szCs w:val="21"/>
            </w:rPr>
            <w:t>5.1 开标时间和地点</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_Toc9100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76EB56C9">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"_Toc19874" </w:instrText>
          </w:r>
          <w:r>
            <w:rPr>
              <w:rFonts w:hint="eastAsia" w:ascii="宋体" w:hAnsi="宋体" w:eastAsia="宋体" w:cs="宋体"/>
            </w:rPr>
            <w:fldChar w:fldCharType="separate"/>
          </w:r>
          <w:r>
            <w:rPr>
              <w:rFonts w:hint="eastAsia" w:ascii="宋体" w:hAnsi="宋体" w:eastAsia="宋体" w:cs="宋体"/>
              <w:szCs w:val="21"/>
            </w:rPr>
            <w:t>5.2 开标程序</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_Toc19874 \h </w:instrText>
          </w:r>
          <w:r>
            <w:rPr>
              <w:rFonts w:hint="eastAsia" w:ascii="宋体" w:hAnsi="宋体" w:eastAsia="宋体" w:cs="宋体"/>
              <w:szCs w:val="21"/>
            </w:rPr>
            <w:fldChar w:fldCharType="separate"/>
          </w:r>
          <w:r>
            <w:rPr>
              <w:rFonts w:hint="eastAsia" w:ascii="宋体" w:hAnsi="宋体" w:eastAsia="宋体" w:cs="宋体"/>
              <w:szCs w:val="21"/>
            </w:rPr>
            <w:t>22</w:t>
          </w:r>
          <w:r>
            <w:rPr>
              <w:rFonts w:hint="eastAsia" w:ascii="宋体" w:hAnsi="宋体" w:eastAsia="宋体" w:cs="宋体"/>
              <w:szCs w:val="21"/>
            </w:rPr>
            <w:fldChar w:fldCharType="end"/>
          </w:r>
          <w:r>
            <w:rPr>
              <w:rFonts w:hint="eastAsia" w:ascii="宋体" w:hAnsi="宋体" w:eastAsia="宋体" w:cs="宋体"/>
              <w:szCs w:val="21"/>
            </w:rPr>
            <w:fldChar w:fldCharType="end"/>
          </w:r>
        </w:p>
        <w:p w14:paraId="7A63B0B7">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"_Toc14114" </w:instrText>
          </w:r>
          <w:r>
            <w:rPr>
              <w:rFonts w:hint="eastAsia" w:ascii="宋体" w:hAnsi="宋体" w:eastAsia="宋体" w:cs="宋体"/>
            </w:rPr>
            <w:fldChar w:fldCharType="separate"/>
          </w:r>
          <w:r>
            <w:rPr>
              <w:rFonts w:hint="eastAsia" w:ascii="宋体" w:hAnsi="宋体" w:eastAsia="宋体" w:cs="宋体"/>
              <w:bCs/>
              <w:szCs w:val="21"/>
            </w:rPr>
            <w:t>6. 评标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_Toc14114 \h </w:instrText>
          </w:r>
          <w:r>
            <w:rPr>
              <w:rFonts w:hint="eastAsia" w:ascii="宋体" w:hAnsi="宋体" w:eastAsia="宋体" w:cs="宋体"/>
              <w:szCs w:val="21"/>
            </w:rPr>
            <w:fldChar w:fldCharType="separate"/>
          </w:r>
          <w:r>
            <w:rPr>
              <w:rFonts w:hint="eastAsia" w:ascii="宋体" w:hAnsi="宋体" w:eastAsia="宋体" w:cs="宋体"/>
              <w:szCs w:val="21"/>
            </w:rPr>
            <w:t>23</w:t>
          </w:r>
          <w:r>
            <w:rPr>
              <w:rFonts w:hint="eastAsia" w:ascii="宋体" w:hAnsi="宋体" w:eastAsia="宋体" w:cs="宋体"/>
              <w:szCs w:val="21"/>
            </w:rPr>
            <w:fldChar w:fldCharType="end"/>
          </w:r>
          <w:r>
            <w:rPr>
              <w:rFonts w:hint="eastAsia" w:ascii="宋体" w:hAnsi="宋体" w:eastAsia="宋体" w:cs="宋体"/>
              <w:szCs w:val="21"/>
            </w:rPr>
            <w:fldChar w:fldCharType="end"/>
          </w:r>
        </w:p>
        <w:p w14:paraId="044792E2">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"_Toc17991" </w:instrText>
          </w:r>
          <w:r>
            <w:rPr>
              <w:rFonts w:hint="eastAsia" w:ascii="宋体" w:hAnsi="宋体" w:eastAsia="宋体" w:cs="宋体"/>
            </w:rPr>
            <w:fldChar w:fldCharType="separate"/>
          </w:r>
          <w:r>
            <w:rPr>
              <w:rFonts w:hint="eastAsia" w:ascii="宋体" w:hAnsi="宋体" w:eastAsia="宋体" w:cs="宋体"/>
              <w:szCs w:val="21"/>
            </w:rPr>
            <w:t>6.1 磋商小组</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_Toc17991 \h </w:instrText>
          </w:r>
          <w:r>
            <w:rPr>
              <w:rFonts w:hint="eastAsia" w:ascii="宋体" w:hAnsi="宋体" w:eastAsia="宋体" w:cs="宋体"/>
              <w:szCs w:val="21"/>
            </w:rPr>
            <w:fldChar w:fldCharType="separate"/>
          </w:r>
          <w:r>
            <w:rPr>
              <w:rFonts w:hint="eastAsia" w:ascii="宋体" w:hAnsi="宋体" w:eastAsia="宋体" w:cs="宋体"/>
              <w:szCs w:val="21"/>
            </w:rPr>
            <w:t>23</w:t>
          </w:r>
          <w:r>
            <w:rPr>
              <w:rFonts w:hint="eastAsia" w:ascii="宋体" w:hAnsi="宋体" w:eastAsia="宋体" w:cs="宋体"/>
              <w:szCs w:val="21"/>
            </w:rPr>
            <w:fldChar w:fldCharType="end"/>
          </w:r>
          <w:r>
            <w:rPr>
              <w:rFonts w:hint="eastAsia" w:ascii="宋体" w:hAnsi="宋体" w:eastAsia="宋体" w:cs="宋体"/>
              <w:szCs w:val="21"/>
            </w:rPr>
            <w:fldChar w:fldCharType="end"/>
          </w:r>
        </w:p>
        <w:p w14:paraId="01C73C04">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"_Toc27931" </w:instrText>
          </w:r>
          <w:r>
            <w:rPr>
              <w:rFonts w:hint="eastAsia" w:ascii="宋体" w:hAnsi="宋体" w:eastAsia="宋体" w:cs="宋体"/>
            </w:rPr>
            <w:fldChar w:fldCharType="separate"/>
          </w:r>
          <w:r>
            <w:rPr>
              <w:rFonts w:hint="eastAsia" w:ascii="宋体" w:hAnsi="宋体" w:eastAsia="宋体" w:cs="宋体"/>
              <w:szCs w:val="21"/>
            </w:rPr>
            <w:t>6.2 磋商原则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_Toc27931 \h </w:instrText>
          </w:r>
          <w:r>
            <w:rPr>
              <w:rFonts w:hint="eastAsia" w:ascii="宋体" w:hAnsi="宋体" w:eastAsia="宋体" w:cs="宋体"/>
              <w:szCs w:val="21"/>
            </w:rPr>
            <w:fldChar w:fldCharType="separate"/>
          </w:r>
          <w:r>
            <w:rPr>
              <w:rFonts w:hint="eastAsia" w:ascii="宋体" w:hAnsi="宋体" w:eastAsia="宋体" w:cs="宋体"/>
              <w:szCs w:val="21"/>
            </w:rPr>
            <w:t>23</w:t>
          </w:r>
          <w:r>
            <w:rPr>
              <w:rFonts w:hint="eastAsia" w:ascii="宋体" w:hAnsi="宋体" w:eastAsia="宋体" w:cs="宋体"/>
              <w:szCs w:val="21"/>
            </w:rPr>
            <w:fldChar w:fldCharType="end"/>
          </w:r>
          <w:r>
            <w:rPr>
              <w:rFonts w:hint="eastAsia" w:ascii="宋体" w:hAnsi="宋体" w:eastAsia="宋体" w:cs="宋体"/>
              <w:szCs w:val="21"/>
            </w:rPr>
            <w:fldChar w:fldCharType="end"/>
          </w:r>
        </w:p>
        <w:p w14:paraId="13837C71">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"_Toc5699" </w:instrText>
          </w:r>
          <w:r>
            <w:rPr>
              <w:rFonts w:hint="eastAsia" w:ascii="宋体" w:hAnsi="宋体" w:eastAsia="宋体" w:cs="宋体"/>
            </w:rPr>
            <w:fldChar w:fldCharType="separate"/>
          </w:r>
          <w:r>
            <w:rPr>
              <w:rFonts w:hint="eastAsia" w:ascii="宋体" w:hAnsi="宋体" w:eastAsia="宋体" w:cs="宋体"/>
              <w:bCs/>
              <w:szCs w:val="21"/>
            </w:rPr>
            <w:t>7. 合同授予</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_Toc5699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56B1A30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"_Toc12944" </w:instrText>
          </w:r>
          <w:r>
            <w:rPr>
              <w:rFonts w:hint="eastAsia" w:ascii="宋体" w:hAnsi="宋体" w:eastAsia="宋体" w:cs="宋体"/>
            </w:rPr>
            <w:fldChar w:fldCharType="separate"/>
          </w:r>
          <w:r>
            <w:rPr>
              <w:rFonts w:hint="eastAsia" w:ascii="宋体" w:hAnsi="宋体" w:eastAsia="宋体" w:cs="宋体"/>
              <w:szCs w:val="21"/>
            </w:rPr>
            <w:t>7.1 定标方式</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_Toc12944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1A9381C1">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"_Toc1104" </w:instrText>
          </w:r>
          <w:r>
            <w:rPr>
              <w:rFonts w:hint="eastAsia" w:ascii="宋体" w:hAnsi="宋体" w:eastAsia="宋体" w:cs="宋体"/>
            </w:rPr>
            <w:fldChar w:fldCharType="separate"/>
          </w:r>
          <w:r>
            <w:rPr>
              <w:rFonts w:hint="eastAsia" w:ascii="宋体" w:hAnsi="宋体" w:eastAsia="宋体" w:cs="宋体"/>
              <w:szCs w:val="21"/>
            </w:rPr>
            <w:t>7.2 中标通知</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_Toc1104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65135053">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"_Toc4423" </w:instrText>
          </w:r>
          <w:r>
            <w:rPr>
              <w:rFonts w:hint="eastAsia" w:ascii="宋体" w:hAnsi="宋体" w:eastAsia="宋体" w:cs="宋体"/>
            </w:rPr>
            <w:fldChar w:fldCharType="separate"/>
          </w:r>
          <w:r>
            <w:rPr>
              <w:rFonts w:hint="eastAsia" w:ascii="宋体" w:hAnsi="宋体" w:eastAsia="宋体" w:cs="宋体"/>
              <w:szCs w:val="21"/>
            </w:rPr>
            <w:t>7.3 履约担保（本项目不适用）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_Toc4423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5112BA6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"_Toc16681" </w:instrText>
          </w:r>
          <w:r>
            <w:rPr>
              <w:rFonts w:hint="eastAsia" w:ascii="宋体" w:hAnsi="宋体" w:eastAsia="宋体" w:cs="宋体"/>
            </w:rPr>
            <w:fldChar w:fldCharType="separate"/>
          </w:r>
          <w:r>
            <w:rPr>
              <w:rFonts w:hint="eastAsia" w:ascii="宋体" w:hAnsi="宋体" w:eastAsia="宋体" w:cs="宋体"/>
              <w:szCs w:val="21"/>
            </w:rPr>
            <w:t>7.4 签订合同</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_Toc16681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0B18475F">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"_Toc21729" </w:instrText>
          </w:r>
          <w:r>
            <w:rPr>
              <w:rFonts w:hint="eastAsia" w:ascii="宋体" w:hAnsi="宋体" w:eastAsia="宋体" w:cs="宋体"/>
            </w:rPr>
            <w:fldChar w:fldCharType="separate"/>
          </w:r>
          <w:r>
            <w:rPr>
              <w:rFonts w:hint="eastAsia" w:ascii="宋体" w:hAnsi="宋体" w:eastAsia="宋体" w:cs="宋体"/>
              <w:bCs/>
              <w:szCs w:val="21"/>
            </w:rPr>
            <w:t>8. 重新招标和不再招标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_Toc21729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799D770B">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"_Toc30865" </w:instrText>
          </w:r>
          <w:r>
            <w:rPr>
              <w:rFonts w:hint="eastAsia" w:ascii="宋体" w:hAnsi="宋体" w:eastAsia="宋体" w:cs="宋体"/>
            </w:rPr>
            <w:fldChar w:fldCharType="separate"/>
          </w:r>
          <w:r>
            <w:rPr>
              <w:rFonts w:hint="eastAsia" w:ascii="宋体" w:hAnsi="宋体" w:eastAsia="宋体" w:cs="宋体"/>
              <w:szCs w:val="21"/>
            </w:rPr>
            <w:t>8.1 重新招标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_Toc30865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6E41641A">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"_Toc22058" </w:instrText>
          </w:r>
          <w:r>
            <w:rPr>
              <w:rFonts w:hint="eastAsia" w:ascii="宋体" w:hAnsi="宋体" w:eastAsia="宋体" w:cs="宋体"/>
            </w:rPr>
            <w:fldChar w:fldCharType="separate"/>
          </w:r>
          <w:r>
            <w:rPr>
              <w:rFonts w:hint="eastAsia" w:ascii="宋体" w:hAnsi="宋体" w:eastAsia="宋体" w:cs="宋体"/>
              <w:szCs w:val="21"/>
            </w:rPr>
            <w:t>8.2 不再招标</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_Toc22058 \h </w:instrText>
          </w:r>
          <w:r>
            <w:rPr>
              <w:rFonts w:hint="eastAsia" w:ascii="宋体" w:hAnsi="宋体" w:eastAsia="宋体" w:cs="宋体"/>
              <w:szCs w:val="21"/>
            </w:rPr>
            <w:fldChar w:fldCharType="separate"/>
          </w:r>
          <w:r>
            <w:rPr>
              <w:rFonts w:hint="eastAsia" w:ascii="宋体" w:hAnsi="宋体" w:eastAsia="宋体" w:cs="宋体"/>
              <w:szCs w:val="21"/>
            </w:rPr>
            <w:t>25</w:t>
          </w:r>
          <w:r>
            <w:rPr>
              <w:rFonts w:hint="eastAsia" w:ascii="宋体" w:hAnsi="宋体" w:eastAsia="宋体" w:cs="宋体"/>
              <w:szCs w:val="21"/>
            </w:rPr>
            <w:fldChar w:fldCharType="end"/>
          </w:r>
          <w:r>
            <w:rPr>
              <w:rFonts w:hint="eastAsia" w:ascii="宋体" w:hAnsi="宋体" w:eastAsia="宋体" w:cs="宋体"/>
              <w:szCs w:val="21"/>
            </w:rPr>
            <w:fldChar w:fldCharType="end"/>
          </w:r>
        </w:p>
        <w:p w14:paraId="1A905D9E">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"_Toc29650" </w:instrText>
          </w:r>
          <w:r>
            <w:rPr>
              <w:rFonts w:hint="eastAsia" w:ascii="宋体" w:hAnsi="宋体" w:eastAsia="宋体" w:cs="宋体"/>
            </w:rPr>
            <w:fldChar w:fldCharType="separate"/>
          </w:r>
          <w:r>
            <w:rPr>
              <w:rFonts w:hint="eastAsia" w:ascii="宋体" w:hAnsi="宋体" w:eastAsia="宋体" w:cs="宋体"/>
              <w:bCs/>
              <w:szCs w:val="21"/>
            </w:rPr>
            <w:t>9. 纪律和监督</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_Toc29650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09CC711E">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"_Toc1583" </w:instrText>
          </w:r>
          <w:r>
            <w:rPr>
              <w:rFonts w:hint="eastAsia" w:ascii="宋体" w:hAnsi="宋体" w:eastAsia="宋体" w:cs="宋体"/>
            </w:rPr>
            <w:fldChar w:fldCharType="separate"/>
          </w:r>
          <w:r>
            <w:rPr>
              <w:rFonts w:hint="eastAsia" w:ascii="宋体" w:hAnsi="宋体" w:eastAsia="宋体" w:cs="宋体"/>
              <w:szCs w:val="21"/>
            </w:rPr>
            <w:t>9.1 对采购人的纪律要求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_Toc1583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2A3E5B04">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"_Toc8461" </w:instrText>
          </w:r>
          <w:r>
            <w:rPr>
              <w:rFonts w:hint="eastAsia" w:ascii="宋体" w:hAnsi="宋体" w:eastAsia="宋体" w:cs="宋体"/>
            </w:rPr>
            <w:fldChar w:fldCharType="separate"/>
          </w:r>
          <w:r>
            <w:rPr>
              <w:rFonts w:hint="eastAsia" w:ascii="宋体" w:hAnsi="宋体" w:eastAsia="宋体" w:cs="宋体"/>
              <w:szCs w:val="21"/>
            </w:rPr>
            <w:t>9.2 对供应商的纪律要求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_Toc8461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6968E87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"_Toc24265" </w:instrText>
          </w:r>
          <w:r>
            <w:rPr>
              <w:rFonts w:hint="eastAsia" w:ascii="宋体" w:hAnsi="宋体" w:eastAsia="宋体" w:cs="宋体"/>
            </w:rPr>
            <w:fldChar w:fldCharType="separate"/>
          </w:r>
          <w:r>
            <w:rPr>
              <w:rFonts w:hint="eastAsia" w:ascii="宋体" w:hAnsi="宋体" w:eastAsia="宋体" w:cs="宋体"/>
              <w:szCs w:val="21"/>
            </w:rPr>
            <w:t>9.3 对磋商小组成员的纪律要求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_Toc24265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2C9598AB">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"_Toc11778" </w:instrText>
          </w:r>
          <w:r>
            <w:rPr>
              <w:rFonts w:hint="eastAsia" w:ascii="宋体" w:hAnsi="宋体" w:eastAsia="宋体" w:cs="宋体"/>
            </w:rPr>
            <w:fldChar w:fldCharType="separate"/>
          </w:r>
          <w:r>
            <w:rPr>
              <w:rFonts w:hint="eastAsia" w:ascii="宋体" w:hAnsi="宋体" w:eastAsia="宋体" w:cs="宋体"/>
              <w:szCs w:val="21"/>
            </w:rPr>
            <w:t>9.4 对与评标活动有关的工作人员的纪律要求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_Toc11778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2B870C4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"_Toc19644" </w:instrText>
          </w:r>
          <w:r>
            <w:rPr>
              <w:rFonts w:hint="eastAsia" w:ascii="宋体" w:hAnsi="宋体" w:eastAsia="宋体" w:cs="宋体"/>
            </w:rPr>
            <w:fldChar w:fldCharType="separate"/>
          </w:r>
          <w:r>
            <w:rPr>
              <w:rFonts w:hint="eastAsia" w:ascii="宋体" w:hAnsi="宋体" w:eastAsia="宋体" w:cs="宋体"/>
              <w:szCs w:val="21"/>
            </w:rPr>
            <w:t>9.5 投诉</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_Toc19644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45B9CFE9">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"_Toc6729" </w:instrText>
          </w:r>
          <w:r>
            <w:rPr>
              <w:rFonts w:hint="eastAsia" w:ascii="宋体" w:hAnsi="宋体" w:eastAsia="宋体" w:cs="宋体"/>
            </w:rPr>
            <w:fldChar w:fldCharType="separate"/>
          </w:r>
          <w:r>
            <w:rPr>
              <w:rFonts w:hint="eastAsia" w:ascii="宋体" w:hAnsi="宋体" w:eastAsia="宋体" w:cs="宋体"/>
              <w:bCs/>
              <w:szCs w:val="21"/>
            </w:rPr>
            <w:t>10. 需要补充的其他内容</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_Toc6729 \h </w:instrText>
          </w:r>
          <w:r>
            <w:rPr>
              <w:rFonts w:hint="eastAsia" w:ascii="宋体" w:hAnsi="宋体" w:eastAsia="宋体" w:cs="宋体"/>
              <w:szCs w:val="21"/>
            </w:rPr>
            <w:fldChar w:fldCharType="separate"/>
          </w:r>
          <w:r>
            <w:rPr>
              <w:rFonts w:hint="eastAsia" w:ascii="宋体" w:hAnsi="宋体" w:eastAsia="宋体" w:cs="宋体"/>
              <w:szCs w:val="21"/>
            </w:rPr>
            <w:t>26</w:t>
          </w:r>
          <w:r>
            <w:rPr>
              <w:rFonts w:hint="eastAsia" w:ascii="宋体" w:hAnsi="宋体" w:eastAsia="宋体" w:cs="宋体"/>
              <w:szCs w:val="21"/>
            </w:rPr>
            <w:fldChar w:fldCharType="end"/>
          </w:r>
          <w:r>
            <w:rPr>
              <w:rFonts w:hint="eastAsia" w:ascii="宋体" w:hAnsi="宋体" w:eastAsia="宋体" w:cs="宋体"/>
              <w:szCs w:val="21"/>
            </w:rPr>
            <w:fldChar w:fldCharType="end"/>
          </w:r>
        </w:p>
        <w:p w14:paraId="47C6EE53">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"_Toc1955" </w:instrText>
          </w:r>
          <w:r>
            <w:rPr>
              <w:rFonts w:hint="eastAsia" w:ascii="宋体" w:hAnsi="宋体" w:eastAsia="宋体" w:cs="宋体"/>
            </w:rPr>
            <w:fldChar w:fldCharType="separate"/>
          </w:r>
          <w:r>
            <w:rPr>
              <w:rFonts w:hint="eastAsia" w:ascii="宋体" w:hAnsi="宋体" w:eastAsia="宋体" w:cs="宋体"/>
              <w:szCs w:val="21"/>
            </w:rPr>
            <w:t>第三章  评标办法（综合评估法）</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_Toc1955 \h </w:instrText>
          </w:r>
          <w:r>
            <w:rPr>
              <w:rFonts w:hint="eastAsia" w:ascii="宋体" w:hAnsi="宋体" w:eastAsia="宋体" w:cs="宋体"/>
              <w:szCs w:val="21"/>
            </w:rPr>
            <w:fldChar w:fldCharType="separate"/>
          </w:r>
          <w:r>
            <w:rPr>
              <w:rFonts w:hint="eastAsia" w:ascii="宋体" w:hAnsi="宋体" w:eastAsia="宋体" w:cs="宋体"/>
              <w:szCs w:val="21"/>
            </w:rPr>
            <w:t>27</w:t>
          </w:r>
          <w:r>
            <w:rPr>
              <w:rFonts w:hint="eastAsia" w:ascii="宋体" w:hAnsi="宋体" w:eastAsia="宋体" w:cs="宋体"/>
              <w:szCs w:val="21"/>
            </w:rPr>
            <w:fldChar w:fldCharType="end"/>
          </w:r>
          <w:r>
            <w:rPr>
              <w:rFonts w:hint="eastAsia" w:ascii="宋体" w:hAnsi="宋体" w:eastAsia="宋体" w:cs="宋体"/>
              <w:szCs w:val="21"/>
            </w:rPr>
            <w:fldChar w:fldCharType="end"/>
          </w:r>
        </w:p>
        <w:p w14:paraId="6EA97816">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"_Toc1033" </w:instrText>
          </w:r>
          <w:r>
            <w:rPr>
              <w:rFonts w:hint="eastAsia" w:ascii="宋体" w:hAnsi="宋体" w:eastAsia="宋体" w:cs="宋体"/>
            </w:rPr>
            <w:fldChar w:fldCharType="separate"/>
          </w:r>
          <w:r>
            <w:rPr>
              <w:rFonts w:hint="eastAsia" w:ascii="宋体" w:hAnsi="宋体" w:eastAsia="宋体" w:cs="宋体"/>
              <w:szCs w:val="21"/>
            </w:rPr>
            <w:t>1. 评标方法</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_Toc1033 \h </w:instrText>
          </w:r>
          <w:r>
            <w:rPr>
              <w:rFonts w:hint="eastAsia" w:ascii="宋体" w:hAnsi="宋体" w:eastAsia="宋体" w:cs="宋体"/>
              <w:szCs w:val="21"/>
            </w:rPr>
            <w:fldChar w:fldCharType="separate"/>
          </w:r>
          <w:r>
            <w:rPr>
              <w:rFonts w:hint="eastAsia" w:ascii="宋体" w:hAnsi="宋体" w:eastAsia="宋体" w:cs="宋体"/>
              <w:szCs w:val="21"/>
            </w:rPr>
            <w:t>27</w:t>
          </w:r>
          <w:r>
            <w:rPr>
              <w:rFonts w:hint="eastAsia" w:ascii="宋体" w:hAnsi="宋体" w:eastAsia="宋体" w:cs="宋体"/>
              <w:szCs w:val="21"/>
            </w:rPr>
            <w:fldChar w:fldCharType="end"/>
          </w:r>
          <w:r>
            <w:rPr>
              <w:rFonts w:hint="eastAsia" w:ascii="宋体" w:hAnsi="宋体" w:eastAsia="宋体" w:cs="宋体"/>
              <w:szCs w:val="21"/>
            </w:rPr>
            <w:fldChar w:fldCharType="end"/>
          </w:r>
        </w:p>
        <w:p w14:paraId="61ECE62E">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"_Toc11820" </w:instrText>
          </w:r>
          <w:r>
            <w:rPr>
              <w:rFonts w:hint="eastAsia" w:ascii="宋体" w:hAnsi="宋体" w:eastAsia="宋体" w:cs="宋体"/>
            </w:rPr>
            <w:fldChar w:fldCharType="separate"/>
          </w:r>
          <w:r>
            <w:rPr>
              <w:rFonts w:hint="eastAsia" w:ascii="宋体" w:hAnsi="宋体" w:eastAsia="宋体" w:cs="宋体"/>
              <w:szCs w:val="21"/>
            </w:rPr>
            <w:t>2. 评审标准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_Toc11820 \h </w:instrText>
          </w:r>
          <w:r>
            <w:rPr>
              <w:rFonts w:hint="eastAsia" w:ascii="宋体" w:hAnsi="宋体" w:eastAsia="宋体" w:cs="宋体"/>
              <w:szCs w:val="21"/>
            </w:rPr>
            <w:fldChar w:fldCharType="separate"/>
          </w:r>
          <w:r>
            <w:rPr>
              <w:rFonts w:hint="eastAsia" w:ascii="宋体" w:hAnsi="宋体" w:eastAsia="宋体" w:cs="宋体"/>
              <w:szCs w:val="21"/>
            </w:rPr>
            <w:t>30</w:t>
          </w:r>
          <w:r>
            <w:rPr>
              <w:rFonts w:hint="eastAsia" w:ascii="宋体" w:hAnsi="宋体" w:eastAsia="宋体" w:cs="宋体"/>
              <w:szCs w:val="21"/>
            </w:rPr>
            <w:fldChar w:fldCharType="end"/>
          </w:r>
          <w:r>
            <w:rPr>
              <w:rFonts w:hint="eastAsia" w:ascii="宋体" w:hAnsi="宋体" w:eastAsia="宋体" w:cs="宋体"/>
              <w:szCs w:val="21"/>
            </w:rPr>
            <w:fldChar w:fldCharType="end"/>
          </w:r>
        </w:p>
        <w:p w14:paraId="3ECC099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"_Toc19376" </w:instrText>
          </w:r>
          <w:r>
            <w:rPr>
              <w:rFonts w:hint="eastAsia" w:ascii="宋体" w:hAnsi="宋体" w:eastAsia="宋体" w:cs="宋体"/>
            </w:rPr>
            <w:fldChar w:fldCharType="separate"/>
          </w:r>
          <w:r>
            <w:rPr>
              <w:rFonts w:hint="eastAsia" w:ascii="宋体" w:hAnsi="宋体" w:eastAsia="宋体" w:cs="宋体"/>
              <w:szCs w:val="21"/>
            </w:rPr>
            <w:t>2.1 初步评审标准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_Toc19376 \h </w:instrText>
          </w:r>
          <w:r>
            <w:rPr>
              <w:rFonts w:hint="eastAsia" w:ascii="宋体" w:hAnsi="宋体" w:eastAsia="宋体" w:cs="宋体"/>
              <w:szCs w:val="21"/>
            </w:rPr>
            <w:fldChar w:fldCharType="separate"/>
          </w:r>
          <w:r>
            <w:rPr>
              <w:rFonts w:hint="eastAsia" w:ascii="宋体" w:hAnsi="宋体" w:eastAsia="宋体" w:cs="宋体"/>
              <w:szCs w:val="21"/>
            </w:rPr>
            <w:t>30</w:t>
          </w:r>
          <w:r>
            <w:rPr>
              <w:rFonts w:hint="eastAsia" w:ascii="宋体" w:hAnsi="宋体" w:eastAsia="宋体" w:cs="宋体"/>
              <w:szCs w:val="21"/>
            </w:rPr>
            <w:fldChar w:fldCharType="end"/>
          </w:r>
          <w:r>
            <w:rPr>
              <w:rFonts w:hint="eastAsia" w:ascii="宋体" w:hAnsi="宋体" w:eastAsia="宋体" w:cs="宋体"/>
              <w:szCs w:val="21"/>
            </w:rPr>
            <w:fldChar w:fldCharType="end"/>
          </w:r>
        </w:p>
        <w:p w14:paraId="69553A97">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"_Toc29065" </w:instrText>
          </w:r>
          <w:r>
            <w:rPr>
              <w:rFonts w:hint="eastAsia" w:ascii="宋体" w:hAnsi="宋体" w:eastAsia="宋体" w:cs="宋体"/>
            </w:rPr>
            <w:fldChar w:fldCharType="separate"/>
          </w:r>
          <w:r>
            <w:rPr>
              <w:rFonts w:hint="eastAsia" w:ascii="宋体" w:hAnsi="宋体" w:eastAsia="宋体" w:cs="宋体"/>
              <w:szCs w:val="21"/>
            </w:rPr>
            <w:t>2.2 分值构成与评分标准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_Toc29065 \h </w:instrText>
          </w:r>
          <w:r>
            <w:rPr>
              <w:rFonts w:hint="eastAsia" w:ascii="宋体" w:hAnsi="宋体" w:eastAsia="宋体" w:cs="宋体"/>
              <w:szCs w:val="21"/>
            </w:rPr>
            <w:fldChar w:fldCharType="separate"/>
          </w:r>
          <w:r>
            <w:rPr>
              <w:rFonts w:hint="eastAsia" w:ascii="宋体" w:hAnsi="宋体" w:eastAsia="宋体" w:cs="宋体"/>
              <w:szCs w:val="21"/>
            </w:rPr>
            <w:t>30</w:t>
          </w:r>
          <w:r>
            <w:rPr>
              <w:rFonts w:hint="eastAsia" w:ascii="宋体" w:hAnsi="宋体" w:eastAsia="宋体" w:cs="宋体"/>
              <w:szCs w:val="21"/>
            </w:rPr>
            <w:fldChar w:fldCharType="end"/>
          </w:r>
          <w:r>
            <w:rPr>
              <w:rFonts w:hint="eastAsia" w:ascii="宋体" w:hAnsi="宋体" w:eastAsia="宋体" w:cs="宋体"/>
              <w:szCs w:val="21"/>
            </w:rPr>
            <w:fldChar w:fldCharType="end"/>
          </w:r>
        </w:p>
        <w:p w14:paraId="56F8C9BF">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"_Toc20036" </w:instrText>
          </w:r>
          <w:r>
            <w:rPr>
              <w:rFonts w:hint="eastAsia" w:ascii="宋体" w:hAnsi="宋体" w:eastAsia="宋体" w:cs="宋体"/>
            </w:rPr>
            <w:fldChar w:fldCharType="separate"/>
          </w:r>
          <w:r>
            <w:rPr>
              <w:rFonts w:hint="eastAsia" w:ascii="宋体" w:hAnsi="宋体" w:eastAsia="宋体" w:cs="宋体"/>
              <w:szCs w:val="21"/>
            </w:rPr>
            <w:t>3.1 初步评审</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_Toc20036 \h </w:instrText>
          </w:r>
          <w:r>
            <w:rPr>
              <w:rFonts w:hint="eastAsia" w:ascii="宋体" w:hAnsi="宋体" w:eastAsia="宋体" w:cs="宋体"/>
              <w:szCs w:val="21"/>
            </w:rPr>
            <w:fldChar w:fldCharType="separate"/>
          </w:r>
          <w:r>
            <w:rPr>
              <w:rFonts w:hint="eastAsia" w:ascii="宋体" w:hAnsi="宋体" w:eastAsia="宋体" w:cs="宋体"/>
              <w:szCs w:val="21"/>
            </w:rPr>
            <w:t>31</w:t>
          </w:r>
          <w:r>
            <w:rPr>
              <w:rFonts w:hint="eastAsia" w:ascii="宋体" w:hAnsi="宋体" w:eastAsia="宋体" w:cs="宋体"/>
              <w:szCs w:val="21"/>
            </w:rPr>
            <w:fldChar w:fldCharType="end"/>
          </w:r>
          <w:r>
            <w:rPr>
              <w:rFonts w:hint="eastAsia" w:ascii="宋体" w:hAnsi="宋体" w:eastAsia="宋体" w:cs="宋体"/>
              <w:szCs w:val="21"/>
            </w:rPr>
            <w:fldChar w:fldCharType="end"/>
          </w:r>
        </w:p>
        <w:p w14:paraId="18139952">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"_Toc12530" </w:instrText>
          </w:r>
          <w:r>
            <w:rPr>
              <w:rFonts w:hint="eastAsia" w:ascii="宋体" w:hAnsi="宋体" w:eastAsia="宋体" w:cs="宋体"/>
            </w:rPr>
            <w:fldChar w:fldCharType="separate"/>
          </w:r>
          <w:r>
            <w:rPr>
              <w:rFonts w:hint="eastAsia" w:ascii="宋体" w:hAnsi="宋体" w:eastAsia="宋体" w:cs="宋体"/>
              <w:szCs w:val="21"/>
            </w:rPr>
            <w:t>3.2 详细评审</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_Toc12530 \h </w:instrText>
          </w:r>
          <w:r>
            <w:rPr>
              <w:rFonts w:hint="eastAsia" w:ascii="宋体" w:hAnsi="宋体" w:eastAsia="宋体" w:cs="宋体"/>
              <w:szCs w:val="21"/>
            </w:rPr>
            <w:fldChar w:fldCharType="separate"/>
          </w:r>
          <w:r>
            <w:rPr>
              <w:rFonts w:hint="eastAsia" w:ascii="宋体" w:hAnsi="宋体" w:eastAsia="宋体" w:cs="宋体"/>
              <w:szCs w:val="21"/>
            </w:rPr>
            <w:t>31</w:t>
          </w:r>
          <w:r>
            <w:rPr>
              <w:rFonts w:hint="eastAsia" w:ascii="宋体" w:hAnsi="宋体" w:eastAsia="宋体" w:cs="宋体"/>
              <w:szCs w:val="21"/>
            </w:rPr>
            <w:fldChar w:fldCharType="end"/>
          </w:r>
          <w:r>
            <w:rPr>
              <w:rFonts w:hint="eastAsia" w:ascii="宋体" w:hAnsi="宋体" w:eastAsia="宋体" w:cs="宋体"/>
              <w:szCs w:val="21"/>
            </w:rPr>
            <w:fldChar w:fldCharType="end"/>
          </w:r>
        </w:p>
        <w:p w14:paraId="22545782">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"_Toc13110" </w:instrText>
          </w:r>
          <w:r>
            <w:rPr>
              <w:rFonts w:hint="eastAsia" w:ascii="宋体" w:hAnsi="宋体" w:eastAsia="宋体" w:cs="宋体"/>
            </w:rPr>
            <w:fldChar w:fldCharType="separate"/>
          </w:r>
          <w:r>
            <w:rPr>
              <w:rFonts w:hint="eastAsia" w:ascii="宋体" w:hAnsi="宋体" w:eastAsia="宋体" w:cs="宋体"/>
              <w:szCs w:val="21"/>
            </w:rPr>
            <w:t>3.3 响应文件的澄清和补正</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_Toc13110 \h </w:instrText>
          </w:r>
          <w:r>
            <w:rPr>
              <w:rFonts w:hint="eastAsia" w:ascii="宋体" w:hAnsi="宋体" w:eastAsia="宋体" w:cs="宋体"/>
              <w:szCs w:val="21"/>
            </w:rPr>
            <w:fldChar w:fldCharType="separate"/>
          </w:r>
          <w:r>
            <w:rPr>
              <w:rFonts w:hint="eastAsia" w:ascii="宋体" w:hAnsi="宋体" w:eastAsia="宋体" w:cs="宋体"/>
              <w:szCs w:val="21"/>
            </w:rPr>
            <w:t>31</w:t>
          </w:r>
          <w:r>
            <w:rPr>
              <w:rFonts w:hint="eastAsia" w:ascii="宋体" w:hAnsi="宋体" w:eastAsia="宋体" w:cs="宋体"/>
              <w:szCs w:val="21"/>
            </w:rPr>
            <w:fldChar w:fldCharType="end"/>
          </w:r>
          <w:r>
            <w:rPr>
              <w:rFonts w:hint="eastAsia" w:ascii="宋体" w:hAnsi="宋体" w:eastAsia="宋体" w:cs="宋体"/>
              <w:szCs w:val="21"/>
            </w:rPr>
            <w:fldChar w:fldCharType="end"/>
          </w:r>
        </w:p>
        <w:p w14:paraId="74C5ECBB">
          <w:pPr>
            <w:pStyle w:val="16"/>
            <w:tabs>
              <w:tab w:val="right" w:leader="dot" w:pos="9746"/>
            </w:tabs>
            <w:spacing w:line="360" w:lineRule="auto"/>
            <w:ind w:left="96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"_Toc11951" </w:instrText>
          </w:r>
          <w:r>
            <w:rPr>
              <w:rFonts w:hint="eastAsia" w:ascii="宋体" w:hAnsi="宋体" w:eastAsia="宋体" w:cs="宋体"/>
            </w:rPr>
            <w:fldChar w:fldCharType="separate"/>
          </w:r>
          <w:r>
            <w:rPr>
              <w:rFonts w:hint="eastAsia" w:ascii="宋体" w:hAnsi="宋体" w:eastAsia="宋体" w:cs="宋体"/>
              <w:szCs w:val="21"/>
            </w:rPr>
            <w:t>3.4 评标结果</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_Toc11951 \h </w:instrText>
          </w:r>
          <w:r>
            <w:rPr>
              <w:rFonts w:hint="eastAsia" w:ascii="宋体" w:hAnsi="宋体" w:eastAsia="宋体" w:cs="宋体"/>
              <w:szCs w:val="21"/>
            </w:rPr>
            <w:fldChar w:fldCharType="separate"/>
          </w:r>
          <w:r>
            <w:rPr>
              <w:rFonts w:hint="eastAsia" w:ascii="宋体" w:hAnsi="宋体" w:eastAsia="宋体" w:cs="宋体"/>
              <w:szCs w:val="21"/>
            </w:rPr>
            <w:t>32</w:t>
          </w:r>
          <w:r>
            <w:rPr>
              <w:rFonts w:hint="eastAsia" w:ascii="宋体" w:hAnsi="宋体" w:eastAsia="宋体" w:cs="宋体"/>
              <w:szCs w:val="21"/>
            </w:rPr>
            <w:fldChar w:fldCharType="end"/>
          </w:r>
          <w:r>
            <w:rPr>
              <w:rFonts w:hint="eastAsia" w:ascii="宋体" w:hAnsi="宋体" w:eastAsia="宋体" w:cs="宋体"/>
              <w:szCs w:val="21"/>
            </w:rPr>
            <w:fldChar w:fldCharType="end"/>
          </w:r>
        </w:p>
        <w:p w14:paraId="7F1F0D52">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"_Toc29158" </w:instrText>
          </w:r>
          <w:r>
            <w:rPr>
              <w:rFonts w:hint="eastAsia" w:ascii="宋体" w:hAnsi="宋体" w:eastAsia="宋体" w:cs="宋体"/>
            </w:rPr>
            <w:fldChar w:fldCharType="separate"/>
          </w:r>
          <w:r>
            <w:rPr>
              <w:rFonts w:hint="eastAsia" w:ascii="宋体" w:hAnsi="宋体" w:eastAsia="宋体" w:cs="宋体"/>
              <w:szCs w:val="21"/>
            </w:rPr>
            <w:t>4. 无效标条件</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_Toc29158 \h </w:instrText>
          </w:r>
          <w:r>
            <w:rPr>
              <w:rFonts w:hint="eastAsia" w:ascii="宋体" w:hAnsi="宋体" w:eastAsia="宋体" w:cs="宋体"/>
              <w:szCs w:val="21"/>
            </w:rPr>
            <w:fldChar w:fldCharType="separate"/>
          </w:r>
          <w:r>
            <w:rPr>
              <w:rFonts w:hint="eastAsia" w:ascii="宋体" w:hAnsi="宋体" w:eastAsia="宋体" w:cs="宋体"/>
              <w:szCs w:val="21"/>
            </w:rPr>
            <w:t>32</w:t>
          </w:r>
          <w:r>
            <w:rPr>
              <w:rFonts w:hint="eastAsia" w:ascii="宋体" w:hAnsi="宋体" w:eastAsia="宋体" w:cs="宋体"/>
              <w:szCs w:val="21"/>
            </w:rPr>
            <w:fldChar w:fldCharType="end"/>
          </w:r>
          <w:r>
            <w:rPr>
              <w:rFonts w:hint="eastAsia" w:ascii="宋体" w:hAnsi="宋体" w:eastAsia="宋体" w:cs="宋体"/>
              <w:szCs w:val="21"/>
            </w:rPr>
            <w:fldChar w:fldCharType="end"/>
          </w:r>
        </w:p>
        <w:p w14:paraId="37D053B7">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"_Toc5180" </w:instrText>
          </w:r>
          <w:r>
            <w:rPr>
              <w:rFonts w:hint="eastAsia" w:ascii="宋体" w:hAnsi="宋体" w:eastAsia="宋体" w:cs="宋体"/>
            </w:rPr>
            <w:fldChar w:fldCharType="separate"/>
          </w:r>
          <w:r>
            <w:rPr>
              <w:rFonts w:hint="eastAsia" w:ascii="宋体" w:hAnsi="宋体" w:eastAsia="宋体" w:cs="宋体"/>
              <w:szCs w:val="21"/>
            </w:rPr>
            <w:t>第四章  合同条款及格式</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_Toc5180 \h </w:instrText>
          </w:r>
          <w:r>
            <w:rPr>
              <w:rFonts w:hint="eastAsia" w:ascii="宋体" w:hAnsi="宋体" w:eastAsia="宋体" w:cs="宋体"/>
              <w:szCs w:val="21"/>
            </w:rPr>
            <w:fldChar w:fldCharType="separate"/>
          </w:r>
          <w:r>
            <w:rPr>
              <w:rFonts w:hint="eastAsia" w:ascii="宋体" w:hAnsi="宋体" w:eastAsia="宋体" w:cs="宋体"/>
              <w:szCs w:val="21"/>
            </w:rPr>
            <w:t>33</w:t>
          </w:r>
          <w:r>
            <w:rPr>
              <w:rFonts w:hint="eastAsia" w:ascii="宋体" w:hAnsi="宋体" w:eastAsia="宋体" w:cs="宋体"/>
              <w:szCs w:val="21"/>
            </w:rPr>
            <w:fldChar w:fldCharType="end"/>
          </w:r>
          <w:r>
            <w:rPr>
              <w:rFonts w:hint="eastAsia" w:ascii="宋体" w:hAnsi="宋体" w:eastAsia="宋体" w:cs="宋体"/>
              <w:szCs w:val="21"/>
            </w:rPr>
            <w:fldChar w:fldCharType="end"/>
          </w:r>
        </w:p>
        <w:p w14:paraId="59C7B95C">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"_Toc17924" </w:instrText>
          </w:r>
          <w:r>
            <w:rPr>
              <w:rFonts w:hint="eastAsia" w:ascii="宋体" w:hAnsi="宋体" w:eastAsia="宋体" w:cs="宋体"/>
            </w:rPr>
            <w:fldChar w:fldCharType="separate"/>
          </w:r>
          <w:r>
            <w:rPr>
              <w:rFonts w:hint="eastAsia" w:ascii="宋体" w:hAnsi="宋体" w:eastAsia="宋体" w:cs="宋体"/>
              <w:szCs w:val="21"/>
            </w:rPr>
            <w:t>第五章  服务要求</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_Toc17924 \h </w:instrText>
          </w:r>
          <w:r>
            <w:rPr>
              <w:rFonts w:hint="eastAsia" w:ascii="宋体" w:hAnsi="宋体" w:eastAsia="宋体" w:cs="宋体"/>
              <w:szCs w:val="21"/>
            </w:rPr>
            <w:fldChar w:fldCharType="separate"/>
          </w:r>
          <w:r>
            <w:rPr>
              <w:rFonts w:hint="eastAsia" w:ascii="宋体" w:hAnsi="宋体" w:eastAsia="宋体" w:cs="宋体"/>
              <w:szCs w:val="21"/>
            </w:rPr>
            <w:t>41</w:t>
          </w:r>
          <w:r>
            <w:rPr>
              <w:rFonts w:hint="eastAsia" w:ascii="宋体" w:hAnsi="宋体" w:eastAsia="宋体" w:cs="宋体"/>
              <w:szCs w:val="21"/>
            </w:rPr>
            <w:fldChar w:fldCharType="end"/>
          </w:r>
          <w:r>
            <w:rPr>
              <w:rFonts w:hint="eastAsia" w:ascii="宋体" w:hAnsi="宋体" w:eastAsia="宋体" w:cs="宋体"/>
              <w:szCs w:val="21"/>
            </w:rPr>
            <w:fldChar w:fldCharType="end"/>
          </w:r>
        </w:p>
        <w:p w14:paraId="42A8015A">
          <w:pPr>
            <w:pStyle w:val="25"/>
            <w:tabs>
              <w:tab w:val="right" w:leader="dot" w:pos="9746"/>
            </w:tabs>
            <w:spacing w:line="360" w:lineRule="auto"/>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"_Toc9976" </w:instrText>
          </w:r>
          <w:r>
            <w:rPr>
              <w:rFonts w:hint="eastAsia" w:ascii="宋体" w:hAnsi="宋体" w:eastAsia="宋体" w:cs="宋体"/>
            </w:rPr>
            <w:fldChar w:fldCharType="separate"/>
          </w:r>
          <w:r>
            <w:rPr>
              <w:rFonts w:hint="eastAsia" w:ascii="宋体" w:hAnsi="宋体" w:eastAsia="宋体" w:cs="宋体"/>
              <w:szCs w:val="21"/>
            </w:rPr>
            <w:t>第六章  响应文件格式</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_Toc9976 \h </w:instrText>
          </w:r>
          <w:r>
            <w:rPr>
              <w:rFonts w:hint="eastAsia" w:ascii="宋体" w:hAnsi="宋体" w:eastAsia="宋体" w:cs="宋体"/>
              <w:szCs w:val="21"/>
            </w:rPr>
            <w:fldChar w:fldCharType="separate"/>
          </w:r>
          <w:r>
            <w:rPr>
              <w:rFonts w:hint="eastAsia" w:ascii="宋体" w:hAnsi="宋体" w:eastAsia="宋体" w:cs="宋体"/>
              <w:szCs w:val="21"/>
            </w:rPr>
            <w:t>46</w:t>
          </w:r>
          <w:r>
            <w:rPr>
              <w:rFonts w:hint="eastAsia" w:ascii="宋体" w:hAnsi="宋体" w:eastAsia="宋体" w:cs="宋体"/>
              <w:szCs w:val="21"/>
            </w:rPr>
            <w:fldChar w:fldCharType="end"/>
          </w:r>
          <w:r>
            <w:rPr>
              <w:rFonts w:hint="eastAsia" w:ascii="宋体" w:hAnsi="宋体" w:eastAsia="宋体" w:cs="宋体"/>
              <w:szCs w:val="21"/>
            </w:rPr>
            <w:fldChar w:fldCharType="end"/>
          </w:r>
        </w:p>
        <w:p w14:paraId="5C3D30E3">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"_Toc740" </w:instrText>
          </w:r>
          <w:r>
            <w:rPr>
              <w:rFonts w:hint="eastAsia" w:ascii="宋体" w:hAnsi="宋体" w:eastAsia="宋体" w:cs="宋体"/>
            </w:rPr>
            <w:fldChar w:fldCharType="separate"/>
          </w:r>
          <w:r>
            <w:rPr>
              <w:rFonts w:hint="eastAsia" w:ascii="宋体" w:hAnsi="宋体" w:eastAsia="宋体" w:cs="宋体"/>
              <w:szCs w:val="21"/>
            </w:rPr>
            <w:t>一、磋商承诺书</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_Toc740 \h </w:instrText>
          </w:r>
          <w:r>
            <w:rPr>
              <w:rFonts w:hint="eastAsia" w:ascii="宋体" w:hAnsi="宋体" w:eastAsia="宋体" w:cs="宋体"/>
              <w:szCs w:val="21"/>
            </w:rPr>
            <w:fldChar w:fldCharType="separate"/>
          </w:r>
          <w:r>
            <w:rPr>
              <w:rFonts w:hint="eastAsia" w:ascii="宋体" w:hAnsi="宋体" w:eastAsia="宋体" w:cs="宋体"/>
              <w:szCs w:val="21"/>
            </w:rPr>
            <w:t>48</w:t>
          </w:r>
          <w:r>
            <w:rPr>
              <w:rFonts w:hint="eastAsia" w:ascii="宋体" w:hAnsi="宋体" w:eastAsia="宋体" w:cs="宋体"/>
              <w:szCs w:val="21"/>
            </w:rPr>
            <w:fldChar w:fldCharType="end"/>
          </w:r>
          <w:r>
            <w:rPr>
              <w:rFonts w:hint="eastAsia" w:ascii="宋体" w:hAnsi="宋体" w:eastAsia="宋体" w:cs="宋体"/>
              <w:szCs w:val="21"/>
            </w:rPr>
            <w:fldChar w:fldCharType="end"/>
          </w:r>
        </w:p>
        <w:p w14:paraId="378CACC4">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"_Toc3507" </w:instrText>
          </w:r>
          <w:r>
            <w:rPr>
              <w:rFonts w:hint="eastAsia" w:ascii="宋体" w:hAnsi="宋体" w:eastAsia="宋体" w:cs="宋体"/>
            </w:rPr>
            <w:fldChar w:fldCharType="separate"/>
          </w:r>
          <w:r>
            <w:rPr>
              <w:rFonts w:hint="eastAsia" w:ascii="宋体" w:hAnsi="宋体" w:eastAsia="宋体" w:cs="宋体"/>
              <w:szCs w:val="21"/>
            </w:rPr>
            <w:t>二、报价表</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_Toc3507 \h </w:instrText>
          </w:r>
          <w:r>
            <w:rPr>
              <w:rFonts w:hint="eastAsia" w:ascii="宋体" w:hAnsi="宋体" w:eastAsia="宋体" w:cs="宋体"/>
              <w:szCs w:val="21"/>
            </w:rPr>
            <w:fldChar w:fldCharType="separate"/>
          </w:r>
          <w:r>
            <w:rPr>
              <w:rFonts w:hint="eastAsia" w:ascii="宋体" w:hAnsi="宋体" w:eastAsia="宋体" w:cs="宋体"/>
              <w:szCs w:val="21"/>
            </w:rPr>
            <w:t>49</w:t>
          </w:r>
          <w:r>
            <w:rPr>
              <w:rFonts w:hint="eastAsia" w:ascii="宋体" w:hAnsi="宋体" w:eastAsia="宋体" w:cs="宋体"/>
              <w:szCs w:val="21"/>
            </w:rPr>
            <w:fldChar w:fldCharType="end"/>
          </w:r>
          <w:r>
            <w:rPr>
              <w:rFonts w:hint="eastAsia" w:ascii="宋体" w:hAnsi="宋体" w:eastAsia="宋体" w:cs="宋体"/>
              <w:szCs w:val="21"/>
            </w:rPr>
            <w:fldChar w:fldCharType="end"/>
          </w:r>
        </w:p>
        <w:p w14:paraId="018DD273">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"_Toc191" </w:instrText>
          </w:r>
          <w:r>
            <w:rPr>
              <w:rFonts w:hint="eastAsia" w:ascii="宋体" w:hAnsi="宋体" w:eastAsia="宋体" w:cs="宋体"/>
            </w:rPr>
            <w:fldChar w:fldCharType="separate"/>
          </w:r>
          <w:r>
            <w:rPr>
              <w:rFonts w:hint="eastAsia" w:ascii="宋体" w:hAnsi="宋体" w:eastAsia="宋体" w:cs="宋体"/>
              <w:szCs w:val="21"/>
            </w:rPr>
            <w:t>三、法定代表人身份证明</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_Toc191 \h </w:instrText>
          </w:r>
          <w:r>
            <w:rPr>
              <w:rFonts w:hint="eastAsia" w:ascii="宋体" w:hAnsi="宋体" w:eastAsia="宋体" w:cs="宋体"/>
              <w:szCs w:val="21"/>
            </w:rPr>
            <w:fldChar w:fldCharType="separate"/>
          </w:r>
          <w:r>
            <w:rPr>
              <w:rFonts w:hint="eastAsia" w:ascii="宋体" w:hAnsi="宋体" w:eastAsia="宋体" w:cs="宋体"/>
              <w:szCs w:val="21"/>
            </w:rPr>
            <w:t>50</w:t>
          </w:r>
          <w:r>
            <w:rPr>
              <w:rFonts w:hint="eastAsia" w:ascii="宋体" w:hAnsi="宋体" w:eastAsia="宋体" w:cs="宋体"/>
              <w:szCs w:val="21"/>
            </w:rPr>
            <w:fldChar w:fldCharType="end"/>
          </w:r>
          <w:r>
            <w:rPr>
              <w:rFonts w:hint="eastAsia" w:ascii="宋体" w:hAnsi="宋体" w:eastAsia="宋体" w:cs="宋体"/>
              <w:szCs w:val="21"/>
            </w:rPr>
            <w:fldChar w:fldCharType="end"/>
          </w:r>
        </w:p>
        <w:p w14:paraId="2798D908">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"_Toc24479" </w:instrText>
          </w:r>
          <w:r>
            <w:rPr>
              <w:rFonts w:hint="eastAsia" w:ascii="宋体" w:hAnsi="宋体" w:eastAsia="宋体" w:cs="宋体"/>
            </w:rPr>
            <w:fldChar w:fldCharType="separate"/>
          </w:r>
          <w:r>
            <w:rPr>
              <w:rFonts w:hint="eastAsia" w:ascii="宋体" w:hAnsi="宋体" w:eastAsia="宋体" w:cs="宋体"/>
              <w:szCs w:val="21"/>
            </w:rPr>
            <w:t>四、法定代表人授权委托书</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_Toc24479 \h </w:instrText>
          </w:r>
          <w:r>
            <w:rPr>
              <w:rFonts w:hint="eastAsia" w:ascii="宋体" w:hAnsi="宋体" w:eastAsia="宋体" w:cs="宋体"/>
              <w:szCs w:val="21"/>
            </w:rPr>
            <w:fldChar w:fldCharType="separate"/>
          </w:r>
          <w:r>
            <w:rPr>
              <w:rFonts w:hint="eastAsia" w:ascii="宋体" w:hAnsi="宋体" w:eastAsia="宋体" w:cs="宋体"/>
              <w:szCs w:val="21"/>
            </w:rPr>
            <w:t>51</w:t>
          </w:r>
          <w:r>
            <w:rPr>
              <w:rFonts w:hint="eastAsia" w:ascii="宋体" w:hAnsi="宋体" w:eastAsia="宋体" w:cs="宋体"/>
              <w:szCs w:val="21"/>
            </w:rPr>
            <w:fldChar w:fldCharType="end"/>
          </w:r>
          <w:r>
            <w:rPr>
              <w:rFonts w:hint="eastAsia" w:ascii="宋体" w:hAnsi="宋体" w:eastAsia="宋体" w:cs="宋体"/>
              <w:szCs w:val="21"/>
            </w:rPr>
            <w:fldChar w:fldCharType="end"/>
          </w:r>
        </w:p>
        <w:p w14:paraId="147B5021">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"_Toc935" </w:instrText>
          </w:r>
          <w:r>
            <w:rPr>
              <w:rFonts w:hint="eastAsia" w:ascii="宋体" w:hAnsi="宋体" w:eastAsia="宋体" w:cs="宋体"/>
            </w:rPr>
            <w:fldChar w:fldCharType="separate"/>
          </w:r>
          <w:r>
            <w:rPr>
              <w:rFonts w:hint="eastAsia" w:ascii="宋体" w:hAnsi="宋体" w:eastAsia="宋体" w:cs="宋体"/>
              <w:szCs w:val="21"/>
            </w:rPr>
            <w:t>五、资格审查资料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_Toc935 \h </w:instrText>
          </w:r>
          <w:r>
            <w:rPr>
              <w:rFonts w:hint="eastAsia" w:ascii="宋体" w:hAnsi="宋体" w:eastAsia="宋体" w:cs="宋体"/>
              <w:szCs w:val="21"/>
            </w:rPr>
            <w:fldChar w:fldCharType="separate"/>
          </w:r>
          <w:r>
            <w:rPr>
              <w:rFonts w:hint="eastAsia" w:ascii="宋体" w:hAnsi="宋体" w:eastAsia="宋体" w:cs="宋体"/>
              <w:szCs w:val="21"/>
            </w:rPr>
            <w:t>52</w:t>
          </w:r>
          <w:r>
            <w:rPr>
              <w:rFonts w:hint="eastAsia" w:ascii="宋体" w:hAnsi="宋体" w:eastAsia="宋体" w:cs="宋体"/>
              <w:szCs w:val="21"/>
            </w:rPr>
            <w:fldChar w:fldCharType="end"/>
          </w:r>
          <w:r>
            <w:rPr>
              <w:rFonts w:hint="eastAsia" w:ascii="宋体" w:hAnsi="宋体" w:eastAsia="宋体" w:cs="宋体"/>
              <w:szCs w:val="21"/>
            </w:rPr>
            <w:fldChar w:fldCharType="end"/>
          </w:r>
        </w:p>
        <w:p w14:paraId="6697EAA2">
          <w:pPr>
            <w:pStyle w:val="28"/>
            <w:tabs>
              <w:tab w:val="right" w:leader="dot" w:pos="9746"/>
            </w:tabs>
            <w:spacing w:line="360" w:lineRule="auto"/>
            <w:ind w:left="480"/>
            <w:rPr>
              <w:rFonts w:hint="eastAsia" w:ascii="宋体" w:hAnsi="宋体" w:eastAsia="宋体" w:cs="宋体"/>
              <w:szCs w:val="21"/>
            </w:rPr>
          </w:pPr>
          <w:r>
            <w:rPr>
              <w:rFonts w:hint="eastAsia" w:ascii="宋体" w:hAnsi="宋体" w:eastAsia="宋体" w:cs="宋体"/>
            </w:rPr>
            <w:fldChar w:fldCharType="begin"/>
          </w:r>
          <w:r>
            <w:rPr>
              <w:rFonts w:hint="eastAsia" w:ascii="宋体" w:hAnsi="宋体" w:eastAsia="宋体" w:cs="宋体"/>
            </w:rPr>
            <w:instrText xml:space="preserve"> HYPERLINK \l "_Toc13470" </w:instrText>
          </w:r>
          <w:r>
            <w:rPr>
              <w:rFonts w:hint="eastAsia" w:ascii="宋体" w:hAnsi="宋体" w:eastAsia="宋体" w:cs="宋体"/>
            </w:rPr>
            <w:fldChar w:fldCharType="separate"/>
          </w:r>
          <w:r>
            <w:rPr>
              <w:rFonts w:hint="eastAsia" w:ascii="宋体" w:hAnsi="宋体" w:eastAsia="宋体" w:cs="宋体"/>
              <w:szCs w:val="21"/>
            </w:rPr>
            <w:t>六、技术部分</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_Toc13470 \h </w:instrText>
          </w:r>
          <w:r>
            <w:rPr>
              <w:rFonts w:hint="eastAsia" w:ascii="宋体" w:hAnsi="宋体" w:eastAsia="宋体" w:cs="宋体"/>
              <w:szCs w:val="21"/>
            </w:rPr>
            <w:fldChar w:fldCharType="separate"/>
          </w:r>
          <w:r>
            <w:rPr>
              <w:rFonts w:hint="eastAsia" w:ascii="宋体" w:hAnsi="宋体" w:eastAsia="宋体" w:cs="宋体"/>
              <w:szCs w:val="21"/>
            </w:rPr>
            <w:t>52</w:t>
          </w:r>
          <w:r>
            <w:rPr>
              <w:rFonts w:hint="eastAsia" w:ascii="宋体" w:hAnsi="宋体" w:eastAsia="宋体" w:cs="宋体"/>
              <w:szCs w:val="21"/>
            </w:rPr>
            <w:fldChar w:fldCharType="end"/>
          </w:r>
          <w:r>
            <w:rPr>
              <w:rFonts w:hint="eastAsia" w:ascii="宋体" w:hAnsi="宋体" w:eastAsia="宋体" w:cs="宋体"/>
              <w:szCs w:val="21"/>
            </w:rPr>
            <w:fldChar w:fldCharType="end"/>
          </w:r>
        </w:p>
        <w:p w14:paraId="6D264E13">
          <w:pPr>
            <w:pStyle w:val="28"/>
            <w:tabs>
              <w:tab w:val="right" w:leader="dot" w:pos="9746"/>
            </w:tabs>
            <w:spacing w:line="360" w:lineRule="auto"/>
            <w:ind w:left="480"/>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"_Toc11671" </w:instrText>
          </w:r>
          <w:r>
            <w:rPr>
              <w:rFonts w:hint="eastAsia" w:ascii="宋体" w:hAnsi="宋体" w:eastAsia="宋体" w:cs="宋体"/>
            </w:rPr>
            <w:fldChar w:fldCharType="separate"/>
          </w:r>
          <w:r>
            <w:rPr>
              <w:rFonts w:hint="eastAsia" w:ascii="宋体" w:hAnsi="宋体" w:eastAsia="宋体" w:cs="宋体"/>
              <w:szCs w:val="21"/>
            </w:rPr>
            <w:t>七、其他材料</w:t>
          </w:r>
          <w:r>
            <w:rPr>
              <w:rFonts w:hint="eastAsia" w:ascii="宋体" w:hAnsi="宋体" w:eastAsia="宋体" w:cs="宋体"/>
              <w:szCs w:val="21"/>
            </w:rPr>
            <w:tab/>
          </w:r>
          <w:r>
            <w:rPr>
              <w:rFonts w:hint="eastAsia" w:ascii="宋体" w:hAnsi="宋体" w:eastAsia="宋体" w:cs="宋体"/>
              <w:szCs w:val="21"/>
            </w:rPr>
            <w:fldChar w:fldCharType="begin"/>
          </w:r>
          <w:r>
            <w:rPr>
              <w:rFonts w:hint="eastAsia" w:ascii="宋体" w:hAnsi="宋体" w:eastAsia="宋体" w:cs="宋体"/>
              <w:szCs w:val="21"/>
            </w:rPr>
            <w:instrText xml:space="preserve"> PAGEREF _Toc11671 \h </w:instrText>
          </w:r>
          <w:r>
            <w:rPr>
              <w:rFonts w:hint="eastAsia" w:ascii="宋体" w:hAnsi="宋体" w:eastAsia="宋体" w:cs="宋体"/>
              <w:szCs w:val="21"/>
            </w:rPr>
            <w:fldChar w:fldCharType="separate"/>
          </w:r>
          <w:r>
            <w:rPr>
              <w:rFonts w:hint="eastAsia" w:ascii="宋体" w:hAnsi="宋体" w:eastAsia="宋体" w:cs="宋体"/>
              <w:szCs w:val="21"/>
            </w:rPr>
            <w:t>57</w:t>
          </w:r>
          <w:r>
            <w:rPr>
              <w:rFonts w:hint="eastAsia" w:ascii="宋体" w:hAnsi="宋体" w:eastAsia="宋体" w:cs="宋体"/>
              <w:szCs w:val="21"/>
            </w:rPr>
            <w:fldChar w:fldCharType="end"/>
          </w:r>
          <w:r>
            <w:rPr>
              <w:rFonts w:hint="eastAsia" w:ascii="宋体" w:hAnsi="宋体" w:eastAsia="宋体" w:cs="宋体"/>
              <w:szCs w:val="21"/>
            </w:rPr>
            <w:fldChar w:fldCharType="end"/>
          </w:r>
        </w:p>
        <w:p w14:paraId="16BDF156">
          <w:pPr>
            <w:spacing w:line="360" w:lineRule="auto"/>
            <w:rPr>
              <w:rFonts w:hint="eastAsia" w:ascii="宋体" w:hAnsi="宋体" w:eastAsia="宋体" w:cs="宋体"/>
            </w:rPr>
          </w:pPr>
          <w:r>
            <w:rPr>
              <w:rFonts w:hint="eastAsia" w:ascii="宋体" w:hAnsi="宋体" w:eastAsia="宋体" w:cs="宋体"/>
              <w:szCs w:val="21"/>
            </w:rPr>
            <w:fldChar w:fldCharType="end"/>
          </w:r>
        </w:p>
      </w:sdtContent>
    </w:sdt>
    <w:p w14:paraId="3BD78545">
      <w:pPr>
        <w:jc w:val="center"/>
        <w:outlineLvl w:val="0"/>
        <w:rPr>
          <w:rFonts w:hint="eastAsia" w:ascii="宋体" w:hAnsi="宋体" w:eastAsia="宋体" w:cs="宋体"/>
          <w:b/>
          <w:sz w:val="32"/>
        </w:rPr>
        <w:sectPr>
          <w:footerReference r:id="rId6" w:type="first"/>
          <w:footerReference r:id="rId5" w:type="default"/>
          <w:pgSz w:w="11906" w:h="16838"/>
          <w:pgMar w:top="1440" w:right="1080" w:bottom="1440" w:left="1080" w:header="851" w:footer="1331" w:gutter="0"/>
          <w:pgNumType w:fmt="decimal" w:start="1"/>
          <w:cols w:space="720" w:num="1"/>
          <w:docGrid w:type="lines" w:linePitch="326" w:charSpace="0"/>
        </w:sectPr>
      </w:pPr>
      <w:bookmarkStart w:id="0" w:name="_Toc45177801"/>
    </w:p>
    <w:p w14:paraId="4B257120">
      <w:pPr>
        <w:jc w:val="center"/>
        <w:outlineLvl w:val="0"/>
        <w:rPr>
          <w:rFonts w:hint="eastAsia" w:ascii="宋体" w:hAnsi="宋体" w:eastAsia="宋体" w:cs="宋体"/>
          <w:b/>
          <w:sz w:val="32"/>
        </w:rPr>
      </w:pPr>
      <w:bookmarkStart w:id="1" w:name="_Toc31259"/>
      <w:r>
        <w:rPr>
          <w:rFonts w:hint="eastAsia" w:ascii="宋体" w:hAnsi="宋体" w:eastAsia="宋体" w:cs="宋体"/>
          <w:b/>
          <w:sz w:val="32"/>
        </w:rPr>
        <w:t>第一章  磋商公告</w:t>
      </w:r>
      <w:bookmarkEnd w:id="0"/>
      <w:bookmarkEnd w:id="1"/>
    </w:p>
    <w:p w14:paraId="13EE6FA0">
      <w:pPr>
        <w:spacing w:line="360" w:lineRule="auto"/>
        <w:jc w:val="center"/>
        <w:rPr>
          <w:rFonts w:hint="eastAsia" w:ascii="宋体" w:hAnsi="宋体" w:eastAsia="宋体" w:cs="宋体"/>
          <w:b/>
          <w:bCs/>
          <w:sz w:val="28"/>
          <w:szCs w:val="32"/>
        </w:rPr>
      </w:pPr>
      <w:bookmarkStart w:id="2" w:name="_Hlk138958872"/>
      <w:r>
        <w:rPr>
          <w:rFonts w:hint="eastAsia" w:ascii="宋体" w:hAnsi="宋体" w:eastAsia="宋体" w:cs="宋体"/>
          <w:b/>
          <w:bCs/>
          <w:sz w:val="28"/>
          <w:szCs w:val="32"/>
        </w:rPr>
        <w:t>【平公资采2026135号】</w:t>
      </w:r>
      <w:r>
        <w:rPr>
          <w:rFonts w:hint="eastAsia" w:ascii="宋体" w:hAnsi="宋体" w:eastAsia="宋体" w:cs="宋体"/>
          <w:b/>
          <w:bCs/>
          <w:sz w:val="28"/>
          <w:szCs w:val="32"/>
          <w:lang w:eastAsia="zh-CN"/>
        </w:rPr>
        <w:t>中共平顶山市新华区委政法委员会2026年新华区平安家园民生综合保险项目（</w:t>
      </w:r>
      <w:r>
        <w:rPr>
          <w:rFonts w:hint="eastAsia" w:ascii="宋体" w:hAnsi="宋体" w:eastAsia="宋体" w:cs="宋体"/>
          <w:b/>
          <w:bCs/>
          <w:sz w:val="28"/>
          <w:szCs w:val="32"/>
          <w:lang w:val="en-US" w:eastAsia="zh-CN"/>
        </w:rPr>
        <w:t>第一标段</w:t>
      </w:r>
      <w:bookmarkStart w:id="483" w:name="_GoBack"/>
      <w:bookmarkEnd w:id="483"/>
      <w:r>
        <w:rPr>
          <w:rFonts w:hint="eastAsia" w:ascii="宋体" w:hAnsi="宋体" w:eastAsia="宋体" w:cs="宋体"/>
          <w:b/>
          <w:bCs/>
          <w:sz w:val="28"/>
          <w:szCs w:val="32"/>
          <w:lang w:eastAsia="zh-CN"/>
        </w:rPr>
        <w:t>）</w:t>
      </w:r>
      <w:r>
        <w:rPr>
          <w:rFonts w:hint="eastAsia" w:ascii="宋体" w:hAnsi="宋体" w:eastAsia="宋体" w:cs="宋体"/>
          <w:b/>
          <w:bCs/>
          <w:sz w:val="28"/>
          <w:szCs w:val="32"/>
        </w:rPr>
        <w:t>竞争性磋商公告</w:t>
      </w:r>
    </w:p>
    <w:p w14:paraId="634BA0F0">
      <w:pPr>
        <w:spacing w:line="440" w:lineRule="exact"/>
        <w:rPr>
          <w:rFonts w:hint="eastAsia" w:ascii="宋体" w:hAnsi="宋体" w:eastAsia="宋体" w:cs="宋体"/>
          <w:b/>
          <w:bCs/>
          <w:sz w:val="21"/>
          <w:szCs w:val="21"/>
        </w:rPr>
      </w:pPr>
      <w:r>
        <w:rPr>
          <w:rFonts w:hint="eastAsia" w:ascii="宋体" w:hAnsi="宋体" w:eastAsia="宋体" w:cs="宋体"/>
          <w:b/>
          <w:bCs/>
          <w:sz w:val="21"/>
          <w:szCs w:val="21"/>
        </w:rPr>
        <w:t>项目概况</w:t>
      </w:r>
    </w:p>
    <w:p w14:paraId="5C2834FA">
      <w:pPr>
        <w:spacing w:line="44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lang w:eastAsia="zh-CN"/>
        </w:rPr>
        <w:t>中共平顶山市新华区委政法委员会2026年新华区平安家园民生综合保险项目</w:t>
      </w:r>
      <w:r>
        <w:rPr>
          <w:rFonts w:hint="eastAsia" w:ascii="宋体" w:hAnsi="宋体" w:eastAsia="宋体" w:cs="宋体"/>
          <w:bCs/>
          <w:sz w:val="21"/>
          <w:szCs w:val="21"/>
        </w:rPr>
        <w:t>的潜在投标人应在平顶山市公共资源交易中心电子交易系统获取招标文件并于</w:t>
      </w: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分（北京时间）前递交响应文件。</w:t>
      </w:r>
    </w:p>
    <w:p w14:paraId="16295002">
      <w:pPr>
        <w:spacing w:line="440" w:lineRule="exact"/>
        <w:rPr>
          <w:rFonts w:hint="eastAsia" w:ascii="宋体" w:hAnsi="宋体" w:eastAsia="宋体" w:cs="宋体"/>
          <w:b/>
          <w:bCs/>
          <w:sz w:val="21"/>
          <w:szCs w:val="21"/>
        </w:rPr>
      </w:pPr>
      <w:r>
        <w:rPr>
          <w:rFonts w:hint="eastAsia" w:ascii="宋体" w:hAnsi="宋体" w:eastAsia="宋体" w:cs="宋体"/>
          <w:b/>
          <w:bCs/>
          <w:sz w:val="21"/>
          <w:szCs w:val="21"/>
        </w:rPr>
        <w:t>一、项目基本情况</w:t>
      </w:r>
    </w:p>
    <w:p w14:paraId="4DF9A71E">
      <w:pPr>
        <w:spacing w:line="440" w:lineRule="exact"/>
        <w:ind w:firstLine="422" w:firstLineChars="200"/>
        <w:rPr>
          <w:rFonts w:hint="default" w:ascii="宋体" w:hAnsi="宋体" w:eastAsia="宋体" w:cs="宋体"/>
          <w:sz w:val="21"/>
          <w:szCs w:val="21"/>
          <w:lang w:val="en-US" w:eastAsia="zh-CN"/>
        </w:rPr>
      </w:pPr>
      <w:bookmarkStart w:id="3" w:name="_Hlk138959232"/>
      <w:r>
        <w:rPr>
          <w:rFonts w:hint="eastAsia" w:ascii="宋体" w:hAnsi="宋体" w:eastAsia="宋体" w:cs="宋体"/>
          <w:b/>
          <w:sz w:val="21"/>
          <w:szCs w:val="21"/>
        </w:rPr>
        <w:t>1、项目编号</w:t>
      </w:r>
      <w:r>
        <w:rPr>
          <w:rFonts w:hint="eastAsia" w:ascii="宋体" w:hAnsi="宋体" w:eastAsia="宋体" w:cs="宋体"/>
          <w:sz w:val="21"/>
          <w:szCs w:val="21"/>
        </w:rPr>
        <w:t>：</w:t>
      </w:r>
      <w:r>
        <w:rPr>
          <w:rFonts w:hint="eastAsia" w:ascii="宋体" w:hAnsi="宋体" w:eastAsia="宋体" w:cs="宋体"/>
          <w:sz w:val="21"/>
          <w:szCs w:val="21"/>
          <w:lang w:val="en-US" w:eastAsia="zh-CN"/>
        </w:rPr>
        <w:t>平新采磋商-2026-2</w:t>
      </w:r>
    </w:p>
    <w:p w14:paraId="334BF13B">
      <w:pPr>
        <w:spacing w:line="440" w:lineRule="exact"/>
        <w:ind w:firstLine="422" w:firstLineChars="200"/>
        <w:rPr>
          <w:rFonts w:hint="eastAsia" w:ascii="宋体" w:hAnsi="宋体" w:eastAsia="宋体" w:cs="宋体"/>
          <w:sz w:val="21"/>
          <w:szCs w:val="21"/>
          <w:lang w:eastAsia="zh-CN"/>
        </w:rPr>
      </w:pPr>
      <w:r>
        <w:rPr>
          <w:rFonts w:hint="eastAsia" w:ascii="宋体" w:hAnsi="宋体" w:eastAsia="宋体" w:cs="宋体"/>
          <w:b/>
          <w:sz w:val="21"/>
          <w:szCs w:val="21"/>
        </w:rPr>
        <w:t>2、项目名称</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中共平顶山市新华区委政法委员会2026年新华区平安家园民生综合保险项目</w:t>
      </w:r>
    </w:p>
    <w:p w14:paraId="250FB3AF">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sz w:val="21"/>
          <w:szCs w:val="21"/>
        </w:rPr>
        <w:t>3、采购方式</w:t>
      </w:r>
      <w:r>
        <w:rPr>
          <w:rFonts w:hint="eastAsia" w:ascii="宋体" w:hAnsi="宋体" w:eastAsia="宋体" w:cs="宋体"/>
          <w:sz w:val="21"/>
          <w:szCs w:val="21"/>
        </w:rPr>
        <w:t>：竞争性磋商</w:t>
      </w:r>
    </w:p>
    <w:p w14:paraId="4E445C96">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4、预算金额</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1489900</w:t>
      </w:r>
      <w:r>
        <w:rPr>
          <w:rFonts w:hint="eastAsia" w:ascii="宋体" w:hAnsi="宋体" w:eastAsia="宋体" w:cs="宋体"/>
          <w:color w:val="auto"/>
          <w:sz w:val="21"/>
          <w:szCs w:val="21"/>
        </w:rPr>
        <w:t>.00元；最高限价：</w:t>
      </w:r>
      <w:r>
        <w:rPr>
          <w:rFonts w:hint="eastAsia" w:ascii="宋体" w:hAnsi="宋体" w:eastAsia="宋体" w:cs="宋体"/>
          <w:color w:val="auto"/>
          <w:sz w:val="21"/>
          <w:szCs w:val="21"/>
          <w:lang w:val="en-US" w:eastAsia="zh-CN"/>
        </w:rPr>
        <w:t>1489900</w:t>
      </w:r>
      <w:r>
        <w:rPr>
          <w:rFonts w:hint="eastAsia" w:ascii="宋体" w:hAnsi="宋体" w:eastAsia="宋体" w:cs="宋体"/>
          <w:color w:val="auto"/>
          <w:sz w:val="21"/>
          <w:szCs w:val="21"/>
        </w:rPr>
        <w:t>.00元</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9"/>
        <w:gridCol w:w="1540"/>
        <w:gridCol w:w="4337"/>
        <w:gridCol w:w="1745"/>
        <w:gridCol w:w="1745"/>
      </w:tblGrid>
      <w:tr w14:paraId="76EF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296" w:type="pct"/>
            <w:vAlign w:val="center"/>
          </w:tcPr>
          <w:p w14:paraId="252CCE2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773" w:type="pct"/>
            <w:vAlign w:val="center"/>
          </w:tcPr>
          <w:p w14:paraId="4A35EE9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包号</w:t>
            </w:r>
          </w:p>
        </w:tc>
        <w:tc>
          <w:tcPr>
            <w:tcW w:w="2177" w:type="pct"/>
            <w:vAlign w:val="center"/>
          </w:tcPr>
          <w:p w14:paraId="61CF0F5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包名称</w:t>
            </w:r>
          </w:p>
        </w:tc>
        <w:tc>
          <w:tcPr>
            <w:tcW w:w="876" w:type="pct"/>
            <w:vAlign w:val="center"/>
          </w:tcPr>
          <w:p w14:paraId="5D5AFEC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包预算（元）</w:t>
            </w:r>
          </w:p>
        </w:tc>
        <w:tc>
          <w:tcPr>
            <w:tcW w:w="876" w:type="pct"/>
            <w:vAlign w:val="center"/>
          </w:tcPr>
          <w:p w14:paraId="0383FA6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包最高限价（元）</w:t>
            </w:r>
          </w:p>
        </w:tc>
      </w:tr>
      <w:tr w14:paraId="38CA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96" w:type="pct"/>
            <w:vAlign w:val="center"/>
          </w:tcPr>
          <w:p w14:paraId="3BBC623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773" w:type="pct"/>
            <w:vAlign w:val="center"/>
          </w:tcPr>
          <w:p w14:paraId="2472DB7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平公资采202</w:t>
            </w:r>
            <w:r>
              <w:rPr>
                <w:rFonts w:hint="eastAsia" w:ascii="宋体" w:hAnsi="宋体" w:eastAsia="宋体" w:cs="宋体"/>
                <w:color w:val="auto"/>
                <w:sz w:val="21"/>
                <w:szCs w:val="21"/>
                <w:lang w:val="en-US" w:eastAsia="zh-CN"/>
              </w:rPr>
              <w:t>6  135</w:t>
            </w:r>
            <w:r>
              <w:rPr>
                <w:rFonts w:hint="eastAsia" w:ascii="宋体" w:hAnsi="宋体" w:eastAsia="宋体" w:cs="宋体"/>
                <w:color w:val="auto"/>
                <w:sz w:val="21"/>
                <w:szCs w:val="21"/>
              </w:rPr>
              <w:t>号-1</w:t>
            </w:r>
          </w:p>
        </w:tc>
        <w:tc>
          <w:tcPr>
            <w:tcW w:w="2177" w:type="pct"/>
            <w:vAlign w:val="center"/>
          </w:tcPr>
          <w:p w14:paraId="12EBF8E7">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2026年新华区平安家园民生综合保险项目</w:t>
            </w:r>
            <w:r>
              <w:rPr>
                <w:rFonts w:hint="eastAsia" w:ascii="宋体" w:hAnsi="宋体" w:eastAsia="宋体" w:cs="宋体"/>
                <w:color w:val="auto"/>
                <w:sz w:val="21"/>
                <w:szCs w:val="21"/>
                <w:lang w:val="en-US" w:eastAsia="zh-CN"/>
              </w:rPr>
              <w:t>一标段</w:t>
            </w:r>
          </w:p>
        </w:tc>
        <w:tc>
          <w:tcPr>
            <w:tcW w:w="876" w:type="pct"/>
            <w:vAlign w:val="center"/>
          </w:tcPr>
          <w:p w14:paraId="2352E0AB">
            <w:pPr>
              <w:jc w:val="center"/>
              <w:rPr>
                <w:rFonts w:hint="eastAsia" w:ascii="宋体" w:hAnsi="宋体" w:eastAsia="宋体" w:cs="宋体"/>
                <w:color w:val="auto"/>
                <w:sz w:val="21"/>
                <w:szCs w:val="21"/>
              </w:rPr>
            </w:pPr>
            <w:r>
              <w:rPr>
                <w:rFonts w:hint="eastAsia" w:ascii="宋体" w:hAnsi="宋体"/>
                <w:color w:val="auto"/>
                <w:sz w:val="21"/>
                <w:szCs w:val="21"/>
                <w:highlight w:val="none"/>
                <w:lang w:val="en-US" w:eastAsia="zh-CN"/>
              </w:rPr>
              <w:t>679065.47</w:t>
            </w:r>
          </w:p>
        </w:tc>
        <w:tc>
          <w:tcPr>
            <w:tcW w:w="876" w:type="pct"/>
            <w:vAlign w:val="center"/>
          </w:tcPr>
          <w:p w14:paraId="7DF4311F">
            <w:pPr>
              <w:jc w:val="center"/>
              <w:rPr>
                <w:rFonts w:hint="eastAsia" w:ascii="宋体" w:hAnsi="宋体" w:eastAsia="宋体" w:cs="宋体"/>
                <w:color w:val="auto"/>
                <w:sz w:val="21"/>
                <w:szCs w:val="21"/>
              </w:rPr>
            </w:pPr>
            <w:r>
              <w:rPr>
                <w:rFonts w:hint="eastAsia" w:ascii="宋体" w:hAnsi="宋体"/>
                <w:color w:val="auto"/>
                <w:sz w:val="21"/>
                <w:szCs w:val="21"/>
                <w:highlight w:val="none"/>
                <w:lang w:val="en-US" w:eastAsia="zh-CN"/>
              </w:rPr>
              <w:t>679065.47</w:t>
            </w:r>
          </w:p>
        </w:tc>
      </w:tr>
    </w:tbl>
    <w:p w14:paraId="18611C35">
      <w:pPr>
        <w:spacing w:line="440" w:lineRule="exact"/>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5、采购需求（包括但不限于标的的名称、数量、简要技术需求或服务要求等）</w:t>
      </w:r>
    </w:p>
    <w:bookmarkEnd w:id="3"/>
    <w:p w14:paraId="794F57EB">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5.1采购内容：</w:t>
      </w:r>
      <w:r>
        <w:rPr>
          <w:rFonts w:hint="eastAsia" w:ascii="宋体" w:hAnsi="宋体" w:eastAsia="宋体" w:cs="宋体"/>
          <w:color w:val="auto"/>
          <w:sz w:val="21"/>
          <w:szCs w:val="21"/>
          <w:lang w:eastAsia="zh-CN"/>
        </w:rPr>
        <w:t>中共平顶山市新华区委政法委员会新华区平安家园民生综合保险项目，</w:t>
      </w:r>
      <w:r>
        <w:rPr>
          <w:rFonts w:hint="eastAsia" w:ascii="宋体" w:hAnsi="宋体" w:eastAsia="宋体" w:cs="宋体"/>
          <w:color w:val="auto"/>
          <w:sz w:val="21"/>
          <w:szCs w:val="21"/>
        </w:rPr>
        <w:t>在辖区内，当灾难降临后，由保险公司对受灾群众的财物损失及人身伤亡进行赔付</w:t>
      </w:r>
      <w:r>
        <w:rPr>
          <w:rFonts w:hint="eastAsia" w:ascii="宋体" w:hAnsi="宋体" w:eastAsia="宋体" w:cs="宋体"/>
          <w:color w:val="auto"/>
          <w:sz w:val="21"/>
          <w:szCs w:val="21"/>
          <w:lang w:eastAsia="zh-CN"/>
        </w:rPr>
        <w:t>，具体内容详见采购文件</w:t>
      </w:r>
      <w:r>
        <w:rPr>
          <w:rFonts w:hint="eastAsia" w:ascii="宋体" w:hAnsi="宋体" w:eastAsia="宋体" w:cs="宋体"/>
          <w:color w:val="auto"/>
          <w:sz w:val="21"/>
          <w:szCs w:val="21"/>
          <w:lang w:val="en-US" w:eastAsia="zh-CN"/>
        </w:rPr>
        <w:t>。</w:t>
      </w:r>
    </w:p>
    <w:p w14:paraId="7D5260D4">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5.2资金及落实情况：财政资金，已落实；</w:t>
      </w:r>
    </w:p>
    <w:p w14:paraId="262B4DE5">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5.3</w:t>
      </w:r>
      <w:r>
        <w:rPr>
          <w:rFonts w:hint="eastAsia" w:ascii="宋体" w:hAnsi="宋体" w:eastAsia="宋体" w:cs="宋体"/>
          <w:color w:val="auto"/>
          <w:sz w:val="21"/>
          <w:szCs w:val="21"/>
          <w:lang w:eastAsia="zh-CN"/>
        </w:rPr>
        <w:t>服务地点</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平顶山市新华区；</w:t>
      </w:r>
    </w:p>
    <w:p w14:paraId="543D644A">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服务期限：1年；</w:t>
      </w:r>
    </w:p>
    <w:p w14:paraId="252B6082">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质量要求：合格，符合国家相关规定及行业标准要求；</w:t>
      </w:r>
    </w:p>
    <w:p w14:paraId="60D443E0">
      <w:pPr>
        <w:spacing w:line="44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5.</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标段划分：</w:t>
      </w:r>
      <w:r>
        <w:rPr>
          <w:rFonts w:hint="eastAsia" w:ascii="宋体" w:hAnsi="宋体" w:eastAsia="宋体" w:cs="宋体"/>
          <w:color w:val="auto"/>
          <w:sz w:val="21"/>
          <w:szCs w:val="21"/>
          <w:lang w:val="en-US" w:eastAsia="zh-CN"/>
        </w:rPr>
        <w:t>本项目共划分两个标段。</w:t>
      </w:r>
    </w:p>
    <w:p w14:paraId="6786648F">
      <w:pPr>
        <w:spacing w:line="44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一标段：以光明路为界，以东为第一标段，矿工路街道、中兴路街道、光明路街道、湛北路街道4个街道辖区境内的平安家园民生综合保险业务。</w:t>
      </w:r>
    </w:p>
    <w:p w14:paraId="4950CC4B">
      <w:pPr>
        <w:spacing w:line="440" w:lineRule="exact"/>
        <w:ind w:firstLine="422" w:firstLineChars="200"/>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rPr>
        <w:t>6、合同履约期限：</w:t>
      </w:r>
      <w:r>
        <w:rPr>
          <w:rFonts w:hint="eastAsia" w:ascii="宋体" w:hAnsi="宋体" w:eastAsia="宋体" w:cs="宋体"/>
          <w:color w:val="auto"/>
          <w:sz w:val="21"/>
          <w:szCs w:val="21"/>
          <w:lang w:val="en-US" w:eastAsia="zh-CN"/>
        </w:rPr>
        <w:t>同服务期限</w:t>
      </w:r>
    </w:p>
    <w:p w14:paraId="3184B405">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7、本项目是否接受联合体投标：</w:t>
      </w:r>
      <w:r>
        <w:rPr>
          <w:rFonts w:hint="eastAsia" w:ascii="宋体" w:hAnsi="宋体" w:eastAsia="宋体" w:cs="宋体"/>
          <w:color w:val="auto"/>
          <w:sz w:val="21"/>
          <w:szCs w:val="21"/>
        </w:rPr>
        <w:t>否</w:t>
      </w:r>
    </w:p>
    <w:p w14:paraId="275C44A1">
      <w:pPr>
        <w:spacing w:line="440" w:lineRule="exact"/>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8、是否接受进口产品</w:t>
      </w:r>
      <w:r>
        <w:rPr>
          <w:rFonts w:hint="eastAsia" w:ascii="宋体" w:hAnsi="宋体" w:eastAsia="宋体" w:cs="宋体"/>
          <w:color w:val="auto"/>
          <w:sz w:val="21"/>
          <w:szCs w:val="21"/>
        </w:rPr>
        <w:t>：否</w:t>
      </w:r>
    </w:p>
    <w:p w14:paraId="7F54200E">
      <w:pPr>
        <w:spacing w:line="460" w:lineRule="exact"/>
        <w:ind w:firstLine="420" w:firstLineChars="199"/>
        <w:rPr>
          <w:rFonts w:hint="eastAsia" w:ascii="宋体" w:hAnsi="宋体" w:eastAsia="宋体" w:cs="宋体"/>
          <w:b/>
          <w:bCs/>
          <w:color w:val="auto"/>
          <w:kern w:val="0"/>
          <w:sz w:val="21"/>
          <w:szCs w:val="21"/>
        </w:rPr>
      </w:pPr>
      <w:r>
        <w:rPr>
          <w:rFonts w:hint="eastAsia" w:ascii="宋体" w:hAnsi="宋体" w:eastAsia="宋体" w:cs="宋体"/>
          <w:b/>
          <w:bCs/>
          <w:color w:val="auto"/>
          <w:kern w:val="0"/>
          <w:sz w:val="21"/>
          <w:szCs w:val="21"/>
        </w:rPr>
        <w:t>9、是否专门面向中小企业：</w:t>
      </w:r>
      <w:r>
        <w:rPr>
          <w:rFonts w:hint="eastAsia" w:ascii="宋体" w:hAnsi="宋体" w:eastAsia="宋体" w:cs="宋体"/>
          <w:color w:val="auto"/>
          <w:sz w:val="21"/>
          <w:szCs w:val="21"/>
        </w:rPr>
        <w:t>否</w:t>
      </w:r>
    </w:p>
    <w:p w14:paraId="7C487501">
      <w:pPr>
        <w:spacing w:after="120" w:line="440" w:lineRule="exact"/>
        <w:ind w:firstLine="211" w:firstLineChars="100"/>
        <w:rPr>
          <w:rFonts w:hint="eastAsia" w:ascii="宋体" w:hAnsi="宋体" w:eastAsia="宋体" w:cs="宋体"/>
          <w:b/>
          <w:bCs/>
          <w:color w:val="auto"/>
          <w:sz w:val="21"/>
          <w:szCs w:val="21"/>
        </w:rPr>
      </w:pPr>
      <w:r>
        <w:rPr>
          <w:rFonts w:hint="eastAsia" w:ascii="宋体" w:hAnsi="宋体" w:eastAsia="宋体" w:cs="宋体"/>
          <w:b/>
          <w:bCs/>
          <w:color w:val="auto"/>
          <w:sz w:val="21"/>
          <w:szCs w:val="21"/>
        </w:rPr>
        <w:t>二、申请人资格要求：</w:t>
      </w:r>
    </w:p>
    <w:p w14:paraId="49673AF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 </w:t>
      </w:r>
    </w:p>
    <w:p w14:paraId="0CC8F5F5">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2、落实政府采购政策满足的资格要求：</w:t>
      </w:r>
      <w:r>
        <w:rPr>
          <w:rFonts w:hint="eastAsia" w:ascii="宋体" w:hAnsi="宋体" w:eastAsia="宋体" w:cs="宋体"/>
          <w:sz w:val="21"/>
          <w:szCs w:val="21"/>
          <w:lang w:val="en-US" w:eastAsia="zh-CN"/>
        </w:rPr>
        <w:t>本项目非专门面向中小企业采购，供应商为小微企业、监狱企业、残疾人福利性单位，落实中小企业价格评审优惠政策； 中小企业划型标准请依据工信部联企业〔2011〕300号文件之规定。</w:t>
      </w:r>
    </w:p>
    <w:p w14:paraId="0317FF7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3、本项目的特定资格要求</w:t>
      </w:r>
    </w:p>
    <w:p w14:paraId="2FD2887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3.1具有有效的营业执照或电子营业执照（本项目接受分支机构投标，但需提供总公司的授权，同一保险公司的不同总、分（支）公司，不得同时参加本项目的投标）；</w:t>
      </w:r>
    </w:p>
    <w:p w14:paraId="2E7DDDB9">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3.2具有国家金融监督管理总局（原中国银行保险监督管理委员会或原中国保险监督管理委员会）颁发的《保险许可证》；</w:t>
      </w:r>
    </w:p>
    <w:p w14:paraId="2DC9C9F0">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3.3</w:t>
      </w:r>
      <w:r>
        <w:rPr>
          <w:rFonts w:hint="eastAsia" w:ascii="宋体" w:hAnsi="宋体" w:eastAsia="宋体" w:cs="宋体"/>
          <w:color w:val="auto"/>
          <w:sz w:val="21"/>
          <w:szCs w:val="21"/>
        </w:rPr>
        <w:t>单位负责人为同一人或存在控股、管理关系的不同单位，不得同时参加本项目的投标（提供相关证明材料或提供承诺书）；</w:t>
      </w:r>
    </w:p>
    <w:p w14:paraId="0BB92413">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为贯彻落实《关于促进政府采购公平竞争优化营商环境的通知》（财库〔2</w:t>
      </w:r>
      <w:r>
        <w:rPr>
          <w:rFonts w:hint="eastAsia" w:ascii="宋体" w:hAnsi="宋体" w:eastAsia="宋体" w:cs="宋体"/>
          <w:sz w:val="21"/>
          <w:szCs w:val="21"/>
        </w:rPr>
        <w:t>019〕38号）和《关于全面推行证明事项和涉企经营许可事项告知承诺制的指导意见》（国办发〔2020〕42号），降低供应商参与政府采购活动的制度性交易成本，持续优化政府采购营商环境。在本次招标活动中，供应商只需</w:t>
      </w:r>
      <w:r>
        <w:rPr>
          <w:rFonts w:hint="eastAsia" w:ascii="宋体" w:hAnsi="宋体" w:eastAsia="宋体" w:cs="宋体"/>
          <w:sz w:val="21"/>
          <w:szCs w:val="21"/>
          <w:lang w:val="en-US" w:eastAsia="zh-CN"/>
        </w:rPr>
        <w:t>提供</w:t>
      </w:r>
      <w:r>
        <w:rPr>
          <w:rFonts w:hint="eastAsia" w:ascii="宋体" w:hAnsi="宋体" w:eastAsia="宋体" w:cs="宋体"/>
          <w:sz w:val="21"/>
          <w:szCs w:val="21"/>
        </w:rPr>
        <w:t>政府采购供应商信用承诺书</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格式详见磋商文件</w:t>
      </w:r>
      <w:r>
        <w:rPr>
          <w:rFonts w:hint="eastAsia" w:ascii="宋体" w:hAnsi="宋体" w:eastAsia="宋体" w:cs="宋体"/>
          <w:sz w:val="21"/>
          <w:szCs w:val="21"/>
        </w:rPr>
        <w:t>），不再需要提供以下证明材料：</w:t>
      </w:r>
    </w:p>
    <w:p w14:paraId="7F85BBA6">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（1）具有良好的商业信誉的证明材料；</w:t>
      </w:r>
    </w:p>
    <w:p w14:paraId="35A91A65">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（2）符合国家相关规定的财务状况报告；</w:t>
      </w:r>
    </w:p>
    <w:p w14:paraId="3943AEC5">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（3）具备履行政府采购合同所必需的设备和专业技术能力的证明材料；</w:t>
      </w:r>
    </w:p>
    <w:p w14:paraId="2EAD4BD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（4）依法缴纳税收和社会保障资金的证明材料；</w:t>
      </w:r>
    </w:p>
    <w:p w14:paraId="3AC0E3D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（5）参加政府采购活动前三年内在经营活动中没有重大违法记录的证明材料；</w:t>
      </w:r>
    </w:p>
    <w:p w14:paraId="3C04E82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（6）未被列入失信被执行人、重大税收违法失信主体、政府采购严重违法失信行为记录名单的证明材料。</w:t>
      </w:r>
    </w:p>
    <w:p w14:paraId="421CE6C1">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注：</w:t>
      </w:r>
      <w:r>
        <w:rPr>
          <w:rFonts w:hint="eastAsia" w:ascii="宋体" w:hAnsi="宋体" w:eastAsia="宋体" w:cs="宋体"/>
          <w:sz w:val="21"/>
          <w:szCs w:val="21"/>
          <w:lang w:val="en-US" w:eastAsia="zh-CN"/>
        </w:rPr>
        <w:t>根据</w:t>
      </w:r>
      <w:r>
        <w:rPr>
          <w:rFonts w:hint="eastAsia" w:ascii="宋体" w:hAnsi="宋体" w:eastAsia="宋体" w:cs="宋体"/>
          <w:sz w:val="21"/>
          <w:szCs w:val="21"/>
        </w:rPr>
        <w:t>财库〔2016〕125号文，采购人、代理机构在开标时通过“信用中国”、“中国执行信息公开网”及“中国政府采购网”查询供应商信用情况，如有不良情况，按无效标处理</w:t>
      </w:r>
      <w:r>
        <w:rPr>
          <w:rFonts w:hint="eastAsia" w:ascii="宋体" w:hAnsi="宋体" w:eastAsia="宋体" w:cs="宋体"/>
          <w:sz w:val="21"/>
          <w:szCs w:val="21"/>
          <w:lang w:eastAsia="zh-CN"/>
        </w:rPr>
        <w:t>；</w:t>
      </w:r>
    </w:p>
    <w:p w14:paraId="1390E6B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5</w:t>
      </w:r>
      <w:r>
        <w:rPr>
          <w:rFonts w:hint="eastAsia" w:ascii="宋体" w:hAnsi="宋体" w:eastAsia="宋体" w:cs="宋体"/>
          <w:sz w:val="21"/>
          <w:szCs w:val="21"/>
        </w:rPr>
        <w:t>供应商所提供资料必须真实有效并提供资料真实有效承诺书，并愿意承担因就提供虚假资料随时视为放弃中标资格并承担由此引起的一切不良和法律后果（提供承诺书，格式自拟）</w:t>
      </w:r>
      <w:r>
        <w:rPr>
          <w:rFonts w:hint="eastAsia" w:ascii="宋体" w:hAnsi="宋体" w:eastAsia="宋体" w:cs="宋体"/>
          <w:sz w:val="21"/>
          <w:szCs w:val="21"/>
          <w:lang w:eastAsia="zh-CN"/>
        </w:rPr>
        <w:t>；</w:t>
      </w:r>
    </w:p>
    <w:p w14:paraId="16B951E5">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6</w:t>
      </w:r>
      <w:r>
        <w:rPr>
          <w:rFonts w:hint="eastAsia" w:ascii="宋体" w:hAnsi="宋体" w:eastAsia="宋体" w:cs="宋体"/>
          <w:sz w:val="21"/>
          <w:szCs w:val="21"/>
        </w:rPr>
        <w:t>本次采购采用资格后审，不接受联合体投标</w:t>
      </w:r>
      <w:r>
        <w:rPr>
          <w:rFonts w:hint="eastAsia" w:ascii="宋体" w:hAnsi="宋体" w:eastAsia="宋体" w:cs="宋体"/>
          <w:sz w:val="21"/>
          <w:szCs w:val="21"/>
          <w:lang w:eastAsia="zh-CN"/>
        </w:rPr>
        <w:t>。</w:t>
      </w:r>
    </w:p>
    <w:p w14:paraId="3D5E74C6">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三、获取采购文件</w:t>
      </w:r>
    </w:p>
    <w:p w14:paraId="403998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1.时间：</w:t>
      </w:r>
      <w:r>
        <w:rPr>
          <w:rFonts w:hint="eastAsia" w:ascii="宋体" w:hAnsi="宋体" w:eastAsia="宋体" w:cs="宋体"/>
          <w:sz w:val="21"/>
          <w:szCs w:val="21"/>
          <w:lang w:val="en-US" w:eastAsia="zh-CN"/>
        </w:rPr>
        <w:t>2026</w:t>
      </w:r>
      <w:r>
        <w:rPr>
          <w:rFonts w:hint="eastAsia" w:ascii="宋体" w:hAnsi="宋体" w:eastAsia="宋体" w:cs="宋体"/>
          <w:sz w:val="21"/>
          <w:szCs w:val="21"/>
        </w:rPr>
        <w:t>年</w:t>
      </w:r>
      <w:r>
        <w:rPr>
          <w:rFonts w:hint="eastAsia" w:ascii="宋体" w:hAnsi="宋体" w:eastAsia="宋体" w:cs="宋体"/>
          <w:sz w:val="21"/>
          <w:szCs w:val="21"/>
          <w:lang w:val="en-US" w:eastAsia="zh-CN"/>
        </w:rPr>
        <w:t>2</w:t>
      </w:r>
      <w:r>
        <w:rPr>
          <w:rFonts w:hint="eastAsia" w:ascii="宋体" w:hAnsi="宋体" w:eastAsia="宋体" w:cs="宋体"/>
          <w:sz w:val="21"/>
          <w:szCs w:val="21"/>
        </w:rPr>
        <w:t>月</w:t>
      </w:r>
      <w:r>
        <w:rPr>
          <w:rFonts w:hint="eastAsia" w:ascii="宋体" w:hAnsi="宋体" w:eastAsia="宋体" w:cs="宋体"/>
          <w:sz w:val="21"/>
          <w:szCs w:val="21"/>
          <w:lang w:val="en-US" w:eastAsia="zh-CN"/>
        </w:rPr>
        <w:t>2</w:t>
      </w:r>
      <w:r>
        <w:rPr>
          <w:rFonts w:hint="eastAsia" w:ascii="宋体" w:hAnsi="宋体" w:eastAsia="宋体" w:cs="宋体"/>
          <w:sz w:val="21"/>
          <w:szCs w:val="21"/>
        </w:rPr>
        <w:t>日至</w:t>
      </w:r>
      <w:r>
        <w:rPr>
          <w:rFonts w:hint="eastAsia" w:ascii="宋体" w:hAnsi="宋体" w:eastAsia="宋体" w:cs="宋体"/>
          <w:sz w:val="21"/>
          <w:szCs w:val="21"/>
          <w:lang w:val="en-US" w:eastAsia="zh-CN"/>
        </w:rPr>
        <w:t>2026</w:t>
      </w:r>
      <w:r>
        <w:rPr>
          <w:rFonts w:hint="eastAsia" w:ascii="宋体" w:hAnsi="宋体" w:eastAsia="宋体" w:cs="宋体"/>
          <w:sz w:val="21"/>
          <w:szCs w:val="21"/>
        </w:rPr>
        <w:t>年</w:t>
      </w:r>
      <w:r>
        <w:rPr>
          <w:rFonts w:hint="eastAsia" w:ascii="宋体" w:hAnsi="宋体" w:eastAsia="宋体" w:cs="宋体"/>
          <w:sz w:val="21"/>
          <w:szCs w:val="21"/>
          <w:lang w:val="en-US" w:eastAsia="zh-CN"/>
        </w:rPr>
        <w:t>2</w:t>
      </w:r>
      <w:r>
        <w:rPr>
          <w:rFonts w:hint="eastAsia" w:ascii="宋体" w:hAnsi="宋体" w:eastAsia="宋体" w:cs="宋体"/>
          <w:sz w:val="21"/>
          <w:szCs w:val="21"/>
        </w:rPr>
        <w:t>月</w:t>
      </w:r>
      <w:r>
        <w:rPr>
          <w:rFonts w:hint="eastAsia" w:ascii="宋体" w:hAnsi="宋体" w:eastAsia="宋体" w:cs="宋体"/>
          <w:sz w:val="21"/>
          <w:szCs w:val="21"/>
          <w:lang w:val="en-US" w:eastAsia="zh-CN"/>
        </w:rPr>
        <w:t>25</w:t>
      </w:r>
      <w:r>
        <w:rPr>
          <w:rFonts w:hint="eastAsia" w:ascii="宋体" w:hAnsi="宋体" w:eastAsia="宋体" w:cs="宋体"/>
          <w:sz w:val="21"/>
          <w:szCs w:val="21"/>
        </w:rPr>
        <w:t>日，每天上午00:00至12:00，下午12:00至23:59（北京时间）</w:t>
      </w:r>
    </w:p>
    <w:p w14:paraId="0898DC7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2.地点：平顶山市公共资源交易中心电子交易系统；</w:t>
      </w:r>
    </w:p>
    <w:p w14:paraId="19A7A81E">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方式：潜在供应商需凭CA数字证书通过平顶山市公共资源交易中心网站（网址：http://ggzy.pds.gov.cn/）“登陆业务系统”入口进入电子交易系统下载采购文件，具体操作请查看以下链接：http://ggzy.pds.gov.cn/fwzn/11020.jhtml。</w:t>
      </w:r>
    </w:p>
    <w:p w14:paraId="793A0812">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办理CA 证书：http://ggzy.pds.gov.cn/tzgg/10814.jhtml。</w:t>
      </w:r>
    </w:p>
    <w:p w14:paraId="0D84F6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4.售价：0元。</w:t>
      </w:r>
    </w:p>
    <w:p w14:paraId="5A71C386">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四、响应文件提交</w:t>
      </w:r>
    </w:p>
    <w:p w14:paraId="18DC27D9">
      <w:pPr>
        <w:widowControl/>
        <w:shd w:val="clear" w:color="auto" w:fill="FFFFFF"/>
        <w:snapToGrid w:val="0"/>
        <w:spacing w:line="360" w:lineRule="auto"/>
        <w:ind w:firstLine="480"/>
        <w:jc w:val="left"/>
        <w:rPr>
          <w:rFonts w:hint="eastAsia" w:ascii="宋体" w:hAnsi="宋体" w:eastAsia="宋体" w:cs="宋体"/>
          <w:kern w:val="0"/>
          <w:sz w:val="21"/>
          <w:szCs w:val="21"/>
        </w:rPr>
      </w:pPr>
      <w:r>
        <w:rPr>
          <w:rFonts w:hint="eastAsia" w:ascii="宋体" w:hAnsi="宋体" w:eastAsia="宋体" w:cs="宋体"/>
          <w:kern w:val="0"/>
          <w:sz w:val="21"/>
          <w:szCs w:val="21"/>
        </w:rPr>
        <w:t>1、截</w:t>
      </w:r>
      <w:r>
        <w:rPr>
          <w:rFonts w:hint="eastAsia" w:ascii="宋体" w:hAnsi="宋体" w:eastAsia="宋体" w:cs="宋体"/>
          <w:kern w:val="0"/>
          <w:sz w:val="21"/>
          <w:szCs w:val="21"/>
          <w:lang w:val="en-US" w:eastAsia="zh-CN"/>
        </w:rPr>
        <w:t>止</w:t>
      </w:r>
      <w:r>
        <w:rPr>
          <w:rFonts w:hint="eastAsia" w:ascii="宋体" w:hAnsi="宋体" w:eastAsia="宋体" w:cs="宋体"/>
          <w:kern w:val="0"/>
          <w:sz w:val="21"/>
          <w:szCs w:val="21"/>
        </w:rPr>
        <w:t>时间：</w:t>
      </w: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r>
        <w:rPr>
          <w:rFonts w:hint="eastAsia" w:ascii="宋体" w:hAnsi="宋体" w:eastAsia="宋体" w:cs="宋体"/>
          <w:kern w:val="0"/>
          <w:sz w:val="21"/>
          <w:szCs w:val="21"/>
        </w:rPr>
        <w:t>（北京时间）</w:t>
      </w:r>
    </w:p>
    <w:p w14:paraId="5C24EA92">
      <w:pPr>
        <w:widowControl/>
        <w:shd w:val="clear" w:color="auto" w:fill="FFFFFF"/>
        <w:snapToGrid w:val="0"/>
        <w:spacing w:line="360" w:lineRule="auto"/>
        <w:ind w:firstLine="480"/>
        <w:jc w:val="left"/>
        <w:rPr>
          <w:rFonts w:hint="eastAsia" w:ascii="宋体" w:hAnsi="宋体" w:eastAsia="宋体" w:cs="宋体"/>
          <w:kern w:val="0"/>
          <w:sz w:val="21"/>
          <w:szCs w:val="21"/>
        </w:rPr>
      </w:pPr>
      <w:r>
        <w:rPr>
          <w:rFonts w:hint="eastAsia" w:ascii="宋体" w:hAnsi="宋体" w:eastAsia="宋体" w:cs="宋体"/>
          <w:kern w:val="0"/>
          <w:sz w:val="21"/>
          <w:szCs w:val="21"/>
        </w:rPr>
        <w:t>2、地点：平顶山市</w:t>
      </w:r>
      <w:r>
        <w:rPr>
          <w:rFonts w:hint="eastAsia" w:ascii="宋体" w:hAnsi="宋体" w:eastAsia="宋体" w:cs="宋体"/>
          <w:kern w:val="0"/>
          <w:sz w:val="21"/>
          <w:szCs w:val="21"/>
          <w:shd w:val="clear" w:color="auto" w:fill="FFFFFF"/>
        </w:rPr>
        <w:t>公共资源交易中心电子交易系统。</w:t>
      </w:r>
    </w:p>
    <w:p w14:paraId="771E4BFB">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五、响应文件开启</w:t>
      </w:r>
    </w:p>
    <w:p w14:paraId="010CCE23">
      <w:pPr>
        <w:widowControl/>
        <w:shd w:val="clear" w:color="auto" w:fill="FFFFFF"/>
        <w:snapToGrid w:val="0"/>
        <w:spacing w:line="360" w:lineRule="auto"/>
        <w:ind w:firstLine="525" w:firstLineChars="250"/>
        <w:jc w:val="left"/>
        <w:rPr>
          <w:rFonts w:hint="eastAsia" w:ascii="宋体" w:hAnsi="宋体" w:eastAsia="宋体" w:cs="宋体"/>
          <w:kern w:val="0"/>
          <w:sz w:val="21"/>
          <w:szCs w:val="21"/>
        </w:rPr>
      </w:pPr>
      <w:r>
        <w:rPr>
          <w:rFonts w:hint="eastAsia" w:ascii="宋体" w:hAnsi="宋体" w:eastAsia="宋体" w:cs="宋体"/>
          <w:kern w:val="0"/>
          <w:sz w:val="21"/>
          <w:szCs w:val="21"/>
        </w:rPr>
        <w:t>1、时间：</w:t>
      </w: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r>
        <w:rPr>
          <w:rFonts w:hint="eastAsia" w:ascii="宋体" w:hAnsi="宋体" w:eastAsia="宋体" w:cs="宋体"/>
          <w:kern w:val="0"/>
          <w:sz w:val="21"/>
          <w:szCs w:val="21"/>
          <w:shd w:val="clear" w:color="auto" w:fill="FFFFFF"/>
        </w:rPr>
        <w:t>（北京时间）</w:t>
      </w:r>
    </w:p>
    <w:p w14:paraId="70705A60">
      <w:pPr>
        <w:widowControl/>
        <w:shd w:val="clear" w:color="auto" w:fill="FFFFFF"/>
        <w:snapToGrid w:val="0"/>
        <w:spacing w:line="360" w:lineRule="auto"/>
        <w:ind w:firstLine="480"/>
        <w:jc w:val="left"/>
        <w:rPr>
          <w:rFonts w:hint="eastAsia" w:ascii="宋体" w:hAnsi="宋体" w:eastAsia="宋体" w:cs="宋体"/>
          <w:kern w:val="0"/>
          <w:sz w:val="21"/>
          <w:szCs w:val="21"/>
        </w:rPr>
      </w:pPr>
      <w:r>
        <w:rPr>
          <w:rFonts w:hint="eastAsia" w:ascii="宋体" w:hAnsi="宋体" w:eastAsia="宋体" w:cs="宋体"/>
          <w:kern w:val="0"/>
          <w:sz w:val="21"/>
          <w:szCs w:val="21"/>
        </w:rPr>
        <w:t>2、地点：平顶山市</w:t>
      </w:r>
      <w:r>
        <w:rPr>
          <w:rFonts w:hint="eastAsia" w:ascii="宋体" w:hAnsi="宋体" w:eastAsia="宋体" w:cs="宋体"/>
          <w:kern w:val="0"/>
          <w:sz w:val="21"/>
          <w:szCs w:val="21"/>
          <w:shd w:val="clear" w:color="auto" w:fill="FFFFFF"/>
        </w:rPr>
        <w:t>公共资源交易中心电子交易系统。</w:t>
      </w:r>
    </w:p>
    <w:p w14:paraId="1CD10F74">
      <w:pPr>
        <w:spacing w:line="360" w:lineRule="auto"/>
        <w:rPr>
          <w:rFonts w:hint="eastAsia" w:ascii="宋体" w:hAnsi="宋体" w:eastAsia="宋体" w:cs="宋体"/>
          <w:b/>
          <w:sz w:val="21"/>
          <w:szCs w:val="21"/>
        </w:rPr>
      </w:pPr>
      <w:r>
        <w:rPr>
          <w:rFonts w:hint="eastAsia" w:ascii="宋体" w:hAnsi="宋体" w:eastAsia="宋体" w:cs="宋体"/>
          <w:b/>
          <w:bCs/>
          <w:sz w:val="21"/>
          <w:szCs w:val="21"/>
        </w:rPr>
        <w:t>六、发布公告的媒介及招标公告期限</w:t>
      </w:r>
    </w:p>
    <w:p w14:paraId="3BDEEB3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次公告在《河南省政府采购网》《平顶山市政府采购网》《平顶山市新华区政府采购网》《全国公共资源交易平台（河南省·平顶山市）》《河南省公共资源交易公共服务平台》上发布。公告期限为三个工作日。</w:t>
      </w:r>
    </w:p>
    <w:p w14:paraId="78E9BAE5">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七、其他补充事宜</w:t>
      </w:r>
    </w:p>
    <w:p w14:paraId="1E054CD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1、全面实行在线“不见面”开标，供应商远程在线解密投标文件，不再到开标现场，供应商开标前应仔细阅读《关于“不见面开标系统”升级的通知》。逾期上传的投标文件，采购人不予受理。</w:t>
      </w:r>
    </w:p>
    <w:p w14:paraId="4C6228F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2、该公告已同步至“平顶山市公共资源交易中心微信公众号”，可通过公众号中的服务栏目进行查阅。</w:t>
      </w:r>
    </w:p>
    <w:p w14:paraId="6CCADA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3、本项目落实扶持不发达地区和少数民族地区，绿色发展、中小微型企业、监狱企业、残疾人福利性单位发展等相关政府采购政策。</w:t>
      </w:r>
    </w:p>
    <w:p w14:paraId="3D22FA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4、投标人或其他利害关系人对本次</w:t>
      </w:r>
      <w:r>
        <w:rPr>
          <w:rFonts w:hint="eastAsia" w:ascii="宋体" w:hAnsi="宋体" w:eastAsia="宋体" w:cs="宋体"/>
          <w:sz w:val="21"/>
          <w:szCs w:val="21"/>
          <w:lang w:val="en-US" w:eastAsia="zh-CN"/>
        </w:rPr>
        <w:t>采购公告</w:t>
      </w:r>
      <w:r>
        <w:rPr>
          <w:rFonts w:hint="eastAsia" w:ascii="宋体" w:hAnsi="宋体" w:eastAsia="宋体" w:cs="宋体"/>
          <w:sz w:val="21"/>
          <w:szCs w:val="21"/>
        </w:rPr>
        <w:t>如有异议</w:t>
      </w:r>
      <w:r>
        <w:rPr>
          <w:rFonts w:hint="eastAsia" w:ascii="宋体" w:hAnsi="宋体" w:eastAsia="宋体" w:cs="宋体"/>
          <w:sz w:val="21"/>
          <w:szCs w:val="21"/>
          <w:lang w:eastAsia="zh-CN"/>
        </w:rPr>
        <w:t>，</w:t>
      </w:r>
      <w:r>
        <w:rPr>
          <w:rFonts w:hint="eastAsia" w:ascii="宋体" w:hAnsi="宋体" w:eastAsia="宋体" w:cs="宋体"/>
          <w:sz w:val="21"/>
          <w:szCs w:val="21"/>
        </w:rPr>
        <w:t>请按中华人民共和国财政部令第94号《政府采购质疑和投诉办法》的相关规定，</w:t>
      </w:r>
      <w:r>
        <w:rPr>
          <w:rFonts w:hint="eastAsia" w:ascii="宋体" w:hAnsi="宋体" w:eastAsia="宋体" w:cs="宋体"/>
          <w:sz w:val="21"/>
          <w:szCs w:val="21"/>
          <w:lang w:val="en-US" w:eastAsia="zh-CN"/>
        </w:rPr>
        <w:t>在规定时间内，</w:t>
      </w:r>
      <w:r>
        <w:rPr>
          <w:rFonts w:hint="eastAsia" w:ascii="宋体" w:hAnsi="宋体" w:eastAsia="宋体" w:cs="宋体"/>
          <w:sz w:val="21"/>
          <w:szCs w:val="21"/>
        </w:rPr>
        <w:t>向采购人</w:t>
      </w:r>
      <w:r>
        <w:rPr>
          <w:rFonts w:hint="eastAsia" w:ascii="宋体" w:hAnsi="宋体" w:eastAsia="宋体" w:cs="宋体"/>
          <w:sz w:val="21"/>
          <w:szCs w:val="21"/>
          <w:lang w:eastAsia="zh-CN"/>
        </w:rPr>
        <w:t>、</w:t>
      </w:r>
      <w:r>
        <w:rPr>
          <w:rFonts w:hint="eastAsia" w:ascii="宋体" w:hAnsi="宋体" w:eastAsia="宋体" w:cs="宋体"/>
          <w:sz w:val="21"/>
          <w:szCs w:val="21"/>
        </w:rPr>
        <w:t>采购代理机构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政府采购监督部门</w:t>
      </w:r>
      <w:r>
        <w:rPr>
          <w:rFonts w:hint="eastAsia" w:ascii="宋体" w:hAnsi="宋体" w:eastAsia="宋体" w:cs="宋体"/>
          <w:sz w:val="21"/>
          <w:szCs w:val="21"/>
        </w:rPr>
        <w:t>提出质疑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投诉等事宜。</w:t>
      </w:r>
      <w:r>
        <w:rPr>
          <w:rFonts w:hint="eastAsia" w:ascii="宋体" w:hAnsi="宋体" w:eastAsia="宋体" w:cs="宋体"/>
          <w:sz w:val="21"/>
          <w:szCs w:val="21"/>
        </w:rPr>
        <w:t>逾期未提交或未按照要求提交的质疑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w:t>
      </w:r>
      <w:r>
        <w:rPr>
          <w:rFonts w:hint="eastAsia" w:ascii="宋体" w:hAnsi="宋体" w:eastAsia="宋体" w:cs="宋体"/>
          <w:sz w:val="21"/>
          <w:szCs w:val="21"/>
        </w:rPr>
        <w:t>将不予受理。</w:t>
      </w:r>
    </w:p>
    <w:p w14:paraId="27AD2D31">
      <w:pPr>
        <w:spacing w:line="360" w:lineRule="auto"/>
        <w:ind w:left="334" w:leftChars="139"/>
        <w:rPr>
          <w:rFonts w:hint="eastAsia" w:ascii="宋体" w:hAnsi="宋体" w:eastAsia="宋体" w:cs="宋体"/>
          <w:sz w:val="21"/>
          <w:szCs w:val="21"/>
        </w:rPr>
      </w:pPr>
      <w:r>
        <w:rPr>
          <w:rFonts w:hint="eastAsia" w:ascii="宋体" w:hAnsi="宋体" w:eastAsia="宋体" w:cs="宋体"/>
          <w:sz w:val="21"/>
          <w:szCs w:val="21"/>
        </w:rPr>
        <w:t xml:space="preserve">5、监督单位：平顶山市新华区财政局    </w:t>
      </w:r>
    </w:p>
    <w:p w14:paraId="4EEF25B7">
      <w:pPr>
        <w:spacing w:line="360" w:lineRule="auto"/>
        <w:ind w:left="334" w:leftChars="139"/>
        <w:rPr>
          <w:rFonts w:hint="eastAsia" w:ascii="宋体" w:hAnsi="宋体" w:eastAsia="宋体" w:cs="宋体"/>
          <w:sz w:val="21"/>
          <w:szCs w:val="21"/>
        </w:rPr>
      </w:pPr>
      <w:r>
        <w:rPr>
          <w:rFonts w:hint="eastAsia" w:ascii="宋体" w:hAnsi="宋体" w:eastAsia="宋体" w:cs="宋体"/>
          <w:sz w:val="21"/>
          <w:szCs w:val="21"/>
        </w:rPr>
        <w:t>联系方式：0375-7666036</w:t>
      </w:r>
    </w:p>
    <w:p w14:paraId="78C091AD">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八、凡对本次招标提出询问，请按照以下方式联系</w:t>
      </w:r>
    </w:p>
    <w:p w14:paraId="2432C5CD">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1.采购人信息</w:t>
      </w:r>
    </w:p>
    <w:p w14:paraId="4161F51E">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名称：中共平顶山市新华区委政法委员会</w:t>
      </w:r>
    </w:p>
    <w:p w14:paraId="3D7D8458">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地址：河南省平顶山市建设路西段277号院内</w:t>
      </w:r>
    </w:p>
    <w:p w14:paraId="6EFCC75D">
      <w:pPr>
        <w:spacing w:line="500" w:lineRule="exact"/>
        <w:ind w:firstLine="420" w:firstLineChars="200"/>
        <w:rPr>
          <w:rFonts w:hint="eastAsia" w:ascii="宋体" w:hAnsi="宋体" w:eastAsia="宋体" w:cs="宋体"/>
          <w:color w:val="FF0000"/>
          <w:sz w:val="21"/>
          <w:szCs w:val="21"/>
        </w:rPr>
      </w:pPr>
      <w:r>
        <w:rPr>
          <w:rFonts w:hint="eastAsia" w:ascii="宋体" w:hAnsi="宋体" w:eastAsia="宋体" w:cs="宋体"/>
          <w:sz w:val="21"/>
          <w:szCs w:val="21"/>
          <w:lang w:eastAsia="zh-CN"/>
        </w:rPr>
        <w:t>联系人：</w:t>
      </w:r>
      <w:r>
        <w:rPr>
          <w:rFonts w:hint="eastAsia" w:ascii="宋体" w:hAnsi="宋体" w:eastAsia="宋体" w:cs="宋体"/>
          <w:sz w:val="21"/>
          <w:szCs w:val="21"/>
          <w:lang w:val="en-US" w:eastAsia="zh-CN"/>
        </w:rPr>
        <w:t>牛老师</w:t>
      </w:r>
    </w:p>
    <w:p w14:paraId="3C090D5F">
      <w:pPr>
        <w:spacing w:line="500" w:lineRule="exact"/>
        <w:ind w:firstLine="420" w:firstLineChars="200"/>
        <w:rPr>
          <w:rFonts w:hint="default" w:ascii="宋体" w:hAnsi="宋体" w:eastAsia="宋体" w:cs="宋体"/>
          <w:color w:val="FF0000"/>
          <w:sz w:val="21"/>
          <w:szCs w:val="21"/>
          <w:lang w:val="en-US"/>
        </w:rPr>
      </w:pPr>
      <w:r>
        <w:rPr>
          <w:rFonts w:hint="eastAsia" w:ascii="宋体" w:hAnsi="宋体" w:eastAsia="宋体" w:cs="宋体"/>
          <w:sz w:val="21"/>
          <w:szCs w:val="21"/>
          <w:lang w:eastAsia="zh-CN"/>
        </w:rPr>
        <w:t>联系方式：0375-</w:t>
      </w:r>
      <w:r>
        <w:rPr>
          <w:rFonts w:hint="eastAsia" w:ascii="宋体" w:hAnsi="宋体" w:eastAsia="宋体" w:cs="宋体"/>
          <w:sz w:val="21"/>
          <w:szCs w:val="21"/>
          <w:lang w:val="en-US" w:eastAsia="zh-CN"/>
        </w:rPr>
        <w:t>2982001</w:t>
      </w:r>
    </w:p>
    <w:p w14:paraId="165CBF47">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2.采购代理机构信息</w:t>
      </w:r>
    </w:p>
    <w:bookmarkEnd w:id="2"/>
    <w:p w14:paraId="64EB80D8">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名称：河南易采工程管理有限公司</w:t>
      </w:r>
    </w:p>
    <w:p w14:paraId="42F68EE5">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地址：河南省平顶山市未来路中段中梁鹰城壹号院</w:t>
      </w:r>
    </w:p>
    <w:p w14:paraId="3B7F56DE">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联系人：吴女士</w:t>
      </w:r>
    </w:p>
    <w:p w14:paraId="55C1790D">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联系方式：0375-2555998、19939030802</w:t>
      </w:r>
    </w:p>
    <w:p w14:paraId="4C2A117C">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3.项目联系方式</w:t>
      </w:r>
    </w:p>
    <w:p w14:paraId="17D77DE1">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联系人：吴女士</w:t>
      </w:r>
    </w:p>
    <w:p w14:paraId="65B49169">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联系方式：0375-2555998</w:t>
      </w:r>
    </w:p>
    <w:p w14:paraId="163FAC99">
      <w:pPr>
        <w:spacing w:line="500" w:lineRule="exact"/>
        <w:ind w:firstLine="420" w:firstLineChars="200"/>
        <w:rPr>
          <w:rFonts w:hint="eastAsia" w:ascii="宋体" w:hAnsi="宋体" w:eastAsia="宋体" w:cs="宋体"/>
          <w:sz w:val="21"/>
          <w:szCs w:val="21"/>
        </w:rPr>
      </w:pPr>
    </w:p>
    <w:p w14:paraId="6E339A08">
      <w:pPr>
        <w:spacing w:line="500" w:lineRule="exact"/>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br w:type="page"/>
      </w:r>
    </w:p>
    <w:p w14:paraId="7929AA50">
      <w:pPr>
        <w:spacing w:line="360" w:lineRule="auto"/>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温馨提示：</w:t>
      </w:r>
    </w:p>
    <w:p w14:paraId="749244DB">
      <w:pPr>
        <w:spacing w:line="360" w:lineRule="auto"/>
        <w:ind w:firstLine="420" w:firstLineChars="200"/>
        <w:rPr>
          <w:rFonts w:hint="eastAsia" w:ascii="宋体" w:hAnsi="宋体" w:eastAsia="宋体" w:cs="宋体"/>
          <w:sz w:val="21"/>
          <w:szCs w:val="21"/>
        </w:rPr>
      </w:pPr>
    </w:p>
    <w:p w14:paraId="0E8F962F">
      <w:pPr>
        <w:shd w:val="clear" w:color="auto" w:fill="FFFFFF"/>
        <w:adjustRightInd w:val="0"/>
        <w:snapToGrid w:val="0"/>
        <w:spacing w:line="360" w:lineRule="auto"/>
        <w:ind w:firstLine="482"/>
        <w:rPr>
          <w:rFonts w:hint="eastAsia" w:ascii="宋体" w:hAnsi="宋体" w:eastAsia="宋体" w:cs="宋体"/>
          <w:bCs/>
          <w:sz w:val="21"/>
          <w:szCs w:val="21"/>
        </w:rPr>
      </w:pPr>
      <w:r>
        <w:rPr>
          <w:rFonts w:hint="eastAsia" w:ascii="宋体" w:hAnsi="宋体" w:eastAsia="宋体" w:cs="宋体"/>
          <w:bCs/>
          <w:sz w:val="21"/>
          <w:szCs w:val="21"/>
        </w:rPr>
        <w:t>本项目为全流程电子化交易项目，请认真阅读磋商文件，并注意以下事项。</w:t>
      </w:r>
    </w:p>
    <w:p w14:paraId="775F4C11">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1.供应商应按磋商文件规定编制、提交电子响应文件。</w:t>
      </w:r>
    </w:p>
    <w:p w14:paraId="4D505EDC">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2.本项目供应商不用再提供纸质响应文件。</w:t>
      </w:r>
    </w:p>
    <w:p w14:paraId="5DF731C7">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3.电子文件下载、制作、提交期间和开标（电子响应文件的解密）环节，供应商须使用CA数字证书（证书须在有效期内）。</w:t>
      </w:r>
    </w:p>
    <w:p w14:paraId="24C74E24">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4.电子响应文件的制作</w:t>
      </w:r>
    </w:p>
    <w:p w14:paraId="4DA3A189">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4.1供应商登录《全国公共资源交易平台(河南省▪平顶山市)》公共资源交易系统（http://221.176.192.166:8080/ggzy/）下载“平顶山响应文件制作系统”，按磋商文件要求制作电子响应文件。</w:t>
      </w:r>
    </w:p>
    <w:p w14:paraId="6B63C15F">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电子响应文件的制作，参考《全国公共资源交易平台(河南省.平顶山市)》公共资源交易系统——组件下载——交易系统操作手册（供应商、供应商）。</w:t>
      </w:r>
    </w:p>
    <w:p w14:paraId="11B95482">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4.2供应商须将磋商文件要求的资质、业绩、荣誉及相关人员证明材料等资料原件扫描件（或图片）制作到所提交的电子响应文件中。</w:t>
      </w:r>
    </w:p>
    <w:p w14:paraId="07B61365">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4.3供应商对同一项目多个标段进行投标的，应分别下载所投标段的磋商文件，按标段制作电子响应文件，并按磋商文件要求在相应位置加盖供应商电子印章和法人电子印章。</w:t>
      </w:r>
    </w:p>
    <w:p w14:paraId="111BF285">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一个标段对应生成一个文件夹（xxxx项目xx标段）, 其中包含2个文件和1个文件夹。后缀名为“.file”的文件用于电子投标使用，名称为“备份”的文件夹使用电子介质存储，供开标现场备用。</w:t>
      </w:r>
    </w:p>
    <w:p w14:paraId="0E8280D6">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5.加密电子响应文件的提交</w:t>
      </w:r>
    </w:p>
    <w:p w14:paraId="49FB20D5">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5.1加密电子响应文件应在磋商文件规定的投标截止时间（开标时间）之前成功提交至《全国公共资源交易平台(河南省▪平顶山市)》公共资源交易系统（http://221.176.192.166:8080/ggzy/）。</w:t>
      </w:r>
    </w:p>
    <w:p w14:paraId="1C53519A">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供应商应充分考虑并预留技术处理和上传数据所需时间。</w:t>
      </w:r>
    </w:p>
    <w:p w14:paraId="6EB7012C">
      <w:pPr>
        <w:shd w:val="clear" w:color="auto" w:fill="FFFFFF"/>
        <w:adjustRightInd w:val="0"/>
        <w:snapToGrid w:val="0"/>
        <w:spacing w:line="360" w:lineRule="auto"/>
        <w:ind w:firstLine="640"/>
        <w:rPr>
          <w:rFonts w:hint="eastAsia" w:ascii="宋体" w:hAnsi="宋体" w:eastAsia="宋体" w:cs="宋体"/>
          <w:bCs/>
          <w:sz w:val="21"/>
          <w:szCs w:val="21"/>
        </w:rPr>
      </w:pPr>
      <w:r>
        <w:rPr>
          <w:rFonts w:hint="eastAsia" w:ascii="宋体" w:hAnsi="宋体" w:eastAsia="宋体" w:cs="宋体"/>
          <w:bCs/>
          <w:sz w:val="21"/>
          <w:szCs w:val="21"/>
        </w:rPr>
        <w:t>5.2供应商对同一项目多个标段进行投标的，加密电子响应文件应按标段分别提交。</w:t>
      </w:r>
    </w:p>
    <w:p w14:paraId="20FE83CF">
      <w:pPr>
        <w:widowControl/>
        <w:spacing w:line="360" w:lineRule="auto"/>
        <w:jc w:val="left"/>
        <w:rPr>
          <w:rFonts w:hint="eastAsia" w:ascii="宋体" w:hAnsi="宋体" w:eastAsia="宋体" w:cs="宋体"/>
          <w:sz w:val="21"/>
          <w:szCs w:val="21"/>
        </w:rPr>
      </w:pPr>
      <w:r>
        <w:rPr>
          <w:rFonts w:hint="eastAsia" w:ascii="宋体" w:hAnsi="宋体" w:eastAsia="宋体" w:cs="宋体"/>
          <w:sz w:val="21"/>
          <w:szCs w:val="21"/>
        </w:rPr>
        <w:br w:type="page"/>
      </w:r>
    </w:p>
    <w:p w14:paraId="250EAB9D">
      <w:pPr>
        <w:jc w:val="center"/>
        <w:outlineLvl w:val="0"/>
        <w:rPr>
          <w:rFonts w:hint="eastAsia" w:ascii="宋体" w:hAnsi="宋体" w:eastAsia="宋体" w:cs="宋体"/>
          <w:b/>
          <w:sz w:val="32"/>
        </w:rPr>
      </w:pPr>
      <w:bookmarkStart w:id="4" w:name="_Toc3556"/>
      <w:bookmarkStart w:id="5" w:name="_Toc45177802"/>
      <w:bookmarkStart w:id="6" w:name="_Toc19193"/>
      <w:r>
        <w:rPr>
          <w:rFonts w:hint="eastAsia" w:ascii="宋体" w:hAnsi="宋体" w:eastAsia="宋体" w:cs="宋体"/>
          <w:b/>
          <w:sz w:val="32"/>
        </w:rPr>
        <w:t>第二章  供应商须知</w:t>
      </w:r>
      <w:bookmarkEnd w:id="4"/>
      <w:bookmarkEnd w:id="5"/>
      <w:bookmarkEnd w:id="6"/>
    </w:p>
    <w:p w14:paraId="264718AD">
      <w:pPr>
        <w:jc w:val="center"/>
        <w:rPr>
          <w:rFonts w:hint="eastAsia" w:ascii="宋体" w:hAnsi="宋体" w:eastAsia="宋体" w:cs="宋体"/>
        </w:rPr>
      </w:pPr>
      <w:r>
        <w:rPr>
          <w:rFonts w:hint="eastAsia" w:ascii="宋体" w:hAnsi="宋体" w:eastAsia="宋体" w:cs="宋体"/>
        </w:rPr>
        <w:t>供应商须知前附表</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389"/>
        <w:gridCol w:w="137"/>
        <w:gridCol w:w="7589"/>
      </w:tblGrid>
      <w:tr w14:paraId="75D3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FA3EA3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条款号</w:t>
            </w:r>
          </w:p>
        </w:tc>
        <w:tc>
          <w:tcPr>
            <w:tcW w:w="766" w:type="pct"/>
            <w:gridSpan w:val="2"/>
            <w:vAlign w:val="center"/>
          </w:tcPr>
          <w:p w14:paraId="1B7095B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条款名称</w:t>
            </w:r>
          </w:p>
        </w:tc>
        <w:tc>
          <w:tcPr>
            <w:tcW w:w="3807" w:type="pct"/>
            <w:vAlign w:val="center"/>
          </w:tcPr>
          <w:p w14:paraId="498163A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编列内容</w:t>
            </w:r>
          </w:p>
        </w:tc>
      </w:tr>
      <w:tr w14:paraId="0A0F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1955B9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1.1.2</w:t>
            </w:r>
          </w:p>
        </w:tc>
        <w:tc>
          <w:tcPr>
            <w:tcW w:w="766" w:type="pct"/>
            <w:gridSpan w:val="2"/>
            <w:vAlign w:val="center"/>
          </w:tcPr>
          <w:p w14:paraId="50250A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采购人</w:t>
            </w:r>
          </w:p>
        </w:tc>
        <w:tc>
          <w:tcPr>
            <w:tcW w:w="3807" w:type="pct"/>
            <w:vAlign w:val="center"/>
          </w:tcPr>
          <w:p w14:paraId="413D88EC">
            <w:pPr>
              <w:spacing w:line="500" w:lineRule="exact"/>
              <w:rPr>
                <w:rFonts w:hint="eastAsia" w:ascii="宋体" w:hAnsi="宋体" w:eastAsia="宋体" w:cs="宋体"/>
                <w:sz w:val="21"/>
                <w:szCs w:val="21"/>
              </w:rPr>
            </w:pPr>
            <w:r>
              <w:rPr>
                <w:rFonts w:hint="eastAsia" w:ascii="宋体" w:hAnsi="宋体" w:eastAsia="宋体" w:cs="宋体"/>
                <w:sz w:val="21"/>
                <w:szCs w:val="21"/>
              </w:rPr>
              <w:t>名称：中共平顶山市新华区委政法委员会</w:t>
            </w:r>
          </w:p>
          <w:p w14:paraId="2953DFF2">
            <w:pPr>
              <w:spacing w:line="500" w:lineRule="exact"/>
              <w:rPr>
                <w:rFonts w:hint="eastAsia" w:ascii="宋体" w:hAnsi="宋体" w:eastAsia="宋体" w:cs="宋体"/>
                <w:sz w:val="21"/>
                <w:szCs w:val="21"/>
              </w:rPr>
            </w:pPr>
            <w:r>
              <w:rPr>
                <w:rFonts w:hint="eastAsia" w:ascii="宋体" w:hAnsi="宋体" w:eastAsia="宋体" w:cs="宋体"/>
                <w:sz w:val="21"/>
                <w:szCs w:val="21"/>
              </w:rPr>
              <w:t>地址：河南省平顶山市建设路西段277号院内</w:t>
            </w:r>
          </w:p>
          <w:p w14:paraId="66B20A1B">
            <w:pPr>
              <w:spacing w:line="500" w:lineRule="exact"/>
              <w:rPr>
                <w:rFonts w:hint="eastAsia" w:ascii="宋体" w:hAnsi="宋体" w:eastAsia="宋体" w:cs="宋体"/>
                <w:color w:val="FF0000"/>
                <w:sz w:val="21"/>
                <w:szCs w:val="21"/>
              </w:rPr>
            </w:pPr>
            <w:r>
              <w:rPr>
                <w:rFonts w:hint="eastAsia" w:ascii="宋体" w:hAnsi="宋体" w:eastAsia="宋体" w:cs="宋体"/>
                <w:sz w:val="21"/>
                <w:szCs w:val="21"/>
                <w:lang w:eastAsia="zh-CN"/>
              </w:rPr>
              <w:t>联系人：</w:t>
            </w:r>
            <w:r>
              <w:rPr>
                <w:rFonts w:hint="eastAsia" w:ascii="宋体" w:hAnsi="宋体" w:eastAsia="宋体" w:cs="宋体"/>
                <w:sz w:val="21"/>
                <w:szCs w:val="21"/>
                <w:lang w:val="en-US" w:eastAsia="zh-CN"/>
              </w:rPr>
              <w:t>牛老师</w:t>
            </w:r>
          </w:p>
          <w:p w14:paraId="33E17ED6">
            <w:pPr>
              <w:spacing w:line="500" w:lineRule="exact"/>
              <w:rPr>
                <w:rFonts w:hint="default" w:ascii="宋体" w:hAnsi="宋体" w:eastAsia="宋体" w:cs="宋体"/>
                <w:sz w:val="21"/>
                <w:szCs w:val="21"/>
                <w:lang w:val="en-US"/>
              </w:rPr>
            </w:pPr>
            <w:r>
              <w:rPr>
                <w:rFonts w:hint="eastAsia" w:ascii="宋体" w:hAnsi="宋体" w:eastAsia="宋体" w:cs="宋体"/>
                <w:sz w:val="21"/>
                <w:szCs w:val="21"/>
                <w:lang w:eastAsia="zh-CN"/>
              </w:rPr>
              <w:t>联系方式:0375-</w:t>
            </w:r>
            <w:r>
              <w:rPr>
                <w:rFonts w:hint="eastAsia" w:ascii="宋体" w:hAnsi="宋体" w:eastAsia="宋体" w:cs="宋体"/>
                <w:sz w:val="21"/>
                <w:szCs w:val="21"/>
                <w:lang w:val="en-US" w:eastAsia="zh-CN"/>
              </w:rPr>
              <w:t>2982001</w:t>
            </w:r>
          </w:p>
        </w:tc>
      </w:tr>
      <w:tr w14:paraId="78D49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A25837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1.1.3</w:t>
            </w:r>
          </w:p>
        </w:tc>
        <w:tc>
          <w:tcPr>
            <w:tcW w:w="766" w:type="pct"/>
            <w:gridSpan w:val="2"/>
            <w:vAlign w:val="center"/>
          </w:tcPr>
          <w:p w14:paraId="0038E59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采购代理机构</w:t>
            </w:r>
          </w:p>
        </w:tc>
        <w:tc>
          <w:tcPr>
            <w:tcW w:w="3807" w:type="pct"/>
            <w:vAlign w:val="center"/>
          </w:tcPr>
          <w:p w14:paraId="52147050">
            <w:pPr>
              <w:spacing w:line="360" w:lineRule="auto"/>
              <w:jc w:val="left"/>
              <w:rPr>
                <w:rFonts w:hint="eastAsia" w:ascii="宋体" w:hAnsi="宋体" w:eastAsia="宋体" w:cs="宋体"/>
                <w:sz w:val="21"/>
                <w:szCs w:val="21"/>
              </w:rPr>
            </w:pPr>
            <w:r>
              <w:rPr>
                <w:rFonts w:hint="eastAsia" w:ascii="宋体" w:hAnsi="宋体" w:eastAsia="宋体" w:cs="宋体"/>
                <w:sz w:val="21"/>
                <w:szCs w:val="21"/>
              </w:rPr>
              <w:t>名称：河南易采工程管理有限公司</w:t>
            </w:r>
          </w:p>
          <w:p w14:paraId="4B15A29D">
            <w:pPr>
              <w:spacing w:line="360" w:lineRule="auto"/>
              <w:jc w:val="left"/>
              <w:rPr>
                <w:rFonts w:hint="eastAsia" w:ascii="宋体" w:hAnsi="宋体" w:eastAsia="宋体" w:cs="宋体"/>
                <w:sz w:val="21"/>
                <w:szCs w:val="21"/>
              </w:rPr>
            </w:pPr>
            <w:r>
              <w:rPr>
                <w:rFonts w:hint="eastAsia" w:ascii="宋体" w:hAnsi="宋体" w:eastAsia="宋体" w:cs="宋体"/>
                <w:sz w:val="21"/>
                <w:szCs w:val="21"/>
              </w:rPr>
              <w:t>地址：河南省平顶山市未来路中段中梁鹰城壹号院</w:t>
            </w:r>
          </w:p>
          <w:p w14:paraId="7E912DBA">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联系人：吴女士</w:t>
            </w:r>
          </w:p>
          <w:p w14:paraId="3A3A8F10">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联系方式：0375-2555998、19939030802</w:t>
            </w:r>
          </w:p>
        </w:tc>
      </w:tr>
      <w:tr w14:paraId="2C9D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A9C892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1.1.4</w:t>
            </w:r>
          </w:p>
        </w:tc>
        <w:tc>
          <w:tcPr>
            <w:tcW w:w="766" w:type="pct"/>
            <w:gridSpan w:val="2"/>
            <w:vAlign w:val="center"/>
          </w:tcPr>
          <w:p w14:paraId="118421E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3807" w:type="pct"/>
            <w:vAlign w:val="center"/>
          </w:tcPr>
          <w:p w14:paraId="0628123A">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中共平顶山市新华区委政法委员会2026年新华区平安家园民生综合保险项目</w:t>
            </w:r>
          </w:p>
        </w:tc>
      </w:tr>
      <w:tr w14:paraId="40EE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76B217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1.1.5</w:t>
            </w:r>
          </w:p>
        </w:tc>
        <w:tc>
          <w:tcPr>
            <w:tcW w:w="766" w:type="pct"/>
            <w:gridSpan w:val="2"/>
            <w:vAlign w:val="center"/>
          </w:tcPr>
          <w:p w14:paraId="17768A5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项目地点</w:t>
            </w:r>
          </w:p>
        </w:tc>
        <w:tc>
          <w:tcPr>
            <w:tcW w:w="3807" w:type="pct"/>
            <w:vAlign w:val="center"/>
          </w:tcPr>
          <w:p w14:paraId="45CD20D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新华区</w:t>
            </w:r>
          </w:p>
        </w:tc>
      </w:tr>
      <w:tr w14:paraId="76A8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73C7B0D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1.2.1</w:t>
            </w:r>
          </w:p>
        </w:tc>
        <w:tc>
          <w:tcPr>
            <w:tcW w:w="766" w:type="pct"/>
            <w:gridSpan w:val="2"/>
            <w:vAlign w:val="center"/>
          </w:tcPr>
          <w:p w14:paraId="571411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资金来源</w:t>
            </w:r>
          </w:p>
        </w:tc>
        <w:tc>
          <w:tcPr>
            <w:tcW w:w="3807" w:type="pct"/>
          </w:tcPr>
          <w:p w14:paraId="0B0CC46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财政资金</w:t>
            </w:r>
          </w:p>
        </w:tc>
      </w:tr>
      <w:tr w14:paraId="4434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38D2E2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1.2.2</w:t>
            </w:r>
          </w:p>
        </w:tc>
        <w:tc>
          <w:tcPr>
            <w:tcW w:w="766" w:type="pct"/>
            <w:gridSpan w:val="2"/>
            <w:vAlign w:val="center"/>
          </w:tcPr>
          <w:p w14:paraId="0CE6C5C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出资比例</w:t>
            </w:r>
          </w:p>
        </w:tc>
        <w:tc>
          <w:tcPr>
            <w:tcW w:w="3807" w:type="pct"/>
          </w:tcPr>
          <w:p w14:paraId="56E1432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100%</w:t>
            </w:r>
          </w:p>
        </w:tc>
      </w:tr>
      <w:tr w14:paraId="290CE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6348B6D">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1.2.3</w:t>
            </w:r>
          </w:p>
        </w:tc>
        <w:tc>
          <w:tcPr>
            <w:tcW w:w="766" w:type="pct"/>
            <w:gridSpan w:val="2"/>
            <w:vAlign w:val="center"/>
          </w:tcPr>
          <w:p w14:paraId="32CD9CFF">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资金落实情况</w:t>
            </w:r>
          </w:p>
        </w:tc>
        <w:tc>
          <w:tcPr>
            <w:tcW w:w="3807" w:type="pct"/>
            <w:vAlign w:val="center"/>
          </w:tcPr>
          <w:p w14:paraId="20F406FD">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已落实</w:t>
            </w:r>
          </w:p>
        </w:tc>
      </w:tr>
      <w:tr w14:paraId="15EA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DCD832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1.3.1</w:t>
            </w:r>
          </w:p>
        </w:tc>
        <w:tc>
          <w:tcPr>
            <w:tcW w:w="766" w:type="pct"/>
            <w:gridSpan w:val="2"/>
            <w:vAlign w:val="center"/>
          </w:tcPr>
          <w:p w14:paraId="28B95406">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服务内容</w:t>
            </w:r>
          </w:p>
        </w:tc>
        <w:tc>
          <w:tcPr>
            <w:tcW w:w="3807" w:type="pct"/>
            <w:vAlign w:val="center"/>
          </w:tcPr>
          <w:p w14:paraId="0BC0CE1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中共平顶山市新华区委政法委员会新华区平安家园民生综合保险项目，</w:t>
            </w:r>
            <w:r>
              <w:rPr>
                <w:rFonts w:hint="eastAsia" w:ascii="宋体" w:hAnsi="宋体" w:eastAsia="宋体" w:cs="宋体"/>
                <w:color w:val="auto"/>
                <w:sz w:val="21"/>
                <w:szCs w:val="21"/>
              </w:rPr>
              <w:t>在辖区内，当灾难降临后，由保险公司对受灾群众的财物损失及人身伤亡进行赔付</w:t>
            </w:r>
            <w:r>
              <w:rPr>
                <w:rFonts w:hint="eastAsia" w:ascii="宋体" w:hAnsi="宋体" w:eastAsia="宋体" w:cs="宋体"/>
                <w:color w:val="auto"/>
                <w:sz w:val="21"/>
                <w:szCs w:val="21"/>
                <w:lang w:eastAsia="zh-CN"/>
              </w:rPr>
              <w:t>，具体内容详见采购文件</w:t>
            </w:r>
            <w:r>
              <w:rPr>
                <w:rFonts w:hint="eastAsia" w:ascii="宋体" w:hAnsi="宋体" w:eastAsia="宋体" w:cs="宋体"/>
                <w:color w:val="auto"/>
                <w:sz w:val="21"/>
                <w:szCs w:val="21"/>
                <w:lang w:val="en-US" w:eastAsia="zh-CN"/>
              </w:rPr>
              <w:t>。</w:t>
            </w:r>
          </w:p>
        </w:tc>
      </w:tr>
      <w:tr w14:paraId="14F61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7CC0BE8">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1.3.2</w:t>
            </w:r>
          </w:p>
        </w:tc>
        <w:tc>
          <w:tcPr>
            <w:tcW w:w="766" w:type="pct"/>
            <w:gridSpan w:val="2"/>
            <w:vAlign w:val="center"/>
          </w:tcPr>
          <w:p w14:paraId="072A486C">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服务期限</w:t>
            </w:r>
          </w:p>
        </w:tc>
        <w:tc>
          <w:tcPr>
            <w:tcW w:w="3807" w:type="pct"/>
            <w:vAlign w:val="center"/>
          </w:tcPr>
          <w:p w14:paraId="091A600A">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1年</w:t>
            </w:r>
          </w:p>
        </w:tc>
      </w:tr>
      <w:tr w14:paraId="5F4F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A17918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1.3.3</w:t>
            </w:r>
          </w:p>
        </w:tc>
        <w:tc>
          <w:tcPr>
            <w:tcW w:w="766" w:type="pct"/>
            <w:gridSpan w:val="2"/>
            <w:vAlign w:val="center"/>
          </w:tcPr>
          <w:p w14:paraId="57493D7C">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质量要求</w:t>
            </w:r>
          </w:p>
        </w:tc>
        <w:tc>
          <w:tcPr>
            <w:tcW w:w="3807" w:type="pct"/>
            <w:vAlign w:val="center"/>
          </w:tcPr>
          <w:p w14:paraId="0E134032">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合格，符合国家相关规定及行业标准要求</w:t>
            </w:r>
          </w:p>
        </w:tc>
      </w:tr>
      <w:tr w14:paraId="2EB3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7408663">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1.4.1</w:t>
            </w:r>
          </w:p>
        </w:tc>
        <w:tc>
          <w:tcPr>
            <w:tcW w:w="766" w:type="pct"/>
            <w:gridSpan w:val="2"/>
            <w:vAlign w:val="center"/>
          </w:tcPr>
          <w:p w14:paraId="6FCCFE5B">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供应商资质条件、能力和信誉</w:t>
            </w:r>
          </w:p>
        </w:tc>
        <w:tc>
          <w:tcPr>
            <w:tcW w:w="3807" w:type="pct"/>
            <w:vAlign w:val="center"/>
          </w:tcPr>
          <w:p w14:paraId="696D535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 </w:t>
            </w:r>
          </w:p>
          <w:p w14:paraId="39288F35">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2、落实政府采购政策满足的资格要求：</w:t>
            </w:r>
            <w:r>
              <w:rPr>
                <w:rFonts w:hint="eastAsia" w:ascii="宋体" w:hAnsi="宋体" w:eastAsia="宋体" w:cs="宋体"/>
                <w:sz w:val="21"/>
                <w:szCs w:val="21"/>
                <w:lang w:val="en-US" w:eastAsia="zh-CN"/>
              </w:rPr>
              <w:t>本项目非专门面向中小企业采购，供应商为小微企业、监狱企业、残疾人福利性单位，落实中小企业价格评审优惠政策； 中小企业划型标准请依据工信部联企业〔2011〕300号文件之规定。</w:t>
            </w:r>
          </w:p>
          <w:p w14:paraId="06C33B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3、本项目的特定资格要求</w:t>
            </w:r>
          </w:p>
          <w:p w14:paraId="650310BA">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3.1具有有效的营业执照或电子营业执照（本项目接受分支机构投标，但需提供总公司的授权，同一保险公司的不同总、分（支）公司，不得同时参加本项目的投标）；</w:t>
            </w:r>
          </w:p>
          <w:p w14:paraId="570A180D">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3.2具有国家金融监督管理总局（原中国银行保险监督管理委员会或原中国保险监督管理委员会）颁发的《保险许可证》；</w:t>
            </w:r>
          </w:p>
          <w:p w14:paraId="67602205">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3.3</w:t>
            </w:r>
            <w:r>
              <w:rPr>
                <w:rFonts w:hint="eastAsia" w:ascii="宋体" w:hAnsi="宋体" w:eastAsia="宋体" w:cs="宋体"/>
                <w:color w:val="auto"/>
                <w:sz w:val="21"/>
                <w:szCs w:val="21"/>
              </w:rPr>
              <w:t>单位负责人为同一人或存在控股、管理关系的不同单位，不得同时参加本项目的投标（提供相关证明材料或提供承诺书）；</w:t>
            </w:r>
          </w:p>
          <w:p w14:paraId="6E0AFDF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为贯彻落实《关于促进政府采购公平竞争优化营商环境的通知》（财库〔2</w:t>
            </w:r>
            <w:r>
              <w:rPr>
                <w:rFonts w:hint="eastAsia" w:ascii="宋体" w:hAnsi="宋体" w:eastAsia="宋体" w:cs="宋体"/>
                <w:sz w:val="21"/>
                <w:szCs w:val="21"/>
              </w:rPr>
              <w:t>019〕38号）和《关于全面推行证明事项和涉企经营许可事项告知承诺制的指导意见》（国办发〔2020〕42号），降低供应商参与政府采购活动的制度性交易成本，持续优化政府采购营商环境。在本次招标活动中，供应商只需</w:t>
            </w:r>
            <w:r>
              <w:rPr>
                <w:rFonts w:hint="eastAsia" w:ascii="宋体" w:hAnsi="宋体" w:eastAsia="宋体" w:cs="宋体"/>
                <w:sz w:val="21"/>
                <w:szCs w:val="21"/>
                <w:lang w:val="en-US" w:eastAsia="zh-CN"/>
              </w:rPr>
              <w:t>提供</w:t>
            </w:r>
            <w:r>
              <w:rPr>
                <w:rFonts w:hint="eastAsia" w:ascii="宋体" w:hAnsi="宋体" w:eastAsia="宋体" w:cs="宋体"/>
                <w:sz w:val="21"/>
                <w:szCs w:val="21"/>
              </w:rPr>
              <w:t>政府采购供应商信用承诺书</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格式详见磋商文件</w:t>
            </w:r>
            <w:r>
              <w:rPr>
                <w:rFonts w:hint="eastAsia" w:ascii="宋体" w:hAnsi="宋体" w:eastAsia="宋体" w:cs="宋体"/>
                <w:sz w:val="21"/>
                <w:szCs w:val="21"/>
              </w:rPr>
              <w:t>），不再需要提供以下证明材料：</w:t>
            </w:r>
          </w:p>
          <w:p w14:paraId="007BD53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（1）具有良好的商业信誉的证明材料；</w:t>
            </w:r>
          </w:p>
          <w:p w14:paraId="78A2AB37">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（2）符合国家相关规定的财务状况报告；</w:t>
            </w:r>
          </w:p>
          <w:p w14:paraId="76F92E11">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（3）具备履行政府采购合同所必需的设备和专业技术能力的证明材料；</w:t>
            </w:r>
          </w:p>
          <w:p w14:paraId="7462AD9F">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（4）依法缴纳税收和社会保障资金的证明材料；</w:t>
            </w:r>
          </w:p>
          <w:p w14:paraId="38B17532">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（5）参加政府采购活动前三年内在经营活动中没有重大违法记录的证明材料；</w:t>
            </w:r>
          </w:p>
          <w:p w14:paraId="065072EC">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（6）未被列入失信被执行人、重大税收违法失信主体、政府采购严重违法失信行为记录名单的证明材料。</w:t>
            </w:r>
          </w:p>
          <w:p w14:paraId="52A5B63B">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注：</w:t>
            </w:r>
            <w:r>
              <w:rPr>
                <w:rFonts w:hint="eastAsia" w:ascii="宋体" w:hAnsi="宋体" w:eastAsia="宋体" w:cs="宋体"/>
                <w:sz w:val="21"/>
                <w:szCs w:val="21"/>
                <w:lang w:val="en-US" w:eastAsia="zh-CN"/>
              </w:rPr>
              <w:t>根据</w:t>
            </w:r>
            <w:r>
              <w:rPr>
                <w:rFonts w:hint="eastAsia" w:ascii="宋体" w:hAnsi="宋体" w:eastAsia="宋体" w:cs="宋体"/>
                <w:sz w:val="21"/>
                <w:szCs w:val="21"/>
              </w:rPr>
              <w:t>财库〔2016〕125号文，采购人、代理机构在开标时通过“信用中国”、“中国执行信息公开网”及“中国政府采购网”查询供应商信用情况，如有不良情况，按无效标处理</w:t>
            </w:r>
            <w:r>
              <w:rPr>
                <w:rFonts w:hint="eastAsia" w:ascii="宋体" w:hAnsi="宋体" w:eastAsia="宋体" w:cs="宋体"/>
                <w:sz w:val="21"/>
                <w:szCs w:val="21"/>
                <w:lang w:eastAsia="zh-CN"/>
              </w:rPr>
              <w:t>；</w:t>
            </w:r>
          </w:p>
          <w:p w14:paraId="48777A72">
            <w:pPr>
              <w:keepNext w:val="0"/>
              <w:keepLines w:val="0"/>
              <w:pageBreakBefore w:val="0"/>
              <w:widowControl w:val="0"/>
              <w:kinsoku/>
              <w:wordWrap/>
              <w:overflowPunct/>
              <w:topLinePunct w:val="0"/>
              <w:bidi w:val="0"/>
              <w:adjustRightIn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5</w:t>
            </w:r>
            <w:r>
              <w:rPr>
                <w:rFonts w:hint="eastAsia" w:ascii="宋体" w:hAnsi="宋体" w:eastAsia="宋体" w:cs="宋体"/>
                <w:sz w:val="21"/>
                <w:szCs w:val="21"/>
              </w:rPr>
              <w:t>供应商所提供资料必须真实有效并提供资料真实有效承诺书，并愿意承担因就提供虚假资料随时视为放弃中标资格并承担由此引起的一切不良和法律后果（提供承诺书，格式自拟）</w:t>
            </w:r>
            <w:r>
              <w:rPr>
                <w:rFonts w:hint="eastAsia" w:ascii="宋体" w:hAnsi="宋体" w:eastAsia="宋体" w:cs="宋体"/>
                <w:sz w:val="21"/>
                <w:szCs w:val="21"/>
                <w:lang w:eastAsia="zh-CN"/>
              </w:rPr>
              <w:t>；</w:t>
            </w:r>
          </w:p>
          <w:p w14:paraId="3E78B45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6</w:t>
            </w:r>
            <w:r>
              <w:rPr>
                <w:rFonts w:hint="eastAsia" w:ascii="宋体" w:hAnsi="宋体" w:eastAsia="宋体" w:cs="宋体"/>
                <w:sz w:val="21"/>
                <w:szCs w:val="21"/>
              </w:rPr>
              <w:t>本次采购采用资格后审，不接受联合体投标</w:t>
            </w:r>
            <w:r>
              <w:rPr>
                <w:rFonts w:hint="eastAsia" w:ascii="宋体" w:hAnsi="宋体" w:eastAsia="宋体" w:cs="宋体"/>
                <w:sz w:val="21"/>
                <w:szCs w:val="21"/>
                <w:lang w:eastAsia="zh-CN"/>
              </w:rPr>
              <w:t>。</w:t>
            </w:r>
          </w:p>
        </w:tc>
      </w:tr>
      <w:tr w14:paraId="2E425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36B866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1.4.2</w:t>
            </w:r>
          </w:p>
        </w:tc>
        <w:tc>
          <w:tcPr>
            <w:tcW w:w="766" w:type="pct"/>
            <w:gridSpan w:val="2"/>
            <w:vAlign w:val="center"/>
          </w:tcPr>
          <w:p w14:paraId="1D0BCF8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是否接受联合体投标</w:t>
            </w:r>
          </w:p>
        </w:tc>
        <w:tc>
          <w:tcPr>
            <w:tcW w:w="3807" w:type="pct"/>
            <w:vAlign w:val="center"/>
          </w:tcPr>
          <w:p w14:paraId="14C970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不接受</w:t>
            </w:r>
          </w:p>
        </w:tc>
      </w:tr>
      <w:tr w14:paraId="71A81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C500A5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1.9.1</w:t>
            </w:r>
          </w:p>
        </w:tc>
        <w:tc>
          <w:tcPr>
            <w:tcW w:w="766" w:type="pct"/>
            <w:gridSpan w:val="2"/>
            <w:vAlign w:val="center"/>
          </w:tcPr>
          <w:p w14:paraId="0D8D9B3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踏勘现场</w:t>
            </w:r>
          </w:p>
        </w:tc>
        <w:tc>
          <w:tcPr>
            <w:tcW w:w="3807" w:type="pct"/>
            <w:vAlign w:val="center"/>
          </w:tcPr>
          <w:p w14:paraId="3452DA2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不组织，供应商自行踏勘现场。</w:t>
            </w:r>
          </w:p>
        </w:tc>
      </w:tr>
      <w:tr w14:paraId="7709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490469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1.10.1</w:t>
            </w:r>
          </w:p>
        </w:tc>
        <w:tc>
          <w:tcPr>
            <w:tcW w:w="766" w:type="pct"/>
            <w:gridSpan w:val="2"/>
            <w:vAlign w:val="center"/>
          </w:tcPr>
          <w:p w14:paraId="06BC708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投标预备会</w:t>
            </w:r>
          </w:p>
        </w:tc>
        <w:tc>
          <w:tcPr>
            <w:tcW w:w="3807" w:type="pct"/>
            <w:vAlign w:val="center"/>
          </w:tcPr>
          <w:p w14:paraId="5F90E0A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不召开</w:t>
            </w:r>
          </w:p>
        </w:tc>
      </w:tr>
      <w:tr w14:paraId="0A679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AF17E2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1.10.2</w:t>
            </w:r>
          </w:p>
        </w:tc>
        <w:tc>
          <w:tcPr>
            <w:tcW w:w="766" w:type="pct"/>
            <w:gridSpan w:val="2"/>
            <w:vAlign w:val="center"/>
          </w:tcPr>
          <w:p w14:paraId="7004DD16">
            <w:pPr>
              <w:spacing w:line="360" w:lineRule="auto"/>
              <w:ind w:right="-122" w:rightChars="-51"/>
              <w:jc w:val="center"/>
              <w:rPr>
                <w:rFonts w:hint="eastAsia" w:ascii="宋体" w:hAnsi="宋体" w:eastAsia="宋体" w:cs="宋体"/>
                <w:sz w:val="21"/>
                <w:szCs w:val="21"/>
              </w:rPr>
            </w:pPr>
            <w:r>
              <w:rPr>
                <w:rFonts w:hint="eastAsia" w:ascii="宋体" w:hAnsi="宋体" w:eastAsia="宋体" w:cs="宋体"/>
                <w:sz w:val="21"/>
                <w:szCs w:val="21"/>
              </w:rPr>
              <w:t>供应商提出问题的截止时间</w:t>
            </w:r>
          </w:p>
        </w:tc>
        <w:tc>
          <w:tcPr>
            <w:tcW w:w="3807" w:type="pct"/>
            <w:vAlign w:val="center"/>
          </w:tcPr>
          <w:p w14:paraId="0D45E37A">
            <w:pPr>
              <w:autoSpaceDE w:val="0"/>
              <w:autoSpaceDN w:val="0"/>
              <w:adjustRightInd w:val="0"/>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递交响应文件的截止之日5日前</w:t>
            </w:r>
          </w:p>
        </w:tc>
      </w:tr>
      <w:tr w14:paraId="1BC4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EFB246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1.10.3</w:t>
            </w:r>
          </w:p>
        </w:tc>
        <w:tc>
          <w:tcPr>
            <w:tcW w:w="766" w:type="pct"/>
            <w:gridSpan w:val="2"/>
            <w:vAlign w:val="center"/>
          </w:tcPr>
          <w:p w14:paraId="2B23098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采购人书面澄清的时间</w:t>
            </w:r>
          </w:p>
        </w:tc>
        <w:tc>
          <w:tcPr>
            <w:tcW w:w="3807" w:type="pct"/>
            <w:vAlign w:val="center"/>
          </w:tcPr>
          <w:p w14:paraId="461D56BF">
            <w:pPr>
              <w:autoSpaceDE w:val="0"/>
              <w:autoSpaceDN w:val="0"/>
              <w:adjustRightInd w:val="0"/>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递交响应文件的截止之日5日前</w:t>
            </w:r>
          </w:p>
        </w:tc>
      </w:tr>
      <w:tr w14:paraId="5D52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998284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1.11</w:t>
            </w:r>
          </w:p>
        </w:tc>
        <w:tc>
          <w:tcPr>
            <w:tcW w:w="766" w:type="pct"/>
            <w:gridSpan w:val="2"/>
            <w:vAlign w:val="center"/>
          </w:tcPr>
          <w:p w14:paraId="2809C24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分  包</w:t>
            </w:r>
          </w:p>
        </w:tc>
        <w:tc>
          <w:tcPr>
            <w:tcW w:w="3807" w:type="pct"/>
            <w:vAlign w:val="center"/>
          </w:tcPr>
          <w:p w14:paraId="6D02404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不允许</w:t>
            </w:r>
          </w:p>
        </w:tc>
      </w:tr>
      <w:tr w14:paraId="36574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D4C293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1.12</w:t>
            </w:r>
          </w:p>
        </w:tc>
        <w:tc>
          <w:tcPr>
            <w:tcW w:w="766" w:type="pct"/>
            <w:gridSpan w:val="2"/>
            <w:vAlign w:val="center"/>
          </w:tcPr>
          <w:p w14:paraId="15917C2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偏  离</w:t>
            </w:r>
          </w:p>
        </w:tc>
        <w:tc>
          <w:tcPr>
            <w:tcW w:w="3807" w:type="pct"/>
            <w:vAlign w:val="center"/>
          </w:tcPr>
          <w:p w14:paraId="1E8D3CA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不允许</w:t>
            </w:r>
          </w:p>
        </w:tc>
      </w:tr>
      <w:tr w14:paraId="799D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9A5821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w:t>
            </w:r>
          </w:p>
        </w:tc>
        <w:tc>
          <w:tcPr>
            <w:tcW w:w="766" w:type="pct"/>
            <w:gridSpan w:val="2"/>
            <w:vAlign w:val="center"/>
          </w:tcPr>
          <w:p w14:paraId="0803054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构成磋商文件的其他材料</w:t>
            </w:r>
          </w:p>
        </w:tc>
        <w:tc>
          <w:tcPr>
            <w:tcW w:w="3807" w:type="pct"/>
            <w:vAlign w:val="center"/>
          </w:tcPr>
          <w:p w14:paraId="47818C2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答疑、设计变更、磋商文件补充材料等。</w:t>
            </w:r>
          </w:p>
        </w:tc>
      </w:tr>
      <w:tr w14:paraId="4373B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D9BF2C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2.2.1</w:t>
            </w:r>
          </w:p>
        </w:tc>
        <w:tc>
          <w:tcPr>
            <w:tcW w:w="766" w:type="pct"/>
            <w:gridSpan w:val="2"/>
            <w:vAlign w:val="center"/>
          </w:tcPr>
          <w:p w14:paraId="179C641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供应商要求澄清磋商文件的截止时间</w:t>
            </w:r>
          </w:p>
        </w:tc>
        <w:tc>
          <w:tcPr>
            <w:tcW w:w="3807" w:type="pct"/>
            <w:vAlign w:val="center"/>
          </w:tcPr>
          <w:p w14:paraId="003A5FE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递交响应文件的截止之日5日前</w:t>
            </w:r>
          </w:p>
        </w:tc>
      </w:tr>
      <w:tr w14:paraId="54F1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E4E930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2.2.2</w:t>
            </w:r>
          </w:p>
        </w:tc>
        <w:tc>
          <w:tcPr>
            <w:tcW w:w="766" w:type="pct"/>
            <w:gridSpan w:val="2"/>
            <w:vAlign w:val="center"/>
          </w:tcPr>
          <w:p w14:paraId="4899563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投标截止时间</w:t>
            </w:r>
          </w:p>
        </w:tc>
        <w:tc>
          <w:tcPr>
            <w:tcW w:w="3807" w:type="pct"/>
            <w:vAlign w:val="center"/>
          </w:tcPr>
          <w:p w14:paraId="32199C7D">
            <w:pPr>
              <w:spacing w:line="360" w:lineRule="auto"/>
              <w:jc w:val="center"/>
              <w:rPr>
                <w:rFonts w:hint="eastAsia" w:ascii="宋体" w:hAnsi="宋体" w:eastAsia="宋体" w:cs="宋体"/>
                <w:color w:val="FF0000"/>
                <w:sz w:val="21"/>
                <w:szCs w:val="21"/>
              </w:rPr>
            </w:pP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p>
        </w:tc>
      </w:tr>
      <w:tr w14:paraId="4C76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0470E3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3.1.1</w:t>
            </w:r>
          </w:p>
        </w:tc>
        <w:tc>
          <w:tcPr>
            <w:tcW w:w="766" w:type="pct"/>
            <w:gridSpan w:val="2"/>
            <w:vAlign w:val="center"/>
          </w:tcPr>
          <w:p w14:paraId="2A1FD3B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构成响应文件的其他材料</w:t>
            </w:r>
          </w:p>
        </w:tc>
        <w:tc>
          <w:tcPr>
            <w:tcW w:w="3807" w:type="pct"/>
            <w:vAlign w:val="center"/>
          </w:tcPr>
          <w:p w14:paraId="0D87453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无</w:t>
            </w:r>
          </w:p>
        </w:tc>
      </w:tr>
      <w:tr w14:paraId="6BF48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9A7A4B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3.3.1</w:t>
            </w:r>
          </w:p>
        </w:tc>
        <w:tc>
          <w:tcPr>
            <w:tcW w:w="766" w:type="pct"/>
            <w:gridSpan w:val="2"/>
            <w:vAlign w:val="center"/>
          </w:tcPr>
          <w:p w14:paraId="33C31AE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投标有效期</w:t>
            </w:r>
          </w:p>
        </w:tc>
        <w:tc>
          <w:tcPr>
            <w:tcW w:w="3807" w:type="pct"/>
            <w:vAlign w:val="center"/>
          </w:tcPr>
          <w:p w14:paraId="598E302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60日历天</w:t>
            </w:r>
          </w:p>
        </w:tc>
      </w:tr>
      <w:tr w14:paraId="1527C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54371E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3.6</w:t>
            </w:r>
          </w:p>
        </w:tc>
        <w:tc>
          <w:tcPr>
            <w:tcW w:w="766" w:type="pct"/>
            <w:gridSpan w:val="2"/>
            <w:vAlign w:val="center"/>
          </w:tcPr>
          <w:p w14:paraId="6101C81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是否允许递交备选投标方案</w:t>
            </w:r>
          </w:p>
        </w:tc>
        <w:tc>
          <w:tcPr>
            <w:tcW w:w="3807" w:type="pct"/>
            <w:vAlign w:val="center"/>
          </w:tcPr>
          <w:p w14:paraId="393DCED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不允许</w:t>
            </w:r>
          </w:p>
        </w:tc>
      </w:tr>
      <w:tr w14:paraId="35ED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F5A76C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3.7.3</w:t>
            </w:r>
          </w:p>
        </w:tc>
        <w:tc>
          <w:tcPr>
            <w:tcW w:w="766" w:type="pct"/>
            <w:gridSpan w:val="2"/>
            <w:vAlign w:val="center"/>
          </w:tcPr>
          <w:p w14:paraId="414C96F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电子化响应文件的签章</w:t>
            </w:r>
          </w:p>
        </w:tc>
        <w:tc>
          <w:tcPr>
            <w:tcW w:w="3807" w:type="pct"/>
            <w:vAlign w:val="center"/>
          </w:tcPr>
          <w:p w14:paraId="00015DFF">
            <w:pPr>
              <w:spacing w:line="360" w:lineRule="auto"/>
              <w:jc w:val="left"/>
              <w:rPr>
                <w:rFonts w:hint="eastAsia" w:ascii="宋体" w:hAnsi="宋体" w:eastAsia="宋体" w:cs="宋体"/>
                <w:sz w:val="21"/>
                <w:szCs w:val="21"/>
              </w:rPr>
            </w:pPr>
            <w:r>
              <w:rPr>
                <w:rFonts w:hint="eastAsia" w:ascii="宋体" w:hAnsi="宋体" w:eastAsia="宋体" w:cs="宋体"/>
                <w:sz w:val="21"/>
                <w:szCs w:val="21"/>
              </w:rPr>
              <w:t>供应商在生成电子化响应文件后，应对电子化响应文件进行签章，未进行签章的视为无效投标。</w:t>
            </w:r>
          </w:p>
        </w:tc>
      </w:tr>
      <w:tr w14:paraId="7FAD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8D637C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3.7.4</w:t>
            </w:r>
          </w:p>
        </w:tc>
        <w:tc>
          <w:tcPr>
            <w:tcW w:w="766" w:type="pct"/>
            <w:gridSpan w:val="2"/>
            <w:vAlign w:val="center"/>
          </w:tcPr>
          <w:p w14:paraId="13D404B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投标文件份数</w:t>
            </w:r>
          </w:p>
        </w:tc>
        <w:tc>
          <w:tcPr>
            <w:tcW w:w="3807" w:type="pct"/>
            <w:vAlign w:val="center"/>
          </w:tcPr>
          <w:p w14:paraId="0EA7B4BD">
            <w:pPr>
              <w:spacing w:line="360" w:lineRule="auto"/>
              <w:rPr>
                <w:rFonts w:hint="eastAsia" w:ascii="宋体" w:hAnsi="宋体" w:eastAsia="宋体" w:cs="宋体"/>
                <w:sz w:val="21"/>
                <w:szCs w:val="21"/>
              </w:rPr>
            </w:pPr>
            <w:r>
              <w:rPr>
                <w:rFonts w:hint="eastAsia" w:ascii="宋体" w:hAnsi="宋体" w:eastAsia="宋体" w:cs="宋体"/>
                <w:sz w:val="21"/>
                <w:szCs w:val="21"/>
              </w:rPr>
              <w:t>加密电子投标文件一份，加密电子投标文件应在招标文件规定的投标截止时间（开标时间）之前成功提交至《全国公共资源交易平台(河南省▪ 平顶山市) 》公共资源交易系统</w:t>
            </w:r>
          </w:p>
        </w:tc>
      </w:tr>
      <w:tr w14:paraId="71C4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F5EC6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4.1</w:t>
            </w:r>
          </w:p>
        </w:tc>
        <w:tc>
          <w:tcPr>
            <w:tcW w:w="766" w:type="pct"/>
            <w:gridSpan w:val="2"/>
            <w:vAlign w:val="center"/>
          </w:tcPr>
          <w:p w14:paraId="5974CE5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递交响应文件电子版地点</w:t>
            </w:r>
          </w:p>
        </w:tc>
        <w:tc>
          <w:tcPr>
            <w:tcW w:w="3807" w:type="pct"/>
            <w:vAlign w:val="center"/>
          </w:tcPr>
          <w:p w14:paraId="12FCC7D2">
            <w:pPr>
              <w:spacing w:before="163" w:beforeLines="50" w:line="360" w:lineRule="auto"/>
              <w:rPr>
                <w:rFonts w:hint="eastAsia" w:ascii="宋体" w:hAnsi="宋体" w:eastAsia="宋体" w:cs="宋体"/>
                <w:sz w:val="21"/>
                <w:szCs w:val="21"/>
              </w:rPr>
            </w:pPr>
            <w:r>
              <w:rPr>
                <w:rFonts w:hint="eastAsia" w:ascii="宋体" w:hAnsi="宋体" w:eastAsia="宋体" w:cs="宋体"/>
                <w:sz w:val="21"/>
                <w:szCs w:val="21"/>
              </w:rPr>
              <w:t>平顶山市公共资源交易中心网上开标大厅，未按要求上传加密电子响应文件的，采购人不予受理。</w:t>
            </w:r>
          </w:p>
        </w:tc>
      </w:tr>
      <w:tr w14:paraId="7218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A085D5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5.1</w:t>
            </w:r>
          </w:p>
        </w:tc>
        <w:tc>
          <w:tcPr>
            <w:tcW w:w="766" w:type="pct"/>
            <w:gridSpan w:val="2"/>
            <w:vAlign w:val="center"/>
          </w:tcPr>
          <w:p w14:paraId="18E1E37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开标时间和地点</w:t>
            </w:r>
          </w:p>
        </w:tc>
        <w:tc>
          <w:tcPr>
            <w:tcW w:w="3807" w:type="pct"/>
            <w:vAlign w:val="center"/>
          </w:tcPr>
          <w:p w14:paraId="3ACB74B4">
            <w:pPr>
              <w:spacing w:line="360" w:lineRule="auto"/>
              <w:rPr>
                <w:rFonts w:hint="eastAsia" w:ascii="宋体" w:hAnsi="宋体" w:eastAsia="宋体" w:cs="宋体"/>
                <w:sz w:val="21"/>
                <w:szCs w:val="21"/>
              </w:rPr>
            </w:pPr>
            <w:r>
              <w:rPr>
                <w:rFonts w:hint="eastAsia" w:ascii="宋体" w:hAnsi="宋体" w:eastAsia="宋体" w:cs="宋体"/>
                <w:b/>
                <w:sz w:val="21"/>
                <w:szCs w:val="21"/>
              </w:rPr>
              <w:t>开标时间：</w:t>
            </w:r>
            <w:r>
              <w:rPr>
                <w:rFonts w:hint="eastAsia" w:ascii="宋体" w:hAnsi="宋体" w:eastAsia="宋体" w:cs="宋体"/>
                <w:bCs/>
                <w:sz w:val="21"/>
                <w:szCs w:val="21"/>
                <w:lang w:val="en-US" w:eastAsia="zh-CN"/>
              </w:rPr>
              <w:t>2026</w:t>
            </w:r>
            <w:r>
              <w:rPr>
                <w:rFonts w:hint="eastAsia" w:ascii="宋体" w:hAnsi="宋体" w:eastAsia="宋体" w:cs="宋体"/>
                <w:bCs/>
                <w:sz w:val="21"/>
                <w:szCs w:val="21"/>
              </w:rPr>
              <w:t>年</w:t>
            </w:r>
            <w:r>
              <w:rPr>
                <w:rFonts w:hint="eastAsia" w:ascii="宋体" w:hAnsi="宋体" w:eastAsia="宋体" w:cs="宋体"/>
                <w:bCs/>
                <w:sz w:val="21"/>
                <w:szCs w:val="21"/>
                <w:lang w:val="en-US" w:eastAsia="zh-CN"/>
              </w:rPr>
              <w:t>2</w:t>
            </w:r>
            <w:r>
              <w:rPr>
                <w:rFonts w:hint="eastAsia" w:ascii="宋体" w:hAnsi="宋体" w:eastAsia="宋体" w:cs="宋体"/>
                <w:bCs/>
                <w:sz w:val="21"/>
                <w:szCs w:val="21"/>
              </w:rPr>
              <w:t>月</w:t>
            </w:r>
            <w:r>
              <w:rPr>
                <w:rFonts w:hint="eastAsia" w:ascii="宋体" w:hAnsi="宋体" w:eastAsia="宋体" w:cs="宋体"/>
                <w:bCs/>
                <w:sz w:val="21"/>
                <w:szCs w:val="21"/>
                <w:lang w:val="en-US" w:eastAsia="zh-CN"/>
              </w:rPr>
              <w:t>26</w:t>
            </w:r>
            <w:r>
              <w:rPr>
                <w:rFonts w:hint="eastAsia" w:ascii="宋体" w:hAnsi="宋体" w:eastAsia="宋体" w:cs="宋体"/>
                <w:bCs/>
                <w:sz w:val="21"/>
                <w:szCs w:val="21"/>
              </w:rPr>
              <w:t>日</w:t>
            </w:r>
            <w:r>
              <w:rPr>
                <w:rFonts w:hint="eastAsia" w:ascii="宋体" w:hAnsi="宋体" w:eastAsia="宋体" w:cs="宋体"/>
                <w:bCs/>
                <w:sz w:val="21"/>
                <w:szCs w:val="21"/>
                <w:lang w:val="en-US" w:eastAsia="zh-CN"/>
              </w:rPr>
              <w:t>8</w:t>
            </w:r>
            <w:r>
              <w:rPr>
                <w:rFonts w:hint="eastAsia" w:ascii="宋体" w:hAnsi="宋体" w:eastAsia="宋体" w:cs="宋体"/>
                <w:bCs/>
                <w:sz w:val="21"/>
                <w:szCs w:val="21"/>
              </w:rPr>
              <w:t>时</w:t>
            </w:r>
            <w:r>
              <w:rPr>
                <w:rFonts w:hint="eastAsia" w:ascii="宋体" w:hAnsi="宋体" w:eastAsia="宋体" w:cs="宋体"/>
                <w:bCs/>
                <w:sz w:val="21"/>
                <w:szCs w:val="21"/>
                <w:lang w:val="en-US" w:eastAsia="zh-CN"/>
              </w:rPr>
              <w:t>40</w:t>
            </w:r>
            <w:r>
              <w:rPr>
                <w:rFonts w:hint="eastAsia" w:ascii="宋体" w:hAnsi="宋体" w:eastAsia="宋体" w:cs="宋体"/>
                <w:bCs/>
                <w:sz w:val="21"/>
                <w:szCs w:val="21"/>
              </w:rPr>
              <w:t>分</w:t>
            </w:r>
          </w:p>
          <w:p w14:paraId="35DFC40F">
            <w:pPr>
              <w:spacing w:line="360" w:lineRule="auto"/>
              <w:rPr>
                <w:rFonts w:hint="eastAsia" w:ascii="宋体" w:hAnsi="宋体" w:eastAsia="宋体" w:cs="宋体"/>
                <w:sz w:val="21"/>
                <w:szCs w:val="21"/>
              </w:rPr>
            </w:pPr>
            <w:r>
              <w:rPr>
                <w:rFonts w:hint="eastAsia" w:ascii="宋体" w:hAnsi="宋体" w:eastAsia="宋体" w:cs="宋体"/>
                <w:b/>
                <w:sz w:val="21"/>
                <w:szCs w:val="21"/>
              </w:rPr>
              <w:t>开标地点：</w:t>
            </w:r>
            <w:r>
              <w:rPr>
                <w:rFonts w:hint="eastAsia" w:ascii="宋体" w:hAnsi="宋体" w:eastAsia="宋体" w:cs="宋体"/>
                <w:sz w:val="21"/>
                <w:szCs w:val="21"/>
              </w:rPr>
              <w:t>平顶山市公共资源交易中心网上开标大厅</w:t>
            </w:r>
          </w:p>
          <w:p w14:paraId="344D56A7">
            <w:pPr>
              <w:spacing w:line="360" w:lineRule="auto"/>
              <w:rPr>
                <w:rFonts w:hint="eastAsia" w:ascii="宋体" w:hAnsi="宋体" w:eastAsia="宋体" w:cs="宋体"/>
                <w:b/>
                <w:sz w:val="21"/>
                <w:szCs w:val="21"/>
              </w:rPr>
            </w:pPr>
            <w:r>
              <w:rPr>
                <w:rFonts w:hint="eastAsia" w:ascii="宋体" w:hAnsi="宋体" w:eastAsia="宋体" w:cs="宋体"/>
                <w:b/>
                <w:sz w:val="21"/>
                <w:szCs w:val="21"/>
              </w:rPr>
              <w:t>注：全面实行在线“不见面”开标，投标人远程在线解密投标文件，不再到开标现场，投标人开标前应仔细阅读《“不见面”开标注意事项及操作流程》。</w:t>
            </w:r>
          </w:p>
        </w:tc>
      </w:tr>
      <w:tr w14:paraId="02A00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46E4E3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5.2</w:t>
            </w:r>
          </w:p>
        </w:tc>
        <w:tc>
          <w:tcPr>
            <w:tcW w:w="766" w:type="pct"/>
            <w:gridSpan w:val="2"/>
            <w:vAlign w:val="center"/>
          </w:tcPr>
          <w:p w14:paraId="4CC498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电子化项目开标、解密、唱标、评标</w:t>
            </w:r>
          </w:p>
        </w:tc>
        <w:tc>
          <w:tcPr>
            <w:tcW w:w="3807" w:type="pct"/>
            <w:vAlign w:val="center"/>
          </w:tcPr>
          <w:p w14:paraId="78A6C549">
            <w:pPr>
              <w:spacing w:line="360" w:lineRule="auto"/>
              <w:jc w:val="left"/>
              <w:rPr>
                <w:rFonts w:hint="eastAsia" w:ascii="宋体" w:hAnsi="宋体" w:eastAsia="宋体" w:cs="宋体"/>
                <w:sz w:val="21"/>
                <w:szCs w:val="21"/>
              </w:rPr>
            </w:pPr>
            <w:r>
              <w:rPr>
                <w:rFonts w:hint="eastAsia" w:ascii="宋体" w:hAnsi="宋体" w:eastAsia="宋体" w:cs="宋体"/>
                <w:sz w:val="21"/>
                <w:szCs w:val="21"/>
              </w:rPr>
              <w:t>（1）电子化响应文件采用双重加密方式。开标时，首先由供应商使用CA证书，在规定时间内对其电子化响应文件进行首次解密，供应商解密完成后，再由中介服务机构使用CA证书对响应文件进行再次解密。</w:t>
            </w:r>
          </w:p>
          <w:p w14:paraId="6C5B82E6">
            <w:pPr>
              <w:spacing w:line="360" w:lineRule="auto"/>
              <w:jc w:val="left"/>
              <w:rPr>
                <w:rFonts w:hint="eastAsia" w:ascii="宋体" w:hAnsi="宋体" w:eastAsia="宋体" w:cs="宋体"/>
                <w:sz w:val="21"/>
                <w:szCs w:val="21"/>
              </w:rPr>
            </w:pPr>
            <w:r>
              <w:rPr>
                <w:rFonts w:hint="eastAsia" w:ascii="宋体" w:hAnsi="宋体" w:eastAsia="宋体" w:cs="宋体"/>
                <w:sz w:val="21"/>
                <w:szCs w:val="21"/>
              </w:rPr>
              <w:t>（2）待所有投标人投标文件解密完成后，由中介服务机构操作，对所有已解密投标文件进行唱标。</w:t>
            </w:r>
          </w:p>
        </w:tc>
      </w:tr>
      <w:tr w14:paraId="7AAAB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3ABFD8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6.1.1</w:t>
            </w:r>
          </w:p>
        </w:tc>
        <w:tc>
          <w:tcPr>
            <w:tcW w:w="766" w:type="pct"/>
            <w:gridSpan w:val="2"/>
            <w:vAlign w:val="center"/>
          </w:tcPr>
          <w:p w14:paraId="251EC37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磋商小组的组建</w:t>
            </w:r>
          </w:p>
        </w:tc>
        <w:tc>
          <w:tcPr>
            <w:tcW w:w="3807" w:type="pct"/>
            <w:vAlign w:val="center"/>
          </w:tcPr>
          <w:p w14:paraId="2F8F5F35">
            <w:pPr>
              <w:spacing w:line="360" w:lineRule="auto"/>
              <w:rPr>
                <w:rFonts w:hint="eastAsia" w:ascii="宋体" w:hAnsi="宋体" w:eastAsia="宋体" w:cs="宋体"/>
                <w:sz w:val="21"/>
                <w:szCs w:val="21"/>
              </w:rPr>
            </w:pPr>
            <w:r>
              <w:rPr>
                <w:rFonts w:hint="eastAsia" w:ascii="宋体" w:hAnsi="宋体" w:eastAsia="宋体" w:cs="宋体"/>
                <w:sz w:val="21"/>
                <w:szCs w:val="21"/>
              </w:rPr>
              <w:t>磋商小组由采购人代表和评审专家共3人以上单数组成，其中评审专家人数不得少于磋商小组成员总数的2/3，评审专家在相关专家库中随机抽取。</w:t>
            </w:r>
          </w:p>
          <w:p w14:paraId="572DA407">
            <w:pPr>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
                <w:sz w:val="21"/>
                <w:szCs w:val="21"/>
              </w:rPr>
              <w:t>上述规定为一组评标专家组成方式，根据项目标段数量和评标工作量，可由多组专家完成评审，但一个标段只能由一组专家评审）</w:t>
            </w:r>
            <w:r>
              <w:rPr>
                <w:rFonts w:hint="eastAsia" w:ascii="宋体" w:hAnsi="宋体" w:eastAsia="宋体" w:cs="宋体"/>
                <w:sz w:val="21"/>
                <w:szCs w:val="21"/>
              </w:rPr>
              <w:t>。</w:t>
            </w:r>
          </w:p>
        </w:tc>
      </w:tr>
      <w:tr w14:paraId="6281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5514059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7.1</w:t>
            </w:r>
          </w:p>
        </w:tc>
        <w:tc>
          <w:tcPr>
            <w:tcW w:w="766" w:type="pct"/>
            <w:gridSpan w:val="2"/>
            <w:vAlign w:val="center"/>
          </w:tcPr>
          <w:p w14:paraId="75464CE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是否授权磋商小组确定成交人</w:t>
            </w:r>
          </w:p>
        </w:tc>
        <w:tc>
          <w:tcPr>
            <w:tcW w:w="3807" w:type="pct"/>
            <w:vAlign w:val="center"/>
          </w:tcPr>
          <w:p w14:paraId="57D0FD3D">
            <w:pPr>
              <w:spacing w:line="360" w:lineRule="auto"/>
              <w:rPr>
                <w:rFonts w:hint="eastAsia" w:ascii="宋体" w:hAnsi="宋体" w:eastAsia="宋体" w:cs="宋体"/>
                <w:sz w:val="21"/>
                <w:szCs w:val="21"/>
              </w:rPr>
            </w:pPr>
            <w:r>
              <w:rPr>
                <w:rFonts w:hint="eastAsia" w:ascii="宋体" w:hAnsi="宋体" w:eastAsia="宋体" w:cs="宋体"/>
                <w:sz w:val="21"/>
                <w:szCs w:val="21"/>
              </w:rPr>
              <w:t>否，推荐的成交候选人数：</w:t>
            </w:r>
            <w:r>
              <w:rPr>
                <w:rFonts w:hint="eastAsia" w:ascii="宋体" w:hAnsi="宋体" w:eastAsia="宋体" w:cs="宋体"/>
                <w:sz w:val="21"/>
                <w:szCs w:val="21"/>
                <w:u w:val="single"/>
              </w:rPr>
              <w:t xml:space="preserve">  3名    </w:t>
            </w:r>
          </w:p>
        </w:tc>
      </w:tr>
      <w:tr w14:paraId="5C1FD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7F99B3A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7.3.1</w:t>
            </w:r>
          </w:p>
        </w:tc>
        <w:tc>
          <w:tcPr>
            <w:tcW w:w="766" w:type="pct"/>
            <w:gridSpan w:val="2"/>
            <w:vAlign w:val="center"/>
          </w:tcPr>
          <w:p w14:paraId="27CE813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履约担保</w:t>
            </w:r>
          </w:p>
        </w:tc>
        <w:tc>
          <w:tcPr>
            <w:tcW w:w="3807" w:type="pct"/>
            <w:vAlign w:val="center"/>
          </w:tcPr>
          <w:p w14:paraId="4AC9F638">
            <w:pPr>
              <w:spacing w:line="360" w:lineRule="auto"/>
              <w:rPr>
                <w:rFonts w:hint="eastAsia" w:ascii="宋体" w:hAnsi="宋体" w:eastAsia="宋体" w:cs="宋体"/>
                <w:sz w:val="21"/>
                <w:szCs w:val="21"/>
              </w:rPr>
            </w:pPr>
            <w:r>
              <w:rPr>
                <w:rFonts w:hint="eastAsia" w:ascii="宋体" w:hAnsi="宋体" w:eastAsia="宋体" w:cs="宋体"/>
                <w:sz w:val="21"/>
                <w:szCs w:val="21"/>
              </w:rPr>
              <w:t>履约担保的形式：/</w:t>
            </w:r>
          </w:p>
          <w:p w14:paraId="621F6FAD">
            <w:pPr>
              <w:pStyle w:val="20"/>
              <w:spacing w:line="360" w:lineRule="auto"/>
              <w:ind w:left="0" w:leftChars="0"/>
              <w:rPr>
                <w:rFonts w:hint="eastAsia" w:ascii="宋体" w:hAnsi="宋体" w:eastAsia="宋体" w:cs="宋体"/>
                <w:sz w:val="21"/>
                <w:szCs w:val="21"/>
              </w:rPr>
            </w:pPr>
            <w:r>
              <w:rPr>
                <w:rFonts w:hint="eastAsia" w:ascii="宋体" w:hAnsi="宋体" w:eastAsia="宋体" w:cs="宋体"/>
                <w:sz w:val="21"/>
                <w:szCs w:val="21"/>
              </w:rPr>
              <w:t>履约担保的金额：/</w:t>
            </w:r>
          </w:p>
        </w:tc>
      </w:tr>
      <w:tr w14:paraId="4391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100EADB6">
            <w:pPr>
              <w:spacing w:line="360" w:lineRule="auto"/>
              <w:rPr>
                <w:rFonts w:hint="eastAsia" w:ascii="宋体" w:hAnsi="宋体" w:eastAsia="宋体" w:cs="宋体"/>
                <w:sz w:val="21"/>
                <w:szCs w:val="21"/>
              </w:rPr>
            </w:pPr>
            <w:r>
              <w:rPr>
                <w:rFonts w:hint="eastAsia" w:ascii="宋体" w:hAnsi="宋体" w:eastAsia="宋体" w:cs="宋体"/>
                <w:sz w:val="21"/>
                <w:szCs w:val="21"/>
              </w:rPr>
              <w:t>10.  需要补充的其他内容</w:t>
            </w:r>
          </w:p>
        </w:tc>
      </w:tr>
      <w:tr w14:paraId="0D4BB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4C9AC17E">
            <w:pPr>
              <w:spacing w:line="360" w:lineRule="auto"/>
              <w:rPr>
                <w:rFonts w:hint="eastAsia" w:ascii="宋体" w:hAnsi="宋体" w:eastAsia="宋体" w:cs="宋体"/>
                <w:sz w:val="21"/>
                <w:szCs w:val="21"/>
              </w:rPr>
            </w:pPr>
            <w:r>
              <w:rPr>
                <w:rFonts w:hint="eastAsia" w:ascii="宋体" w:hAnsi="宋体" w:eastAsia="宋体" w:cs="宋体"/>
                <w:sz w:val="21"/>
                <w:szCs w:val="21"/>
              </w:rPr>
              <w:t>10.1 词语定义</w:t>
            </w:r>
          </w:p>
        </w:tc>
      </w:tr>
      <w:tr w14:paraId="29E77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8760C5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10.1.1</w:t>
            </w:r>
          </w:p>
        </w:tc>
        <w:tc>
          <w:tcPr>
            <w:tcW w:w="697" w:type="pct"/>
            <w:vAlign w:val="center"/>
          </w:tcPr>
          <w:p w14:paraId="776714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类似项目</w:t>
            </w:r>
          </w:p>
        </w:tc>
        <w:tc>
          <w:tcPr>
            <w:tcW w:w="3877" w:type="pct"/>
            <w:gridSpan w:val="2"/>
            <w:vAlign w:val="center"/>
          </w:tcPr>
          <w:p w14:paraId="19ED11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r>
      <w:tr w14:paraId="12799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tcPr>
          <w:p w14:paraId="49A62DD8">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10.1.2</w:t>
            </w:r>
          </w:p>
        </w:tc>
        <w:tc>
          <w:tcPr>
            <w:tcW w:w="697" w:type="pct"/>
            <w:vAlign w:val="center"/>
          </w:tcPr>
          <w:p w14:paraId="01EF970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不良行为记录</w:t>
            </w:r>
          </w:p>
        </w:tc>
        <w:tc>
          <w:tcPr>
            <w:tcW w:w="3877" w:type="pct"/>
            <w:gridSpan w:val="2"/>
            <w:vAlign w:val="center"/>
          </w:tcPr>
          <w:p w14:paraId="2492AF13">
            <w:pPr>
              <w:spacing w:line="360" w:lineRule="auto"/>
              <w:rPr>
                <w:rFonts w:hint="eastAsia" w:ascii="宋体" w:hAnsi="宋体" w:eastAsia="宋体" w:cs="宋体"/>
                <w:sz w:val="21"/>
                <w:szCs w:val="21"/>
              </w:rPr>
            </w:pPr>
            <w:r>
              <w:rPr>
                <w:rFonts w:hint="eastAsia" w:ascii="宋体" w:hAnsi="宋体" w:eastAsia="宋体" w:cs="宋体"/>
                <w:sz w:val="21"/>
                <w:szCs w:val="21"/>
              </w:rPr>
              <w:t>列入“信用中国”网站的“失信被执行人”和“重大税收违法案件当事人名单”，“ 中国政府采购网” 网站的“政府采购严重违法失信行为名单”。</w:t>
            </w:r>
          </w:p>
        </w:tc>
      </w:tr>
      <w:tr w14:paraId="6C40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3C731E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10.2</w:t>
            </w:r>
          </w:p>
        </w:tc>
        <w:tc>
          <w:tcPr>
            <w:tcW w:w="697" w:type="pct"/>
            <w:vAlign w:val="center"/>
          </w:tcPr>
          <w:p w14:paraId="0BD2CDD3">
            <w:pPr>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最高限价</w:t>
            </w:r>
          </w:p>
        </w:tc>
        <w:tc>
          <w:tcPr>
            <w:tcW w:w="3877" w:type="pct"/>
            <w:gridSpan w:val="2"/>
            <w:vAlign w:val="center"/>
          </w:tcPr>
          <w:p w14:paraId="189C4EE7">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本项目最高限价</w:t>
            </w:r>
            <w:r>
              <w:rPr>
                <w:rFonts w:hint="eastAsia" w:ascii="宋体" w:hAnsi="宋体" w:eastAsia="宋体" w:cs="宋体"/>
                <w:b/>
                <w:color w:val="auto"/>
                <w:sz w:val="21"/>
                <w:szCs w:val="21"/>
              </w:rPr>
              <w:t>为：</w:t>
            </w:r>
            <w:r>
              <w:rPr>
                <w:rFonts w:hint="eastAsia" w:ascii="宋体" w:hAnsi="宋体" w:eastAsia="宋体" w:cs="宋体"/>
                <w:b/>
                <w:color w:val="auto"/>
                <w:sz w:val="21"/>
                <w:szCs w:val="21"/>
                <w:lang w:val="en-US" w:eastAsia="zh-CN"/>
              </w:rPr>
              <w:t>1489900.00</w:t>
            </w:r>
            <w:r>
              <w:rPr>
                <w:rFonts w:hint="eastAsia" w:ascii="宋体" w:hAnsi="宋体" w:eastAsia="宋体" w:cs="宋体"/>
                <w:b/>
                <w:color w:val="auto"/>
                <w:sz w:val="21"/>
                <w:szCs w:val="21"/>
              </w:rPr>
              <w:t>元；</w:t>
            </w:r>
          </w:p>
          <w:p w14:paraId="324DE075">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其中一标段最高限价：679065.47元。</w:t>
            </w:r>
          </w:p>
          <w:p w14:paraId="4135E40D">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供应商的投标总报价不得高于</w:t>
            </w:r>
            <w:r>
              <w:rPr>
                <w:rFonts w:hint="eastAsia" w:ascii="宋体" w:hAnsi="宋体" w:eastAsia="宋体" w:cs="宋体"/>
                <w:color w:val="auto"/>
                <w:sz w:val="21"/>
                <w:szCs w:val="21"/>
                <w:lang w:val="en-US" w:eastAsia="zh-CN"/>
              </w:rPr>
              <w:t>最高限价</w:t>
            </w:r>
            <w:r>
              <w:rPr>
                <w:rFonts w:hint="eastAsia" w:ascii="宋体" w:hAnsi="宋体" w:eastAsia="宋体" w:cs="宋体"/>
                <w:color w:val="auto"/>
                <w:sz w:val="21"/>
                <w:szCs w:val="21"/>
              </w:rPr>
              <w:t>，否则按无效标处理；</w:t>
            </w:r>
          </w:p>
        </w:tc>
      </w:tr>
      <w:tr w14:paraId="46593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6651313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10.3</w:t>
            </w:r>
          </w:p>
        </w:tc>
        <w:tc>
          <w:tcPr>
            <w:tcW w:w="697" w:type="pct"/>
            <w:vAlign w:val="center"/>
          </w:tcPr>
          <w:p w14:paraId="7196416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供应商代表出席开标会议</w:t>
            </w:r>
          </w:p>
        </w:tc>
        <w:tc>
          <w:tcPr>
            <w:tcW w:w="3877" w:type="pct"/>
            <w:gridSpan w:val="2"/>
            <w:vAlign w:val="center"/>
          </w:tcPr>
          <w:p w14:paraId="146212C9">
            <w:pPr>
              <w:spacing w:line="360" w:lineRule="auto"/>
              <w:rPr>
                <w:rFonts w:hint="eastAsia" w:ascii="宋体" w:hAnsi="宋体" w:eastAsia="宋体" w:cs="宋体"/>
                <w:sz w:val="21"/>
                <w:szCs w:val="21"/>
              </w:rPr>
            </w:pPr>
            <w:r>
              <w:rPr>
                <w:rFonts w:hint="eastAsia" w:ascii="宋体" w:hAnsi="宋体" w:eastAsia="宋体" w:cs="宋体"/>
                <w:sz w:val="21"/>
                <w:szCs w:val="21"/>
              </w:rPr>
              <w:t>全面实行在线“不见面”开标，投标人远程在线解密投标文件，不再到开标现场。</w:t>
            </w:r>
          </w:p>
        </w:tc>
      </w:tr>
      <w:tr w14:paraId="159E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18D81A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10.4</w:t>
            </w:r>
          </w:p>
        </w:tc>
        <w:tc>
          <w:tcPr>
            <w:tcW w:w="697" w:type="pct"/>
            <w:vAlign w:val="center"/>
          </w:tcPr>
          <w:p w14:paraId="73438A4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成交结果公示</w:t>
            </w:r>
          </w:p>
        </w:tc>
        <w:tc>
          <w:tcPr>
            <w:tcW w:w="3877" w:type="pct"/>
            <w:gridSpan w:val="2"/>
            <w:vAlign w:val="center"/>
          </w:tcPr>
          <w:p w14:paraId="449D99B4">
            <w:pPr>
              <w:spacing w:line="360" w:lineRule="auto"/>
              <w:rPr>
                <w:rFonts w:hint="eastAsia" w:ascii="宋体" w:hAnsi="宋体" w:eastAsia="宋体" w:cs="宋体"/>
                <w:sz w:val="21"/>
                <w:szCs w:val="21"/>
              </w:rPr>
            </w:pPr>
            <w:r>
              <w:rPr>
                <w:rFonts w:hint="eastAsia" w:ascii="宋体" w:hAnsi="宋体" w:eastAsia="宋体" w:cs="宋体"/>
                <w:sz w:val="21"/>
                <w:szCs w:val="21"/>
              </w:rPr>
              <w:t>成交结果发布媒体同竞争性磋商公告发布媒体。</w:t>
            </w:r>
          </w:p>
        </w:tc>
      </w:tr>
      <w:tr w14:paraId="5627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CFE39C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10.5</w:t>
            </w:r>
          </w:p>
        </w:tc>
        <w:tc>
          <w:tcPr>
            <w:tcW w:w="697" w:type="pct"/>
            <w:vAlign w:val="center"/>
          </w:tcPr>
          <w:p w14:paraId="74AFE0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知识产权</w:t>
            </w:r>
          </w:p>
        </w:tc>
        <w:tc>
          <w:tcPr>
            <w:tcW w:w="3877" w:type="pct"/>
            <w:gridSpan w:val="2"/>
            <w:vAlign w:val="center"/>
          </w:tcPr>
          <w:p w14:paraId="7EF3C304">
            <w:pPr>
              <w:spacing w:line="360" w:lineRule="auto"/>
              <w:rPr>
                <w:rFonts w:hint="eastAsia" w:ascii="宋体" w:hAnsi="宋体" w:eastAsia="宋体" w:cs="宋体"/>
                <w:sz w:val="21"/>
                <w:szCs w:val="21"/>
              </w:rPr>
            </w:pPr>
            <w:r>
              <w:rPr>
                <w:rFonts w:hint="eastAsia" w:ascii="宋体" w:hAnsi="宋体" w:eastAsia="宋体" w:cs="宋体"/>
                <w:sz w:val="21"/>
                <w:szCs w:val="21"/>
              </w:rPr>
              <w:t>构成本磋商文件各个组成部分的文件，未经采购人书面同意，供应商不得擅自复印和用于非本招标项目所需的其他目的。采购人全部或者部分使用未成交人响应文件中的技术成果或技术方案时，需征得其书面同意，并不得擅自复印或提供给第三人。</w:t>
            </w:r>
          </w:p>
        </w:tc>
      </w:tr>
      <w:tr w14:paraId="6E47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8915AB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10.6</w:t>
            </w:r>
          </w:p>
        </w:tc>
        <w:tc>
          <w:tcPr>
            <w:tcW w:w="697" w:type="pct"/>
            <w:vAlign w:val="center"/>
          </w:tcPr>
          <w:p w14:paraId="2CFA178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重新招标的其他情形</w:t>
            </w:r>
          </w:p>
        </w:tc>
        <w:tc>
          <w:tcPr>
            <w:tcW w:w="3877" w:type="pct"/>
            <w:gridSpan w:val="2"/>
            <w:vAlign w:val="center"/>
          </w:tcPr>
          <w:p w14:paraId="57D203E0">
            <w:pPr>
              <w:spacing w:line="360" w:lineRule="auto"/>
              <w:rPr>
                <w:rFonts w:hint="eastAsia" w:ascii="宋体" w:hAnsi="宋体" w:eastAsia="宋体" w:cs="宋体"/>
                <w:sz w:val="21"/>
                <w:szCs w:val="21"/>
              </w:rPr>
            </w:pPr>
            <w:r>
              <w:rPr>
                <w:rFonts w:hint="eastAsia" w:ascii="宋体" w:hAnsi="宋体" w:eastAsia="宋体" w:cs="宋体"/>
                <w:sz w:val="21"/>
                <w:szCs w:val="21"/>
              </w:rPr>
              <w:t>除供应商须知正文第8条规定的情形外，除非已经产生中标候选人，在投标有效期内同意延长投标有效期的供应商少于三个的，采购人应当依法重新招标。</w:t>
            </w:r>
          </w:p>
        </w:tc>
      </w:tr>
      <w:tr w14:paraId="31B17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B3656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10.7</w:t>
            </w:r>
          </w:p>
        </w:tc>
        <w:tc>
          <w:tcPr>
            <w:tcW w:w="697" w:type="pct"/>
            <w:vAlign w:val="center"/>
          </w:tcPr>
          <w:p w14:paraId="5CF2E85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解释权</w:t>
            </w:r>
          </w:p>
        </w:tc>
        <w:tc>
          <w:tcPr>
            <w:tcW w:w="3877" w:type="pct"/>
            <w:gridSpan w:val="2"/>
            <w:vAlign w:val="center"/>
          </w:tcPr>
          <w:p w14:paraId="7C174CC5">
            <w:pPr>
              <w:spacing w:line="360" w:lineRule="auto"/>
              <w:rPr>
                <w:rFonts w:hint="eastAsia" w:ascii="宋体" w:hAnsi="宋体" w:eastAsia="宋体" w:cs="宋体"/>
                <w:sz w:val="21"/>
                <w:szCs w:val="21"/>
              </w:rPr>
            </w:pPr>
            <w:r>
              <w:rPr>
                <w:rFonts w:hint="eastAsia" w:ascii="宋体" w:hAnsi="宋体" w:eastAsia="宋体" w:cs="宋体"/>
                <w:sz w:val="21"/>
                <w:szCs w:val="21"/>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48FC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21D548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10.8</w:t>
            </w:r>
          </w:p>
        </w:tc>
        <w:tc>
          <w:tcPr>
            <w:tcW w:w="697" w:type="pct"/>
            <w:vAlign w:val="center"/>
          </w:tcPr>
          <w:p w14:paraId="2F7C0ABE">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代理服务费</w:t>
            </w:r>
          </w:p>
        </w:tc>
        <w:tc>
          <w:tcPr>
            <w:tcW w:w="3877" w:type="pct"/>
            <w:gridSpan w:val="2"/>
            <w:vAlign w:val="center"/>
          </w:tcPr>
          <w:p w14:paraId="56E844B6">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代理服务费参照豫招协【2023】002号文和发改价格【2015】299号</w:t>
            </w:r>
            <w:r>
              <w:rPr>
                <w:rFonts w:hint="eastAsia" w:ascii="宋体" w:hAnsi="宋体" w:eastAsia="宋体" w:cs="宋体"/>
                <w:color w:val="auto"/>
                <w:sz w:val="21"/>
                <w:szCs w:val="21"/>
                <w:lang w:val="en-US" w:eastAsia="zh-CN"/>
              </w:rPr>
              <w:t>文</w:t>
            </w:r>
            <w:r>
              <w:rPr>
                <w:rFonts w:hint="eastAsia" w:ascii="宋体" w:hAnsi="宋体" w:eastAsia="宋体" w:cs="宋体"/>
                <w:color w:val="auto"/>
                <w:sz w:val="21"/>
                <w:szCs w:val="21"/>
              </w:rPr>
              <w:t>规定</w:t>
            </w:r>
            <w:r>
              <w:rPr>
                <w:rFonts w:hint="eastAsia" w:ascii="宋体" w:hAnsi="宋体" w:eastAsia="宋体" w:cs="宋体"/>
                <w:color w:val="auto"/>
                <w:sz w:val="21"/>
                <w:szCs w:val="21"/>
                <w:lang w:val="en-US" w:eastAsia="zh-CN"/>
              </w:rPr>
              <w:t>收取</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一标段13852元。本项目招标代理服务费</w:t>
            </w:r>
            <w:r>
              <w:rPr>
                <w:rFonts w:hint="eastAsia" w:ascii="宋体" w:hAnsi="宋体" w:eastAsia="宋体" w:cs="宋体"/>
                <w:color w:val="auto"/>
                <w:sz w:val="21"/>
                <w:szCs w:val="21"/>
              </w:rPr>
              <w:t>由中标人或成交人在成交结果公示后向招标代理机构</w:t>
            </w:r>
            <w:r>
              <w:rPr>
                <w:rFonts w:hint="eastAsia" w:ascii="宋体" w:hAnsi="宋体" w:eastAsia="宋体" w:cs="宋体"/>
                <w:color w:val="auto"/>
                <w:sz w:val="21"/>
                <w:szCs w:val="21"/>
                <w:lang w:val="en-US" w:eastAsia="zh-CN"/>
              </w:rPr>
              <w:t>一次性</w:t>
            </w:r>
            <w:r>
              <w:rPr>
                <w:rFonts w:hint="eastAsia" w:ascii="宋体" w:hAnsi="宋体" w:eastAsia="宋体" w:cs="宋体"/>
                <w:color w:val="auto"/>
                <w:sz w:val="21"/>
                <w:szCs w:val="21"/>
              </w:rPr>
              <w:t>全额交纳，此项费用由投标人综合考虑到投标报价中，不单独列项报价。</w:t>
            </w:r>
          </w:p>
        </w:tc>
      </w:tr>
      <w:tr w14:paraId="10B49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04DE10E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10.9</w:t>
            </w:r>
          </w:p>
        </w:tc>
        <w:tc>
          <w:tcPr>
            <w:tcW w:w="697" w:type="pct"/>
            <w:vAlign w:val="center"/>
          </w:tcPr>
          <w:p w14:paraId="130B483B">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接收质疑函的方式和联系方式</w:t>
            </w:r>
          </w:p>
        </w:tc>
        <w:tc>
          <w:tcPr>
            <w:tcW w:w="3877" w:type="pct"/>
            <w:gridSpan w:val="2"/>
          </w:tcPr>
          <w:p w14:paraId="1080D744">
            <w:pPr>
              <w:spacing w:line="360" w:lineRule="auto"/>
              <w:jc w:val="left"/>
              <w:rPr>
                <w:rFonts w:hint="eastAsia" w:ascii="宋体" w:hAnsi="宋体" w:eastAsia="宋体" w:cs="宋体"/>
                <w:sz w:val="21"/>
                <w:szCs w:val="21"/>
              </w:rPr>
            </w:pPr>
            <w:r>
              <w:rPr>
                <w:rFonts w:hint="eastAsia" w:ascii="宋体" w:hAnsi="宋体" w:eastAsia="宋体" w:cs="宋体"/>
                <w:sz w:val="21"/>
                <w:szCs w:val="21"/>
              </w:rPr>
              <w:t>（1）投标人认为采购文件、采购过程和中标或成交结果使自己的权益受到损害的, 可以在知道或者应知其权益受到损害之日起七个工作日内，按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w:t>
            </w:r>
          </w:p>
          <w:p w14:paraId="65A1FC7A">
            <w:pPr>
              <w:spacing w:line="360" w:lineRule="auto"/>
              <w:jc w:val="left"/>
              <w:rPr>
                <w:rFonts w:hint="eastAsia" w:ascii="宋体" w:hAnsi="宋体" w:eastAsia="宋体" w:cs="宋体"/>
                <w:sz w:val="21"/>
                <w:szCs w:val="21"/>
              </w:rPr>
            </w:pPr>
            <w:r>
              <w:rPr>
                <w:rFonts w:hint="eastAsia" w:ascii="宋体" w:hAnsi="宋体" w:eastAsia="宋体" w:cs="宋体"/>
                <w:sz w:val="21"/>
                <w:szCs w:val="21"/>
              </w:rPr>
              <w:t>若有投诉，可按照相关规定以书面形式向监督部门进行投诉。</w:t>
            </w:r>
          </w:p>
          <w:p w14:paraId="29345724">
            <w:pPr>
              <w:spacing w:line="360" w:lineRule="auto"/>
              <w:jc w:val="left"/>
              <w:rPr>
                <w:rFonts w:hint="eastAsia" w:ascii="宋体" w:hAnsi="宋体" w:eastAsia="宋体" w:cs="宋体"/>
                <w:sz w:val="21"/>
                <w:szCs w:val="21"/>
              </w:rPr>
            </w:pPr>
            <w:r>
              <w:rPr>
                <w:rFonts w:hint="eastAsia" w:ascii="宋体" w:hAnsi="宋体" w:eastAsia="宋体" w:cs="宋体"/>
                <w:sz w:val="21"/>
                <w:szCs w:val="21"/>
              </w:rPr>
              <w:t>（2）质疑函的内容、格式：应符合《政府采购质疑和投诉办法》（财政部第94号令）相关规定和财政部门制定的《政府采购质疑函范本》格式。</w:t>
            </w:r>
          </w:p>
          <w:p w14:paraId="3FC1E835">
            <w:pPr>
              <w:spacing w:line="360" w:lineRule="auto"/>
              <w:jc w:val="left"/>
              <w:rPr>
                <w:rFonts w:hint="eastAsia" w:ascii="宋体" w:hAnsi="宋体" w:eastAsia="宋体" w:cs="宋体"/>
                <w:sz w:val="21"/>
                <w:szCs w:val="21"/>
              </w:rPr>
            </w:pPr>
            <w:r>
              <w:rPr>
                <w:rFonts w:hint="eastAsia" w:ascii="宋体" w:hAnsi="宋体" w:eastAsia="宋体" w:cs="宋体"/>
                <w:sz w:val="21"/>
                <w:szCs w:val="21"/>
              </w:rPr>
              <w:t>（3）投标人应在法定质疑期内一次性提出针对同一采购程序环节的质疑。</w:t>
            </w:r>
          </w:p>
          <w:p w14:paraId="636DA3AA">
            <w:pPr>
              <w:spacing w:line="360" w:lineRule="auto"/>
              <w:jc w:val="left"/>
              <w:rPr>
                <w:rFonts w:hint="eastAsia" w:ascii="宋体" w:hAnsi="宋体" w:eastAsia="宋体" w:cs="宋体"/>
                <w:sz w:val="21"/>
                <w:szCs w:val="21"/>
              </w:rPr>
            </w:pPr>
            <w:r>
              <w:rPr>
                <w:rFonts w:hint="eastAsia" w:ascii="宋体" w:hAnsi="宋体" w:eastAsia="宋体" w:cs="宋体"/>
                <w:sz w:val="21"/>
                <w:szCs w:val="21"/>
              </w:rPr>
              <w:t>（4）接收质疑函联系方式：</w:t>
            </w:r>
          </w:p>
          <w:p w14:paraId="4330121E">
            <w:pPr>
              <w:spacing w:line="360" w:lineRule="auto"/>
              <w:jc w:val="left"/>
              <w:rPr>
                <w:rFonts w:hint="eastAsia" w:ascii="宋体" w:hAnsi="宋体" w:eastAsia="宋体" w:cs="宋体"/>
                <w:sz w:val="21"/>
                <w:szCs w:val="21"/>
              </w:rPr>
            </w:pPr>
            <w:r>
              <w:rPr>
                <w:rFonts w:hint="eastAsia" w:ascii="宋体" w:hAnsi="宋体" w:eastAsia="宋体" w:cs="宋体"/>
                <w:b/>
                <w:bCs/>
                <w:sz w:val="21"/>
                <w:szCs w:val="21"/>
              </w:rPr>
              <w:t>采 购 人：</w:t>
            </w:r>
          </w:p>
          <w:p w14:paraId="1B6C5098">
            <w:pPr>
              <w:spacing w:line="500" w:lineRule="exact"/>
              <w:rPr>
                <w:rFonts w:hint="eastAsia" w:ascii="宋体" w:hAnsi="宋体" w:eastAsia="宋体" w:cs="宋体"/>
                <w:sz w:val="21"/>
                <w:szCs w:val="21"/>
              </w:rPr>
            </w:pPr>
            <w:r>
              <w:rPr>
                <w:rFonts w:hint="eastAsia" w:ascii="宋体" w:hAnsi="宋体" w:eastAsia="宋体" w:cs="宋体"/>
                <w:sz w:val="21"/>
                <w:szCs w:val="21"/>
              </w:rPr>
              <w:t>采购人：中共平顶山市新华区委政法委员会</w:t>
            </w:r>
          </w:p>
          <w:p w14:paraId="0AFC3B95">
            <w:pPr>
              <w:spacing w:line="500" w:lineRule="exact"/>
              <w:rPr>
                <w:rFonts w:hint="eastAsia" w:ascii="宋体" w:hAnsi="宋体" w:eastAsia="宋体" w:cs="宋体"/>
                <w:sz w:val="21"/>
                <w:szCs w:val="21"/>
              </w:rPr>
            </w:pPr>
            <w:r>
              <w:rPr>
                <w:rFonts w:hint="eastAsia" w:ascii="宋体" w:hAnsi="宋体" w:eastAsia="宋体" w:cs="宋体"/>
                <w:sz w:val="21"/>
                <w:szCs w:val="21"/>
              </w:rPr>
              <w:t>地址：平顶山市新华区建设路与迎宾路交叉口南100米路西</w:t>
            </w:r>
          </w:p>
          <w:p w14:paraId="3CCE21D2">
            <w:pPr>
              <w:spacing w:line="500" w:lineRule="exact"/>
              <w:rPr>
                <w:rFonts w:hint="eastAsia" w:ascii="宋体" w:hAnsi="宋体" w:eastAsia="宋体" w:cs="宋体"/>
                <w:color w:val="FF0000"/>
                <w:sz w:val="21"/>
                <w:szCs w:val="21"/>
              </w:rPr>
            </w:pPr>
            <w:r>
              <w:rPr>
                <w:rFonts w:hint="eastAsia" w:ascii="宋体" w:hAnsi="宋体" w:eastAsia="宋体" w:cs="宋体"/>
                <w:sz w:val="21"/>
                <w:szCs w:val="21"/>
                <w:lang w:eastAsia="zh-CN"/>
              </w:rPr>
              <w:t>联系人：</w:t>
            </w:r>
            <w:r>
              <w:rPr>
                <w:rFonts w:hint="eastAsia" w:ascii="宋体" w:hAnsi="宋体" w:eastAsia="宋体" w:cs="宋体"/>
                <w:sz w:val="21"/>
                <w:szCs w:val="21"/>
                <w:lang w:val="en-US" w:eastAsia="zh-CN"/>
              </w:rPr>
              <w:t>牛老师</w:t>
            </w:r>
          </w:p>
          <w:p w14:paraId="3C2CED01">
            <w:pPr>
              <w:spacing w:line="500" w:lineRule="exact"/>
              <w:rPr>
                <w:rFonts w:hint="default" w:ascii="宋体" w:hAnsi="宋体" w:eastAsia="宋体" w:cs="宋体"/>
                <w:color w:val="FF0000"/>
                <w:sz w:val="21"/>
                <w:szCs w:val="21"/>
                <w:lang w:val="en-US"/>
              </w:rPr>
            </w:pPr>
            <w:r>
              <w:rPr>
                <w:rFonts w:hint="eastAsia" w:ascii="宋体" w:hAnsi="宋体" w:eastAsia="宋体" w:cs="宋体"/>
                <w:sz w:val="21"/>
                <w:szCs w:val="21"/>
                <w:lang w:eastAsia="zh-CN"/>
              </w:rPr>
              <w:t>联系方式:0375-</w:t>
            </w:r>
            <w:r>
              <w:rPr>
                <w:rFonts w:hint="eastAsia" w:ascii="宋体" w:hAnsi="宋体" w:eastAsia="宋体" w:cs="宋体"/>
                <w:sz w:val="21"/>
                <w:szCs w:val="21"/>
                <w:lang w:val="en-US" w:eastAsia="zh-CN"/>
              </w:rPr>
              <w:t>2982001</w:t>
            </w:r>
          </w:p>
          <w:p w14:paraId="318E7634">
            <w:pPr>
              <w:spacing w:line="360" w:lineRule="auto"/>
              <w:jc w:val="left"/>
              <w:rPr>
                <w:rFonts w:hint="eastAsia" w:ascii="宋体" w:hAnsi="宋体" w:eastAsia="宋体" w:cs="宋体"/>
                <w:b/>
                <w:bCs/>
                <w:sz w:val="21"/>
                <w:szCs w:val="21"/>
              </w:rPr>
            </w:pPr>
            <w:r>
              <w:rPr>
                <w:rFonts w:hint="eastAsia" w:ascii="宋体" w:hAnsi="宋体" w:eastAsia="宋体" w:cs="宋体"/>
                <w:b/>
                <w:bCs/>
                <w:sz w:val="21"/>
                <w:szCs w:val="21"/>
              </w:rPr>
              <w:t>采购代理机构信息</w:t>
            </w:r>
          </w:p>
          <w:p w14:paraId="23BAE393">
            <w:pPr>
              <w:spacing w:line="360" w:lineRule="auto"/>
              <w:jc w:val="left"/>
              <w:rPr>
                <w:rFonts w:hint="eastAsia" w:ascii="宋体" w:hAnsi="宋体" w:eastAsia="宋体" w:cs="宋体"/>
                <w:sz w:val="21"/>
                <w:szCs w:val="21"/>
              </w:rPr>
            </w:pPr>
            <w:r>
              <w:rPr>
                <w:rFonts w:hint="eastAsia" w:ascii="宋体" w:hAnsi="宋体" w:eastAsia="宋体" w:cs="宋体"/>
                <w:sz w:val="21"/>
                <w:szCs w:val="21"/>
              </w:rPr>
              <w:t>名称：河南易采工程管理有限公司</w:t>
            </w:r>
          </w:p>
          <w:p w14:paraId="2780FC8D">
            <w:pPr>
              <w:spacing w:line="360" w:lineRule="auto"/>
              <w:jc w:val="left"/>
              <w:rPr>
                <w:rFonts w:hint="eastAsia" w:ascii="宋体" w:hAnsi="宋体" w:eastAsia="宋体" w:cs="宋体"/>
                <w:sz w:val="21"/>
                <w:szCs w:val="21"/>
              </w:rPr>
            </w:pPr>
            <w:r>
              <w:rPr>
                <w:rFonts w:hint="eastAsia" w:ascii="宋体" w:hAnsi="宋体" w:eastAsia="宋体" w:cs="宋体"/>
                <w:sz w:val="21"/>
                <w:szCs w:val="21"/>
              </w:rPr>
              <w:t xml:space="preserve">地  址：河南省平顶山市未来路中段中梁壹号院   </w:t>
            </w:r>
          </w:p>
          <w:p w14:paraId="43120AB6">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联系人：吴女士</w:t>
            </w:r>
          </w:p>
          <w:p w14:paraId="40EF4F11">
            <w:pPr>
              <w:spacing w:line="360" w:lineRule="auto"/>
              <w:jc w:val="left"/>
              <w:rPr>
                <w:rFonts w:hint="eastAsia" w:ascii="宋体" w:hAnsi="宋体" w:eastAsia="宋体" w:cs="宋体"/>
                <w:sz w:val="21"/>
                <w:szCs w:val="21"/>
              </w:rPr>
            </w:pPr>
            <w:r>
              <w:rPr>
                <w:rFonts w:hint="eastAsia" w:ascii="宋体" w:hAnsi="宋体" w:eastAsia="宋体" w:cs="宋体"/>
                <w:sz w:val="21"/>
                <w:szCs w:val="21"/>
              </w:rPr>
              <w:t>联系方式：0375-2555998、19939030802</w:t>
            </w:r>
          </w:p>
          <w:p w14:paraId="047008B6">
            <w:pPr>
              <w:pStyle w:val="12"/>
              <w:spacing w:line="360" w:lineRule="auto"/>
              <w:rPr>
                <w:rFonts w:hint="eastAsia" w:ascii="宋体" w:hAnsi="宋体" w:eastAsia="宋体" w:cs="宋体"/>
                <w:sz w:val="21"/>
                <w:szCs w:val="21"/>
              </w:rPr>
            </w:pPr>
            <w:r>
              <w:rPr>
                <w:rFonts w:hint="eastAsia" w:ascii="宋体" w:hAnsi="宋体" w:eastAsia="宋体" w:cs="宋体"/>
                <w:sz w:val="21"/>
                <w:szCs w:val="21"/>
              </w:rPr>
              <w:t>对供应商提出的质疑，采购人、采购代理机构应当依法及时答复和处理，不得推诿扯皮故意刁难，须进行实质性回应。</w:t>
            </w:r>
          </w:p>
        </w:tc>
      </w:tr>
      <w:tr w14:paraId="41A36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E1AD302">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10.10</w:t>
            </w:r>
          </w:p>
        </w:tc>
        <w:tc>
          <w:tcPr>
            <w:tcW w:w="697" w:type="pct"/>
            <w:vAlign w:val="center"/>
          </w:tcPr>
          <w:p w14:paraId="5CD3D64A">
            <w:pPr>
              <w:spacing w:line="360" w:lineRule="auto"/>
              <w:jc w:val="center"/>
              <w:rPr>
                <w:rFonts w:hint="eastAsia" w:ascii="宋体" w:hAnsi="宋体" w:eastAsia="宋体" w:cs="宋体"/>
                <w:sz w:val="21"/>
                <w:szCs w:val="21"/>
              </w:rPr>
            </w:pPr>
            <w:r>
              <w:rPr>
                <w:rFonts w:hint="eastAsia" w:ascii="宋体" w:hAnsi="宋体" w:eastAsia="宋体" w:cs="宋体"/>
                <w:kern w:val="0"/>
                <w:sz w:val="21"/>
                <w:szCs w:val="21"/>
              </w:rPr>
              <w:t>落实政策</w:t>
            </w:r>
          </w:p>
        </w:tc>
        <w:tc>
          <w:tcPr>
            <w:tcW w:w="3877" w:type="pct"/>
            <w:gridSpan w:val="2"/>
            <w:vAlign w:val="center"/>
          </w:tcPr>
          <w:p w14:paraId="05C987AB">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一、落实四个“一日办”精神：</w:t>
            </w:r>
          </w:p>
          <w:p w14:paraId="35023A8A">
            <w:pPr>
              <w:spacing w:line="360" w:lineRule="auto"/>
              <w:jc w:val="left"/>
              <w:rPr>
                <w:rFonts w:hint="eastAsia" w:ascii="宋体" w:hAnsi="宋体" w:eastAsia="宋体" w:cs="宋体"/>
                <w:sz w:val="21"/>
                <w:szCs w:val="21"/>
              </w:rPr>
            </w:pPr>
            <w:r>
              <w:rPr>
                <w:rFonts w:hint="eastAsia" w:ascii="宋体" w:hAnsi="宋体" w:eastAsia="宋体" w:cs="宋体"/>
                <w:sz w:val="21"/>
                <w:szCs w:val="21"/>
              </w:rPr>
              <w:t>按照《平顶山市财政局关于压减政府采购各环节时限进一步优化政府采购营商环境的通知》（平财购〔2021〕34号）通知，落实四个“一日办”精神：</w:t>
            </w:r>
          </w:p>
          <w:p w14:paraId="23C42D11">
            <w:pPr>
              <w:spacing w:line="360" w:lineRule="auto"/>
              <w:jc w:val="left"/>
              <w:rPr>
                <w:rFonts w:hint="eastAsia" w:ascii="宋体" w:hAnsi="宋体" w:eastAsia="宋体" w:cs="宋体"/>
                <w:sz w:val="21"/>
                <w:szCs w:val="21"/>
              </w:rPr>
            </w:pPr>
            <w:r>
              <w:rPr>
                <w:rFonts w:hint="eastAsia" w:ascii="宋体" w:hAnsi="宋体" w:eastAsia="宋体" w:cs="宋体"/>
                <w:sz w:val="21"/>
                <w:szCs w:val="21"/>
              </w:rPr>
              <w:t>（1）在评审结束后1日内确定采购结果，同时对中标单位发出中标或成交通知书，并在网上进行公告；</w:t>
            </w:r>
          </w:p>
          <w:p w14:paraId="6CDB17A4">
            <w:pPr>
              <w:spacing w:line="360" w:lineRule="auto"/>
              <w:jc w:val="left"/>
              <w:rPr>
                <w:rFonts w:hint="eastAsia" w:ascii="宋体" w:hAnsi="宋体" w:eastAsia="宋体" w:cs="宋体"/>
                <w:sz w:val="21"/>
                <w:szCs w:val="21"/>
              </w:rPr>
            </w:pPr>
            <w:r>
              <w:rPr>
                <w:rFonts w:hint="eastAsia" w:ascii="宋体" w:hAnsi="宋体" w:eastAsia="宋体" w:cs="宋体"/>
                <w:sz w:val="21"/>
                <w:szCs w:val="21"/>
              </w:rPr>
              <w:t>（2）中标或成交通知书发出后，1日内与中标或成交供应商签订合同，合同签订当日完成合同备案工作；</w:t>
            </w:r>
          </w:p>
          <w:p w14:paraId="3C729BB9">
            <w:pPr>
              <w:spacing w:line="360" w:lineRule="auto"/>
              <w:jc w:val="left"/>
              <w:rPr>
                <w:rFonts w:hint="eastAsia" w:ascii="宋体" w:hAnsi="宋体" w:eastAsia="宋体" w:cs="宋体"/>
                <w:sz w:val="21"/>
                <w:szCs w:val="21"/>
              </w:rPr>
            </w:pPr>
            <w:r>
              <w:rPr>
                <w:rFonts w:hint="eastAsia" w:ascii="宋体" w:hAnsi="宋体" w:eastAsia="宋体" w:cs="宋体"/>
                <w:sz w:val="21"/>
                <w:szCs w:val="21"/>
              </w:rPr>
              <w:t>（3）政府采购项目供应商履约完成后，采购人应在供应商提出验收申请1个工作日内完成验收，同时在政府采购网发布验收结果公告；</w:t>
            </w:r>
          </w:p>
          <w:p w14:paraId="161BA916">
            <w:pPr>
              <w:spacing w:line="360" w:lineRule="auto"/>
              <w:jc w:val="left"/>
              <w:rPr>
                <w:rFonts w:hint="eastAsia" w:ascii="宋体" w:hAnsi="宋体" w:eastAsia="宋体" w:cs="宋体"/>
                <w:sz w:val="21"/>
                <w:szCs w:val="21"/>
              </w:rPr>
            </w:pPr>
            <w:r>
              <w:rPr>
                <w:rFonts w:hint="eastAsia" w:ascii="宋体" w:hAnsi="宋体" w:eastAsia="宋体" w:cs="宋体"/>
                <w:sz w:val="21"/>
                <w:szCs w:val="21"/>
              </w:rPr>
              <w:t>（4）验收合格具备付款条件的项目，采购人要在1个工作日内按照合同约定支付项目资金。</w:t>
            </w:r>
          </w:p>
          <w:p w14:paraId="03EBCAAE">
            <w:pPr>
              <w:spacing w:line="360" w:lineRule="auto"/>
              <w:jc w:val="left"/>
              <w:rPr>
                <w:rFonts w:hint="eastAsia" w:ascii="宋体" w:hAnsi="宋体" w:eastAsia="宋体" w:cs="宋体"/>
                <w:sz w:val="21"/>
                <w:szCs w:val="21"/>
              </w:rPr>
            </w:pPr>
            <w:r>
              <w:rPr>
                <w:rFonts w:hint="eastAsia" w:ascii="宋体" w:hAnsi="宋体" w:eastAsia="宋体" w:cs="宋体"/>
                <w:sz w:val="21"/>
                <w:szCs w:val="21"/>
              </w:rPr>
              <w:t>注：签合同需法定代表人携带本人身份证（如为授权委托人，则携带法定代表人授权委托书及本人身份证）、单位公章、合同纸质版本一式六份及合同电子版。</w:t>
            </w:r>
          </w:p>
          <w:p w14:paraId="43682AA2">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二、维护企业在政府采购活动中的知情权</w:t>
            </w:r>
          </w:p>
          <w:p w14:paraId="7CE74756">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4CE1852">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三、提供中小企业声明函格式</w:t>
            </w:r>
          </w:p>
          <w:p w14:paraId="68A15B0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已在采购文件中按照财政部、工信部印发的《政府采购促进中小企业发展管理办法》的通知精神（财库〔2020〕46号）提供中小企业声明函格式。</w:t>
            </w:r>
          </w:p>
          <w:p w14:paraId="6255C0D5">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四、推广政府采购合同融资</w:t>
            </w:r>
          </w:p>
          <w:p w14:paraId="149D4810">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“政府采购合同融资告知函”见招标文件附件，鼓励中标供应商凭借采购合同申请贷款，助力解决中小企业融资难、融资贵的问题。</w:t>
            </w:r>
          </w:p>
          <w:p w14:paraId="33BDE8A3">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五、落实预留采购份额</w:t>
            </w:r>
          </w:p>
          <w:p w14:paraId="49F97CC7">
            <w:pPr>
              <w:spacing w:line="360" w:lineRule="auto"/>
              <w:ind w:firstLine="420" w:firstLineChars="200"/>
              <w:jc w:val="left"/>
              <w:rPr>
                <w:rFonts w:hint="eastAsia" w:ascii="宋体" w:hAnsi="宋体" w:eastAsia="宋体" w:cs="宋体"/>
                <w:b/>
                <w:sz w:val="21"/>
                <w:szCs w:val="21"/>
              </w:rPr>
            </w:pPr>
            <w:r>
              <w:rPr>
                <w:rFonts w:hint="eastAsia" w:ascii="宋体" w:hAnsi="宋体" w:eastAsia="宋体" w:cs="宋体"/>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部印发的《政府采购促进中小企业发展管理办法》的通知精神（财库〔2020〕46号）提供中小企业声明函格式。详见“政府采购政策：中小企业声明函”。</w:t>
            </w:r>
          </w:p>
          <w:p w14:paraId="402483CB">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六、落实价格评审优惠政策</w:t>
            </w:r>
          </w:p>
          <w:p w14:paraId="72450C76">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（1）执行财政部、工业和信息化部关于印发《政府采购促进中小企业发展暂行办法》的通知（财库〔2020〕46号），</w:t>
            </w:r>
            <w:r>
              <w:rPr>
                <w:rFonts w:hint="eastAsia" w:ascii="宋体" w:hAnsi="宋体" w:eastAsia="宋体" w:cs="宋体"/>
                <w:b/>
                <w:color w:val="FF0000"/>
                <w:sz w:val="21"/>
                <w:szCs w:val="21"/>
              </w:rPr>
              <w:t>本项目执行价格评审优惠政策，对小型和微型企业给予20%的价格扣除，用扣除后的价格参与报价评审。</w:t>
            </w:r>
          </w:p>
          <w:p w14:paraId="2F70EC50">
            <w:pPr>
              <w:spacing w:line="360" w:lineRule="auto"/>
              <w:rPr>
                <w:rFonts w:hint="eastAsia" w:ascii="宋体" w:hAnsi="宋体" w:eastAsia="宋体" w:cs="宋体"/>
                <w:sz w:val="21"/>
                <w:szCs w:val="21"/>
              </w:rPr>
            </w:pPr>
            <w:r>
              <w:rPr>
                <w:rFonts w:hint="eastAsia" w:ascii="宋体" w:hAnsi="宋体" w:eastAsia="宋体" w:cs="宋体"/>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宋体" w:hAnsi="宋体" w:eastAsia="宋体" w:cs="宋体"/>
                <w:b/>
                <w:sz w:val="21"/>
                <w:szCs w:val="21"/>
              </w:rPr>
              <w:t>监狱企业视同小型、微型企业。</w:t>
            </w:r>
          </w:p>
          <w:p w14:paraId="7610827E">
            <w:pPr>
              <w:spacing w:line="360" w:lineRule="auto"/>
              <w:rPr>
                <w:rFonts w:hint="eastAsia" w:ascii="宋体" w:hAnsi="宋体" w:eastAsia="宋体" w:cs="宋体"/>
                <w:sz w:val="21"/>
                <w:szCs w:val="21"/>
              </w:rPr>
            </w:pPr>
            <w:r>
              <w:rPr>
                <w:rFonts w:hint="eastAsia" w:ascii="宋体" w:hAnsi="宋体" w:eastAsia="宋体" w:cs="宋体"/>
                <w:sz w:val="21"/>
                <w:szCs w:val="21"/>
              </w:rPr>
              <w:t>（3）根据财政部、民政部、中国残疾人联合会《关于促进残疾人就业政府采购政策的通知》（财库〔2017〕141号），在政府采购活动中，</w:t>
            </w:r>
            <w:r>
              <w:rPr>
                <w:rFonts w:hint="eastAsia" w:ascii="宋体" w:hAnsi="宋体" w:eastAsia="宋体" w:cs="宋体"/>
                <w:b/>
                <w:sz w:val="21"/>
                <w:szCs w:val="21"/>
              </w:rPr>
              <w:t>残疾人福利性单位视同小型、微型企业。</w:t>
            </w:r>
            <w:r>
              <w:rPr>
                <w:rFonts w:hint="eastAsia" w:ascii="宋体" w:hAnsi="宋体" w:eastAsia="宋体" w:cs="宋体"/>
                <w:sz w:val="21"/>
                <w:szCs w:val="21"/>
              </w:rPr>
              <w:t>投标人属于残疾人福利性单位的，按照招标文件格式提供《残疾人福利性单位声明函》。</w:t>
            </w:r>
          </w:p>
          <w:p w14:paraId="53D1BDBF">
            <w:pPr>
              <w:spacing w:line="360" w:lineRule="auto"/>
              <w:jc w:val="left"/>
              <w:rPr>
                <w:rFonts w:hint="eastAsia" w:ascii="宋体" w:hAnsi="宋体" w:eastAsia="宋体" w:cs="宋体"/>
                <w:sz w:val="21"/>
                <w:szCs w:val="21"/>
              </w:rPr>
            </w:pPr>
            <w:r>
              <w:rPr>
                <w:rFonts w:hint="eastAsia" w:ascii="宋体" w:hAnsi="宋体" w:eastAsia="宋体" w:cs="宋体"/>
                <w:b/>
                <w:sz w:val="21"/>
                <w:szCs w:val="21"/>
              </w:rPr>
              <w:t>说明：不符合上述适用情形的投标人无须提供上述声明函件。</w:t>
            </w:r>
          </w:p>
        </w:tc>
      </w:tr>
      <w:tr w14:paraId="28B8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CA6EC1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10.11</w:t>
            </w:r>
          </w:p>
        </w:tc>
        <w:tc>
          <w:tcPr>
            <w:tcW w:w="697" w:type="pct"/>
            <w:vAlign w:val="center"/>
          </w:tcPr>
          <w:p w14:paraId="52861B2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付款方式</w:t>
            </w:r>
          </w:p>
        </w:tc>
        <w:tc>
          <w:tcPr>
            <w:tcW w:w="3877" w:type="pct"/>
            <w:gridSpan w:val="2"/>
          </w:tcPr>
          <w:p w14:paraId="6650FE8D">
            <w:pPr>
              <w:spacing w:line="360" w:lineRule="auto"/>
              <w:rPr>
                <w:rFonts w:hint="eastAsia" w:ascii="宋体" w:hAnsi="宋体" w:eastAsia="宋体" w:cs="宋体"/>
                <w:color w:val="auto"/>
                <w:sz w:val="18"/>
                <w:szCs w:val="18"/>
                <w:lang w:val="en-US"/>
              </w:rPr>
            </w:pPr>
            <w:r>
              <w:rPr>
                <w:rFonts w:hint="eastAsia" w:ascii="宋体" w:hAnsi="宋体" w:eastAsia="宋体" w:cs="宋体"/>
                <w:color w:val="auto"/>
                <w:sz w:val="21"/>
                <w:szCs w:val="21"/>
                <w:lang w:val="en-US" w:eastAsia="zh-CN"/>
              </w:rPr>
              <w:t>详见合同条款</w:t>
            </w:r>
          </w:p>
        </w:tc>
      </w:tr>
      <w:tr w14:paraId="7B862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132310C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10.12</w:t>
            </w:r>
          </w:p>
        </w:tc>
        <w:tc>
          <w:tcPr>
            <w:tcW w:w="697" w:type="pct"/>
            <w:vAlign w:val="center"/>
          </w:tcPr>
          <w:p w14:paraId="68682F7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履约保证金</w:t>
            </w:r>
          </w:p>
        </w:tc>
        <w:tc>
          <w:tcPr>
            <w:tcW w:w="3877" w:type="pct"/>
            <w:gridSpan w:val="2"/>
            <w:vAlign w:val="center"/>
          </w:tcPr>
          <w:p w14:paraId="611BD819">
            <w:pPr>
              <w:spacing w:line="360" w:lineRule="auto"/>
              <w:jc w:val="left"/>
              <w:rPr>
                <w:rFonts w:hint="eastAsia" w:ascii="宋体" w:hAnsi="宋体" w:eastAsia="宋体" w:cs="宋体"/>
                <w:sz w:val="21"/>
                <w:szCs w:val="21"/>
              </w:rPr>
            </w:pPr>
            <w:r>
              <w:rPr>
                <w:rFonts w:hint="eastAsia" w:ascii="宋体" w:hAnsi="宋体" w:eastAsia="宋体" w:cs="宋体"/>
                <w:sz w:val="21"/>
                <w:szCs w:val="21"/>
              </w:rPr>
              <w:t>根据河南省财政厅关于优化政府采购营商环境有关问题的通知（豫财购【2019】4号文），落实其文件精神，降低供应商参与政府采购活动交易成本，本项目不收取履约保证金。</w:t>
            </w:r>
          </w:p>
        </w:tc>
      </w:tr>
      <w:tr w14:paraId="1628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DB153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10.13</w:t>
            </w:r>
          </w:p>
        </w:tc>
        <w:tc>
          <w:tcPr>
            <w:tcW w:w="697" w:type="pct"/>
            <w:vAlign w:val="center"/>
          </w:tcPr>
          <w:p w14:paraId="5DFDDD61">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磋商文件费</w:t>
            </w:r>
          </w:p>
        </w:tc>
        <w:tc>
          <w:tcPr>
            <w:tcW w:w="3877" w:type="pct"/>
            <w:gridSpan w:val="2"/>
            <w:vAlign w:val="center"/>
          </w:tcPr>
          <w:p w14:paraId="6F51E4B0">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不收取</w:t>
            </w:r>
          </w:p>
        </w:tc>
      </w:tr>
      <w:tr w14:paraId="6896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C01361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10.14</w:t>
            </w:r>
          </w:p>
        </w:tc>
        <w:tc>
          <w:tcPr>
            <w:tcW w:w="697" w:type="pct"/>
            <w:vAlign w:val="center"/>
          </w:tcPr>
          <w:p w14:paraId="5A8BDCE9">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磋商保证金</w:t>
            </w:r>
          </w:p>
        </w:tc>
        <w:tc>
          <w:tcPr>
            <w:tcW w:w="3877" w:type="pct"/>
            <w:gridSpan w:val="2"/>
            <w:vAlign w:val="center"/>
          </w:tcPr>
          <w:p w14:paraId="27282247">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不收取</w:t>
            </w:r>
          </w:p>
        </w:tc>
      </w:tr>
      <w:tr w14:paraId="5D0F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2299889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10.14</w:t>
            </w:r>
          </w:p>
        </w:tc>
        <w:tc>
          <w:tcPr>
            <w:tcW w:w="697" w:type="pct"/>
            <w:vAlign w:val="center"/>
          </w:tcPr>
          <w:p w14:paraId="0B68B2A0">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质保金</w:t>
            </w:r>
          </w:p>
        </w:tc>
        <w:tc>
          <w:tcPr>
            <w:tcW w:w="3877" w:type="pct"/>
            <w:gridSpan w:val="2"/>
            <w:vAlign w:val="center"/>
          </w:tcPr>
          <w:p w14:paraId="4515502E">
            <w:pPr>
              <w:spacing w:line="400" w:lineRule="exact"/>
              <w:jc w:val="center"/>
              <w:rPr>
                <w:rFonts w:hint="eastAsia" w:ascii="宋体" w:hAnsi="宋体" w:eastAsia="宋体" w:cs="宋体"/>
                <w:b/>
                <w:color w:val="auto"/>
                <w:sz w:val="21"/>
                <w:szCs w:val="21"/>
              </w:rPr>
            </w:pPr>
            <w:r>
              <w:rPr>
                <w:rFonts w:hint="eastAsia" w:ascii="宋体" w:hAnsi="宋体" w:eastAsia="宋体" w:cs="宋体"/>
                <w:color w:val="auto"/>
                <w:sz w:val="21"/>
                <w:szCs w:val="21"/>
              </w:rPr>
              <w:t>不收取</w:t>
            </w:r>
          </w:p>
        </w:tc>
      </w:tr>
      <w:tr w14:paraId="37AF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42907E8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10.15</w:t>
            </w:r>
          </w:p>
        </w:tc>
        <w:tc>
          <w:tcPr>
            <w:tcW w:w="697" w:type="pct"/>
            <w:vAlign w:val="center"/>
          </w:tcPr>
          <w:p w14:paraId="3CFDEC69">
            <w:pPr>
              <w:spacing w:line="400" w:lineRule="exact"/>
              <w:jc w:val="center"/>
              <w:rPr>
                <w:rFonts w:hint="eastAsia" w:ascii="宋体" w:hAnsi="宋体" w:eastAsia="宋体" w:cs="宋体"/>
                <w:sz w:val="21"/>
                <w:szCs w:val="21"/>
              </w:rPr>
            </w:pPr>
            <w:r>
              <w:rPr>
                <w:rFonts w:hint="eastAsia" w:ascii="宋体" w:hAnsi="宋体" w:eastAsia="宋体" w:cs="宋体"/>
                <w:sz w:val="21"/>
                <w:szCs w:val="21"/>
              </w:rPr>
              <w:t>本项目所属行业</w:t>
            </w:r>
          </w:p>
        </w:tc>
        <w:tc>
          <w:tcPr>
            <w:tcW w:w="3877" w:type="pct"/>
            <w:gridSpan w:val="2"/>
            <w:vAlign w:val="center"/>
          </w:tcPr>
          <w:p w14:paraId="69E7CA4D">
            <w:pPr>
              <w:spacing w:line="40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所属行业：租赁和商务服务业。</w:t>
            </w:r>
          </w:p>
          <w:p w14:paraId="36EDA0C8">
            <w:pPr>
              <w:spacing w:line="40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划定标准为：中小微企业划分按照《国家统计局关于印发&lt;统计上大中小微型企业划分办法（2017）&gt;的通知》国统字【2017】213号文件及《工业和信息化部、国家统计局、国家发展和改革委员会、财政部关于印发&lt;中小企业划型标准规定&gt;（工信部联企业〔2011〕300号）规定的划分标准为依据。（见附件）</w:t>
            </w:r>
          </w:p>
        </w:tc>
      </w:tr>
      <w:tr w14:paraId="43694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5" w:type="pct"/>
            <w:vAlign w:val="center"/>
          </w:tcPr>
          <w:p w14:paraId="3D5028A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10.16</w:t>
            </w:r>
          </w:p>
        </w:tc>
        <w:tc>
          <w:tcPr>
            <w:tcW w:w="697" w:type="pct"/>
            <w:vAlign w:val="center"/>
          </w:tcPr>
          <w:p w14:paraId="32461B4B">
            <w:pPr>
              <w:spacing w:line="360" w:lineRule="auto"/>
              <w:jc w:val="center"/>
              <w:rPr>
                <w:rFonts w:hint="eastAsia" w:ascii="宋体" w:hAnsi="宋体" w:eastAsia="宋体" w:cs="宋体"/>
                <w:sz w:val="21"/>
                <w:szCs w:val="21"/>
              </w:rPr>
            </w:pPr>
            <w:r>
              <w:rPr>
                <w:rFonts w:hint="eastAsia" w:ascii="宋体" w:hAnsi="宋体" w:eastAsia="宋体" w:cs="宋体"/>
                <w:b/>
                <w:sz w:val="21"/>
                <w:szCs w:val="21"/>
              </w:rPr>
              <w:t>四方评价</w:t>
            </w:r>
          </w:p>
        </w:tc>
        <w:tc>
          <w:tcPr>
            <w:tcW w:w="3877" w:type="pct"/>
            <w:gridSpan w:val="2"/>
            <w:vAlign w:val="center"/>
          </w:tcPr>
          <w:p w14:paraId="2AA4D1B6">
            <w:pPr>
              <w:spacing w:line="360" w:lineRule="auto"/>
              <w:jc w:val="left"/>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Cs/>
                <w:sz w:val="21"/>
                <w:szCs w:val="21"/>
              </w:rPr>
              <w:t>根据《平顶山市财政局关于实行政府采购项目四方评价的通知》要求，自2023年起，我市所有政府采购项目实行信用评价。采购人、采购代理机构、评审专家、供应商在“评标结束”、“履约验收”后通过平顶山市政府采购网-评价管理-信用评价模块进行评价，供应商应在合同备案前注册政府采购网账号。</w:t>
            </w:r>
          </w:p>
          <w:p w14:paraId="352BDE3B">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各相关单位及个人须按照下表时间节点，及时在政府采购网上进行评价：</w:t>
            </w:r>
          </w:p>
          <w:tbl>
            <w:tblPr>
              <w:tblStyle w:val="34"/>
              <w:tblW w:w="7820" w:type="dxa"/>
              <w:tblInd w:w="0" w:type="dxa"/>
              <w:tblLayout w:type="fixed"/>
              <w:tblCellMar>
                <w:top w:w="0" w:type="dxa"/>
                <w:left w:w="108" w:type="dxa"/>
                <w:bottom w:w="0" w:type="dxa"/>
                <w:right w:w="108" w:type="dxa"/>
              </w:tblCellMar>
            </w:tblPr>
            <w:tblGrid>
              <w:gridCol w:w="1741"/>
              <w:gridCol w:w="2167"/>
              <w:gridCol w:w="1741"/>
              <w:gridCol w:w="2171"/>
            </w:tblGrid>
            <w:tr w14:paraId="7D85A45B">
              <w:tblPrEx>
                <w:tblCellMar>
                  <w:top w:w="0" w:type="dxa"/>
                  <w:left w:w="108" w:type="dxa"/>
                  <w:bottom w:w="0" w:type="dxa"/>
                  <w:right w:w="108" w:type="dxa"/>
                </w:tblCellMar>
              </w:tblPrEx>
              <w:trPr>
                <w:trHeight w:val="567" w:hRule="atLeast"/>
              </w:trPr>
              <w:tc>
                <w:tcPr>
                  <w:tcW w:w="7820" w:type="dxa"/>
                  <w:gridSpan w:val="4"/>
                  <w:tcBorders>
                    <w:top w:val="nil"/>
                    <w:left w:val="nil"/>
                    <w:bottom w:val="single" w:color="auto" w:sz="4" w:space="0"/>
                    <w:right w:val="nil"/>
                  </w:tcBorders>
                  <w:noWrap/>
                  <w:vAlign w:val="center"/>
                </w:tcPr>
                <w:p w14:paraId="450C63D2">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四方评价时间节点</w:t>
                  </w:r>
                </w:p>
              </w:tc>
            </w:tr>
            <w:tr w14:paraId="2702232D">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468FCE20">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评价主体</w:t>
                  </w:r>
                </w:p>
              </w:tc>
              <w:tc>
                <w:tcPr>
                  <w:tcW w:w="2167" w:type="dxa"/>
                  <w:tcBorders>
                    <w:top w:val="nil"/>
                    <w:left w:val="nil"/>
                    <w:bottom w:val="single" w:color="auto" w:sz="4" w:space="0"/>
                    <w:right w:val="single" w:color="auto" w:sz="4" w:space="0"/>
                  </w:tcBorders>
                  <w:noWrap/>
                  <w:vAlign w:val="center"/>
                </w:tcPr>
                <w:p w14:paraId="1DF12360">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被评价主体</w:t>
                  </w:r>
                </w:p>
              </w:tc>
              <w:tc>
                <w:tcPr>
                  <w:tcW w:w="1741" w:type="dxa"/>
                  <w:tcBorders>
                    <w:top w:val="nil"/>
                    <w:left w:val="nil"/>
                    <w:bottom w:val="single" w:color="auto" w:sz="4" w:space="0"/>
                    <w:right w:val="single" w:color="auto" w:sz="4" w:space="0"/>
                  </w:tcBorders>
                  <w:noWrap/>
                  <w:vAlign w:val="center"/>
                </w:tcPr>
                <w:p w14:paraId="20A9748E">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评价环节</w:t>
                  </w:r>
                </w:p>
              </w:tc>
              <w:tc>
                <w:tcPr>
                  <w:tcW w:w="2171" w:type="dxa"/>
                  <w:tcBorders>
                    <w:top w:val="nil"/>
                    <w:left w:val="nil"/>
                    <w:bottom w:val="single" w:color="auto" w:sz="4" w:space="0"/>
                    <w:right w:val="single" w:color="auto" w:sz="4" w:space="0"/>
                  </w:tcBorders>
                  <w:noWrap/>
                  <w:vAlign w:val="center"/>
                </w:tcPr>
                <w:p w14:paraId="1CEAFF73">
                  <w:pPr>
                    <w:widowControl/>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评价节点</w:t>
                  </w:r>
                </w:p>
              </w:tc>
            </w:tr>
            <w:tr w14:paraId="7366EE7D">
              <w:tblPrEx>
                <w:tblCellMar>
                  <w:top w:w="0" w:type="dxa"/>
                  <w:left w:w="108" w:type="dxa"/>
                  <w:bottom w:w="0" w:type="dxa"/>
                  <w:right w:w="108" w:type="dxa"/>
                </w:tblCellMar>
              </w:tblPrEx>
              <w:trPr>
                <w:trHeight w:val="567" w:hRule="atLeast"/>
              </w:trPr>
              <w:tc>
                <w:tcPr>
                  <w:tcW w:w="1741" w:type="dxa"/>
                  <w:vMerge w:val="restart"/>
                  <w:tcBorders>
                    <w:top w:val="nil"/>
                    <w:left w:val="single" w:color="auto" w:sz="4" w:space="0"/>
                    <w:bottom w:val="single" w:color="auto" w:sz="4" w:space="0"/>
                    <w:right w:val="single" w:color="auto" w:sz="4" w:space="0"/>
                  </w:tcBorders>
                  <w:noWrap/>
                  <w:vAlign w:val="center"/>
                </w:tcPr>
                <w:p w14:paraId="17A5478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采购人</w:t>
                  </w:r>
                </w:p>
              </w:tc>
              <w:tc>
                <w:tcPr>
                  <w:tcW w:w="2167" w:type="dxa"/>
                  <w:tcBorders>
                    <w:top w:val="nil"/>
                    <w:left w:val="nil"/>
                    <w:bottom w:val="single" w:color="auto" w:sz="4" w:space="0"/>
                    <w:right w:val="single" w:color="auto" w:sz="4" w:space="0"/>
                  </w:tcBorders>
                  <w:noWrap/>
                  <w:vAlign w:val="center"/>
                </w:tcPr>
                <w:p w14:paraId="4016D3A8">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供应商</w:t>
                  </w:r>
                </w:p>
              </w:tc>
              <w:tc>
                <w:tcPr>
                  <w:tcW w:w="1741" w:type="dxa"/>
                  <w:tcBorders>
                    <w:top w:val="nil"/>
                    <w:left w:val="nil"/>
                    <w:bottom w:val="single" w:color="auto" w:sz="4" w:space="0"/>
                    <w:right w:val="single" w:color="auto" w:sz="4" w:space="0"/>
                  </w:tcBorders>
                  <w:noWrap/>
                  <w:vAlign w:val="center"/>
                </w:tcPr>
                <w:p w14:paraId="14052B5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69586D22">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7DF1B315">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7F1A81A9">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262C28B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1741" w:type="dxa"/>
                  <w:tcBorders>
                    <w:top w:val="nil"/>
                    <w:left w:val="nil"/>
                    <w:bottom w:val="single" w:color="auto" w:sz="4" w:space="0"/>
                    <w:right w:val="single" w:color="auto" w:sz="4" w:space="0"/>
                  </w:tcBorders>
                  <w:noWrap/>
                  <w:vAlign w:val="center"/>
                </w:tcPr>
                <w:p w14:paraId="1A0C2DFF">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1EC80B7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4F7A81BF">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2322D269">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6FE56600">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285B98E3">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39906409">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1BE747AE">
              <w:tblPrEx>
                <w:tblCellMar>
                  <w:top w:w="0" w:type="dxa"/>
                  <w:left w:w="108" w:type="dxa"/>
                  <w:bottom w:w="0" w:type="dxa"/>
                  <w:right w:w="108" w:type="dxa"/>
                </w:tblCellMar>
              </w:tblPrEx>
              <w:trPr>
                <w:trHeight w:val="567" w:hRule="atLeast"/>
              </w:trPr>
              <w:tc>
                <w:tcPr>
                  <w:tcW w:w="1741" w:type="dxa"/>
                  <w:vMerge w:val="restart"/>
                  <w:tcBorders>
                    <w:top w:val="nil"/>
                    <w:left w:val="single" w:color="auto" w:sz="4" w:space="0"/>
                    <w:bottom w:val="single" w:color="auto" w:sz="4" w:space="0"/>
                    <w:right w:val="single" w:color="auto" w:sz="4" w:space="0"/>
                  </w:tcBorders>
                  <w:noWrap/>
                  <w:vAlign w:val="center"/>
                </w:tcPr>
                <w:p w14:paraId="67F5BBD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供应商</w:t>
                  </w:r>
                </w:p>
              </w:tc>
              <w:tc>
                <w:tcPr>
                  <w:tcW w:w="2167" w:type="dxa"/>
                  <w:tcBorders>
                    <w:top w:val="nil"/>
                    <w:left w:val="nil"/>
                    <w:bottom w:val="single" w:color="auto" w:sz="4" w:space="0"/>
                    <w:right w:val="single" w:color="auto" w:sz="4" w:space="0"/>
                  </w:tcBorders>
                  <w:noWrap/>
                  <w:vAlign w:val="center"/>
                </w:tcPr>
                <w:p w14:paraId="0E76DE64">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采购人</w:t>
                  </w:r>
                </w:p>
              </w:tc>
              <w:tc>
                <w:tcPr>
                  <w:tcW w:w="1741" w:type="dxa"/>
                  <w:tcBorders>
                    <w:top w:val="nil"/>
                    <w:left w:val="nil"/>
                    <w:bottom w:val="single" w:color="auto" w:sz="4" w:space="0"/>
                    <w:right w:val="single" w:color="auto" w:sz="4" w:space="0"/>
                  </w:tcBorders>
                  <w:noWrap/>
                  <w:vAlign w:val="center"/>
                </w:tcPr>
                <w:p w14:paraId="6EC4E64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26D5F7AE">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01BB185B">
              <w:tblPrEx>
                <w:tblCellMar>
                  <w:top w:w="0" w:type="dxa"/>
                  <w:left w:w="108" w:type="dxa"/>
                  <w:bottom w:w="0" w:type="dxa"/>
                  <w:right w:w="108" w:type="dxa"/>
                </w:tblCellMar>
              </w:tblPrEx>
              <w:trPr>
                <w:trHeight w:val="567" w:hRule="atLeast"/>
              </w:trPr>
              <w:tc>
                <w:tcPr>
                  <w:tcW w:w="1741" w:type="dxa"/>
                  <w:vMerge w:val="continue"/>
                  <w:tcBorders>
                    <w:top w:val="nil"/>
                    <w:left w:val="single" w:color="auto" w:sz="4" w:space="0"/>
                    <w:bottom w:val="single" w:color="auto" w:sz="4" w:space="0"/>
                    <w:right w:val="single" w:color="auto" w:sz="4" w:space="0"/>
                  </w:tcBorders>
                  <w:vAlign w:val="center"/>
                </w:tcPr>
                <w:p w14:paraId="3D173510">
                  <w:pPr>
                    <w:widowControl/>
                    <w:jc w:val="left"/>
                    <w:rPr>
                      <w:rFonts w:hint="eastAsia" w:ascii="宋体" w:hAnsi="宋体" w:eastAsia="宋体" w:cs="宋体"/>
                      <w:kern w:val="0"/>
                      <w:sz w:val="21"/>
                      <w:szCs w:val="21"/>
                    </w:rPr>
                  </w:pPr>
                </w:p>
              </w:tc>
              <w:tc>
                <w:tcPr>
                  <w:tcW w:w="2167" w:type="dxa"/>
                  <w:tcBorders>
                    <w:top w:val="nil"/>
                    <w:left w:val="nil"/>
                    <w:bottom w:val="single" w:color="auto" w:sz="4" w:space="0"/>
                    <w:right w:val="single" w:color="auto" w:sz="4" w:space="0"/>
                  </w:tcBorders>
                  <w:noWrap/>
                  <w:vAlign w:val="center"/>
                </w:tcPr>
                <w:p w14:paraId="43EC290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28738D6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履约验收</w:t>
                  </w:r>
                </w:p>
              </w:tc>
              <w:tc>
                <w:tcPr>
                  <w:tcW w:w="2171" w:type="dxa"/>
                  <w:tcBorders>
                    <w:top w:val="nil"/>
                    <w:left w:val="nil"/>
                    <w:bottom w:val="single" w:color="auto" w:sz="4" w:space="0"/>
                    <w:right w:val="single" w:color="auto" w:sz="4" w:space="0"/>
                  </w:tcBorders>
                  <w:noWrap/>
                  <w:vAlign w:val="center"/>
                </w:tcPr>
                <w:p w14:paraId="00D7B6EB">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1EF16D44">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590C476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2167" w:type="dxa"/>
                  <w:tcBorders>
                    <w:top w:val="nil"/>
                    <w:left w:val="nil"/>
                    <w:bottom w:val="single" w:color="auto" w:sz="4" w:space="0"/>
                    <w:right w:val="single" w:color="auto" w:sz="4" w:space="0"/>
                  </w:tcBorders>
                  <w:noWrap/>
                  <w:vAlign w:val="center"/>
                </w:tcPr>
                <w:p w14:paraId="0C21BDD1">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1741" w:type="dxa"/>
                  <w:tcBorders>
                    <w:top w:val="nil"/>
                    <w:left w:val="nil"/>
                    <w:bottom w:val="single" w:color="auto" w:sz="4" w:space="0"/>
                    <w:right w:val="single" w:color="auto" w:sz="4" w:space="0"/>
                  </w:tcBorders>
                  <w:noWrap/>
                  <w:vAlign w:val="center"/>
                </w:tcPr>
                <w:p w14:paraId="2F5219C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7FEEAA4D">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r w14:paraId="28B74859">
              <w:tblPrEx>
                <w:tblCellMar>
                  <w:top w:w="0" w:type="dxa"/>
                  <w:left w:w="108" w:type="dxa"/>
                  <w:bottom w:w="0" w:type="dxa"/>
                  <w:right w:w="108" w:type="dxa"/>
                </w:tblCellMar>
              </w:tblPrEx>
              <w:trPr>
                <w:trHeight w:val="567" w:hRule="atLeast"/>
              </w:trPr>
              <w:tc>
                <w:tcPr>
                  <w:tcW w:w="1741" w:type="dxa"/>
                  <w:tcBorders>
                    <w:top w:val="nil"/>
                    <w:left w:val="single" w:color="auto" w:sz="4" w:space="0"/>
                    <w:bottom w:val="single" w:color="auto" w:sz="4" w:space="0"/>
                    <w:right w:val="single" w:color="auto" w:sz="4" w:space="0"/>
                  </w:tcBorders>
                  <w:noWrap/>
                  <w:vAlign w:val="center"/>
                </w:tcPr>
                <w:p w14:paraId="25F39815">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评审专家</w:t>
                  </w:r>
                </w:p>
              </w:tc>
              <w:tc>
                <w:tcPr>
                  <w:tcW w:w="2167" w:type="dxa"/>
                  <w:tcBorders>
                    <w:top w:val="nil"/>
                    <w:left w:val="nil"/>
                    <w:bottom w:val="single" w:color="auto" w:sz="4" w:space="0"/>
                    <w:right w:val="single" w:color="auto" w:sz="4" w:space="0"/>
                  </w:tcBorders>
                  <w:noWrap/>
                  <w:vAlign w:val="center"/>
                </w:tcPr>
                <w:p w14:paraId="02FB92C6">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代理机构</w:t>
                  </w:r>
                </w:p>
              </w:tc>
              <w:tc>
                <w:tcPr>
                  <w:tcW w:w="1741" w:type="dxa"/>
                  <w:tcBorders>
                    <w:top w:val="nil"/>
                    <w:left w:val="nil"/>
                    <w:bottom w:val="single" w:color="auto" w:sz="4" w:space="0"/>
                    <w:right w:val="single" w:color="auto" w:sz="4" w:space="0"/>
                  </w:tcBorders>
                  <w:noWrap/>
                  <w:vAlign w:val="center"/>
                </w:tcPr>
                <w:p w14:paraId="09B39F17">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评标结束</w:t>
                  </w:r>
                </w:p>
              </w:tc>
              <w:tc>
                <w:tcPr>
                  <w:tcW w:w="2171" w:type="dxa"/>
                  <w:tcBorders>
                    <w:top w:val="nil"/>
                    <w:left w:val="nil"/>
                    <w:bottom w:val="single" w:color="auto" w:sz="4" w:space="0"/>
                    <w:right w:val="single" w:color="auto" w:sz="4" w:space="0"/>
                  </w:tcBorders>
                  <w:noWrap/>
                  <w:vAlign w:val="center"/>
                </w:tcPr>
                <w:p w14:paraId="2CCF135C">
                  <w:pPr>
                    <w:widowControl/>
                    <w:jc w:val="center"/>
                    <w:rPr>
                      <w:rFonts w:hint="eastAsia" w:ascii="宋体" w:hAnsi="宋体" w:eastAsia="宋体" w:cs="宋体"/>
                      <w:kern w:val="0"/>
                      <w:sz w:val="21"/>
                      <w:szCs w:val="21"/>
                    </w:rPr>
                  </w:pPr>
                  <w:r>
                    <w:rPr>
                      <w:rFonts w:hint="eastAsia" w:ascii="宋体" w:hAnsi="宋体" w:eastAsia="宋体" w:cs="宋体"/>
                      <w:kern w:val="0"/>
                      <w:sz w:val="21"/>
                      <w:szCs w:val="21"/>
                    </w:rPr>
                    <w:t>5个工作日内</w:t>
                  </w:r>
                </w:p>
              </w:tc>
            </w:tr>
          </w:tbl>
          <w:p w14:paraId="616AC51D">
            <w:pPr>
              <w:pStyle w:val="73"/>
              <w:rPr>
                <w:rFonts w:hint="eastAsia" w:ascii="宋体" w:hAnsi="宋体" w:eastAsia="宋体" w:cs="宋体"/>
                <w:sz w:val="21"/>
                <w:szCs w:val="21"/>
              </w:rPr>
            </w:pPr>
          </w:p>
        </w:tc>
      </w:tr>
      <w:tr w14:paraId="0A3C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jc w:val="center"/>
        </w:trPr>
        <w:tc>
          <w:tcPr>
            <w:tcW w:w="847" w:type="dxa"/>
            <w:vAlign w:val="center"/>
          </w:tcPr>
          <w:p w14:paraId="1553E21E">
            <w:pPr>
              <w:spacing w:line="360" w:lineRule="auto"/>
              <w:jc w:val="center"/>
              <w:rPr>
                <w:rFonts w:hint="eastAsia" w:ascii="宋体" w:hAnsi="宋体" w:eastAsia="宋体" w:cs="宋体"/>
                <w:sz w:val="21"/>
                <w:szCs w:val="21"/>
              </w:rPr>
            </w:pPr>
            <w:bookmarkStart w:id="7" w:name="_Toc152045529"/>
            <w:bookmarkStart w:id="8" w:name="_Toc382903902"/>
            <w:bookmarkStart w:id="9" w:name="_Toc152042305"/>
            <w:bookmarkStart w:id="10" w:name="_Toc179632546"/>
            <w:bookmarkStart w:id="11" w:name="_Toc144974497"/>
            <w:bookmarkStart w:id="12" w:name="_Toc23464"/>
            <w:r>
              <w:rPr>
                <w:rFonts w:hint="eastAsia" w:ascii="宋体" w:hAnsi="宋体" w:eastAsia="宋体" w:cs="宋体"/>
                <w:sz w:val="21"/>
                <w:szCs w:val="21"/>
                <w:lang w:val="en-US" w:eastAsia="zh-CN"/>
              </w:rPr>
              <w:t>10.17</w:t>
            </w:r>
          </w:p>
        </w:tc>
        <w:tc>
          <w:tcPr>
            <w:tcW w:w="1389" w:type="dxa"/>
            <w:vAlign w:val="center"/>
          </w:tcPr>
          <w:p w14:paraId="223214E6">
            <w:pPr>
              <w:pStyle w:val="17"/>
              <w:jc w:val="center"/>
              <w:rPr>
                <w:rFonts w:hint="eastAsia" w:ascii="宋体" w:hAnsi="宋体" w:eastAsia="宋体" w:cs="宋体"/>
                <w:b/>
                <w:sz w:val="21"/>
                <w:szCs w:val="21"/>
              </w:rPr>
            </w:pPr>
            <w:r>
              <w:rPr>
                <w:rFonts w:hint="eastAsia" w:ascii="宋体" w:hAnsi="宋体" w:eastAsia="宋体" w:cs="宋体"/>
                <w:b/>
                <w:color w:val="000000"/>
                <w:sz w:val="24"/>
                <w:szCs w:val="24"/>
              </w:rPr>
              <w:t>其他说明</w:t>
            </w:r>
          </w:p>
        </w:tc>
        <w:tc>
          <w:tcPr>
            <w:tcW w:w="7726" w:type="dxa"/>
            <w:gridSpan w:val="2"/>
            <w:vAlign w:val="center"/>
          </w:tcPr>
          <w:p w14:paraId="1A7FDB14">
            <w:pPr>
              <w:snapToGrid w:val="0"/>
              <w:spacing w:line="300" w:lineRule="exact"/>
              <w:ind w:firstLine="482" w:firstLineChars="200"/>
              <w:jc w:val="left"/>
              <w:rPr>
                <w:rFonts w:hint="eastAsia" w:ascii="宋体" w:hAnsi="宋体" w:eastAsia="宋体" w:cs="宋体"/>
                <w:sz w:val="21"/>
                <w:szCs w:val="21"/>
              </w:rPr>
            </w:pPr>
            <w:r>
              <w:rPr>
                <w:rFonts w:hint="eastAsia" w:ascii="宋体" w:hAnsi="宋体" w:eastAsia="宋体" w:cs="宋体"/>
                <w:b/>
                <w:color w:val="000000"/>
                <w:sz w:val="24"/>
              </w:rPr>
              <w:t>各供应商应在</w:t>
            </w:r>
            <w:r>
              <w:rPr>
                <w:rFonts w:hint="eastAsia" w:ascii="宋体" w:hAnsi="宋体" w:eastAsia="宋体" w:cs="宋体"/>
                <w:b/>
                <w:color w:val="000000"/>
                <w:sz w:val="24"/>
                <w:lang w:val="en-US" w:eastAsia="zh-CN"/>
              </w:rPr>
              <w:t>采购</w:t>
            </w:r>
            <w:r>
              <w:rPr>
                <w:rFonts w:hint="eastAsia" w:ascii="宋体" w:hAnsi="宋体" w:eastAsia="宋体" w:cs="宋体"/>
                <w:b/>
                <w:color w:val="000000"/>
                <w:sz w:val="24"/>
              </w:rPr>
              <w:t>文件规定的投标文件截止时间之前在《河南省政府采购网》上完成注册信息。</w:t>
            </w:r>
          </w:p>
        </w:tc>
      </w:tr>
    </w:tbl>
    <w:p w14:paraId="11323C28">
      <w:pPr>
        <w:widowControl/>
        <w:jc w:val="left"/>
        <w:rPr>
          <w:rFonts w:hint="eastAsia" w:ascii="宋体" w:hAnsi="宋体" w:eastAsia="宋体" w:cs="宋体"/>
          <w:b/>
          <w:bCs/>
          <w:sz w:val="21"/>
          <w:szCs w:val="21"/>
        </w:rPr>
      </w:pPr>
      <w:r>
        <w:rPr>
          <w:rFonts w:hint="eastAsia" w:ascii="宋体" w:hAnsi="宋体" w:eastAsia="宋体" w:cs="宋体"/>
          <w:b/>
          <w:bCs/>
          <w:sz w:val="21"/>
          <w:szCs w:val="21"/>
        </w:rPr>
        <w:br w:type="page"/>
      </w:r>
    </w:p>
    <w:p w14:paraId="1E052413">
      <w:pPr>
        <w:pStyle w:val="59"/>
        <w:spacing w:line="360" w:lineRule="auto"/>
        <w:rPr>
          <w:rFonts w:hint="eastAsia" w:ascii="宋体" w:hAnsi="宋体" w:eastAsia="宋体" w:cs="宋体"/>
          <w:b/>
          <w:bCs/>
          <w:sz w:val="21"/>
          <w:szCs w:val="21"/>
        </w:rPr>
      </w:pPr>
      <w:bookmarkStart w:id="13" w:name="_Toc20133"/>
      <w:bookmarkStart w:id="14" w:name="_Toc45177803"/>
      <w:r>
        <w:rPr>
          <w:rFonts w:hint="eastAsia" w:ascii="宋体" w:hAnsi="宋体" w:eastAsia="宋体" w:cs="宋体"/>
          <w:b/>
          <w:bCs/>
          <w:sz w:val="21"/>
          <w:szCs w:val="21"/>
        </w:rPr>
        <w:t>1</w:t>
      </w:r>
      <w:bookmarkEnd w:id="7"/>
      <w:bookmarkEnd w:id="8"/>
      <w:bookmarkEnd w:id="9"/>
      <w:bookmarkEnd w:id="10"/>
      <w:bookmarkEnd w:id="11"/>
      <w:r>
        <w:rPr>
          <w:rFonts w:hint="eastAsia" w:ascii="宋体" w:hAnsi="宋体" w:eastAsia="宋体" w:cs="宋体"/>
          <w:b/>
          <w:bCs/>
          <w:sz w:val="21"/>
          <w:szCs w:val="21"/>
        </w:rPr>
        <w:t>. 总则</w:t>
      </w:r>
      <w:bookmarkEnd w:id="12"/>
      <w:bookmarkEnd w:id="13"/>
      <w:bookmarkEnd w:id="14"/>
    </w:p>
    <w:p w14:paraId="6DFCB6C0">
      <w:pPr>
        <w:pStyle w:val="60"/>
        <w:spacing w:line="360" w:lineRule="auto"/>
        <w:rPr>
          <w:rFonts w:hint="eastAsia" w:ascii="宋体" w:hAnsi="宋体" w:eastAsia="宋体" w:cs="宋体"/>
          <w:sz w:val="21"/>
          <w:szCs w:val="21"/>
        </w:rPr>
      </w:pPr>
      <w:bookmarkStart w:id="15" w:name="_Toc152045530"/>
      <w:bookmarkStart w:id="16" w:name="_Toc179632547"/>
      <w:bookmarkStart w:id="17" w:name="_Toc152042306"/>
      <w:bookmarkStart w:id="18" w:name="_Toc22909"/>
      <w:bookmarkStart w:id="19" w:name="_Toc45177804"/>
      <w:bookmarkStart w:id="20" w:name="_Toc144974498"/>
      <w:r>
        <w:rPr>
          <w:rFonts w:hint="eastAsia" w:ascii="宋体" w:hAnsi="宋体" w:eastAsia="宋体" w:cs="宋体"/>
          <w:sz w:val="21"/>
          <w:szCs w:val="21"/>
        </w:rPr>
        <w:t>1.1 项目概况</w:t>
      </w:r>
      <w:bookmarkEnd w:id="15"/>
      <w:bookmarkEnd w:id="16"/>
      <w:bookmarkEnd w:id="17"/>
      <w:bookmarkEnd w:id="18"/>
      <w:bookmarkEnd w:id="19"/>
      <w:bookmarkEnd w:id="20"/>
    </w:p>
    <w:p w14:paraId="294FE7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1.1.1根据有关法律、法规和规章的规定，本招标项目已具备招标条件，现对本项目进行招标。</w:t>
      </w:r>
    </w:p>
    <w:p w14:paraId="2C93BD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1.1.2 本招标项目采购人：见供应商须知前附表。</w:t>
      </w:r>
    </w:p>
    <w:p w14:paraId="7DD0D8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1.1.3 本招标项目采购代理机构：见供应商须知前附表。</w:t>
      </w:r>
    </w:p>
    <w:p w14:paraId="085F42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1.1.4 本招标项目名称：见供应商须知前附表。</w:t>
      </w:r>
    </w:p>
    <w:p w14:paraId="507CFC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1.1.5 本项目项目地点：见供应商须知前附表。</w:t>
      </w:r>
    </w:p>
    <w:p w14:paraId="00338258">
      <w:pPr>
        <w:pStyle w:val="60"/>
        <w:spacing w:line="360" w:lineRule="auto"/>
        <w:rPr>
          <w:rFonts w:hint="eastAsia" w:ascii="宋体" w:hAnsi="宋体" w:eastAsia="宋体" w:cs="宋体"/>
          <w:sz w:val="21"/>
          <w:szCs w:val="21"/>
        </w:rPr>
      </w:pPr>
      <w:bookmarkStart w:id="21" w:name="_Toc179632548"/>
      <w:bookmarkStart w:id="22" w:name="_Toc152045531"/>
      <w:bookmarkStart w:id="23" w:name="_Toc144974499"/>
      <w:bookmarkStart w:id="24" w:name="_Toc45177805"/>
      <w:bookmarkStart w:id="25" w:name="_Toc19789"/>
      <w:bookmarkStart w:id="26" w:name="_Toc152042307"/>
      <w:r>
        <w:rPr>
          <w:rFonts w:hint="eastAsia" w:ascii="宋体" w:hAnsi="宋体" w:eastAsia="宋体" w:cs="宋体"/>
          <w:sz w:val="21"/>
          <w:szCs w:val="21"/>
        </w:rPr>
        <w:t>1.2 资金来源和落实情况</w:t>
      </w:r>
      <w:bookmarkEnd w:id="21"/>
      <w:bookmarkEnd w:id="22"/>
      <w:bookmarkEnd w:id="23"/>
      <w:bookmarkEnd w:id="24"/>
      <w:bookmarkEnd w:id="25"/>
      <w:bookmarkEnd w:id="26"/>
    </w:p>
    <w:p w14:paraId="4E15608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1.2.1 本招标项目的资金来源：见供应商须知前附表。</w:t>
      </w:r>
    </w:p>
    <w:p w14:paraId="10850DA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1.2.2 本招标项目的出资比例：见供应商须知前附表。</w:t>
      </w:r>
    </w:p>
    <w:p w14:paraId="19C227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1.2.3 本招标项目的资金落实情况：见供应商须知前附表。</w:t>
      </w:r>
    </w:p>
    <w:p w14:paraId="353C484E">
      <w:pPr>
        <w:pStyle w:val="60"/>
        <w:spacing w:line="360" w:lineRule="auto"/>
        <w:rPr>
          <w:rFonts w:hint="eastAsia" w:ascii="宋体" w:hAnsi="宋体" w:eastAsia="宋体" w:cs="宋体"/>
          <w:sz w:val="21"/>
          <w:szCs w:val="21"/>
        </w:rPr>
      </w:pPr>
      <w:bookmarkStart w:id="27" w:name="_Toc152042308"/>
      <w:bookmarkStart w:id="28" w:name="_Toc45177806"/>
      <w:bookmarkStart w:id="29" w:name="_Toc29441"/>
      <w:bookmarkStart w:id="30" w:name="_Toc179632549"/>
      <w:bookmarkStart w:id="31" w:name="_Toc152045532"/>
      <w:bookmarkStart w:id="32" w:name="_Toc144974500"/>
      <w:r>
        <w:rPr>
          <w:rFonts w:hint="eastAsia" w:ascii="宋体" w:hAnsi="宋体" w:eastAsia="宋体" w:cs="宋体"/>
          <w:sz w:val="21"/>
          <w:szCs w:val="21"/>
        </w:rPr>
        <w:t>1.3 招标范围、服务期限和质量要求</w:t>
      </w:r>
      <w:bookmarkEnd w:id="27"/>
      <w:bookmarkEnd w:id="28"/>
      <w:bookmarkEnd w:id="29"/>
      <w:bookmarkEnd w:id="30"/>
      <w:bookmarkEnd w:id="31"/>
      <w:bookmarkEnd w:id="32"/>
    </w:p>
    <w:p w14:paraId="493414D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1.3.1 本次招标范围：见供应商须知前附表。</w:t>
      </w:r>
    </w:p>
    <w:p w14:paraId="103F6D6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1.3.2 本项目的服务期限：见供应商须知前附表。</w:t>
      </w:r>
    </w:p>
    <w:p w14:paraId="6FC2F84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1.3.3 本项目的质量要求：见供应商须知前附表。</w:t>
      </w:r>
    </w:p>
    <w:p w14:paraId="1CF678BA">
      <w:pPr>
        <w:pStyle w:val="60"/>
        <w:spacing w:line="360" w:lineRule="auto"/>
        <w:rPr>
          <w:rFonts w:hint="eastAsia" w:ascii="宋体" w:hAnsi="宋体" w:eastAsia="宋体" w:cs="宋体"/>
          <w:sz w:val="21"/>
          <w:szCs w:val="21"/>
        </w:rPr>
      </w:pPr>
      <w:bookmarkStart w:id="33" w:name="_Toc152042310"/>
      <w:bookmarkStart w:id="34" w:name="_Toc144974502"/>
      <w:bookmarkStart w:id="35" w:name="_Toc152045534"/>
      <w:bookmarkStart w:id="36" w:name="_Toc179632551"/>
      <w:bookmarkStart w:id="37" w:name="_Toc45177807"/>
      <w:bookmarkStart w:id="38" w:name="_Toc1004"/>
      <w:r>
        <w:rPr>
          <w:rFonts w:hint="eastAsia" w:ascii="宋体" w:hAnsi="宋体" w:eastAsia="宋体" w:cs="宋体"/>
          <w:sz w:val="21"/>
          <w:szCs w:val="21"/>
        </w:rPr>
        <w:t>1.4 供应商资格要求</w:t>
      </w:r>
      <w:bookmarkEnd w:id="33"/>
      <w:bookmarkEnd w:id="34"/>
      <w:bookmarkEnd w:id="35"/>
      <w:bookmarkEnd w:id="36"/>
      <w:bookmarkEnd w:id="37"/>
      <w:bookmarkEnd w:id="38"/>
    </w:p>
    <w:p w14:paraId="098924BE">
      <w:pPr>
        <w:spacing w:line="360" w:lineRule="auto"/>
        <w:ind w:firstLine="420" w:firstLineChars="200"/>
        <w:rPr>
          <w:rFonts w:hint="eastAsia" w:ascii="宋体" w:hAnsi="宋体" w:eastAsia="宋体" w:cs="宋体"/>
          <w:sz w:val="21"/>
          <w:szCs w:val="21"/>
        </w:rPr>
      </w:pPr>
      <w:bookmarkStart w:id="39" w:name="_Toc179632552"/>
      <w:bookmarkStart w:id="40" w:name="_Toc152045535"/>
      <w:bookmarkStart w:id="41" w:name="_Toc144974503"/>
      <w:bookmarkStart w:id="42" w:name="_Toc152042311"/>
      <w:bookmarkStart w:id="43" w:name="_Toc45177808"/>
      <w:r>
        <w:rPr>
          <w:rFonts w:hint="eastAsia" w:ascii="宋体" w:hAnsi="宋体" w:eastAsia="宋体" w:cs="宋体"/>
          <w:sz w:val="21"/>
          <w:szCs w:val="21"/>
        </w:rPr>
        <w:t>见供应商须知前附表</w:t>
      </w:r>
    </w:p>
    <w:p w14:paraId="4068854C">
      <w:pPr>
        <w:pStyle w:val="60"/>
        <w:spacing w:line="360" w:lineRule="auto"/>
        <w:rPr>
          <w:rFonts w:hint="eastAsia" w:ascii="宋体" w:hAnsi="宋体" w:eastAsia="宋体" w:cs="宋体"/>
          <w:sz w:val="21"/>
          <w:szCs w:val="21"/>
        </w:rPr>
      </w:pPr>
      <w:bookmarkStart w:id="44" w:name="_Toc31429"/>
      <w:r>
        <w:rPr>
          <w:rFonts w:hint="eastAsia" w:ascii="宋体" w:hAnsi="宋体" w:eastAsia="宋体" w:cs="宋体"/>
          <w:sz w:val="21"/>
          <w:szCs w:val="21"/>
        </w:rPr>
        <w:t>1.5 费用承担</w:t>
      </w:r>
      <w:bookmarkEnd w:id="39"/>
      <w:bookmarkEnd w:id="40"/>
      <w:bookmarkEnd w:id="41"/>
      <w:bookmarkEnd w:id="42"/>
      <w:bookmarkEnd w:id="43"/>
      <w:bookmarkEnd w:id="44"/>
    </w:p>
    <w:p w14:paraId="737371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供应商准备和参加投标活动发生的费用自理。</w:t>
      </w:r>
    </w:p>
    <w:p w14:paraId="78C3DB51">
      <w:pPr>
        <w:pStyle w:val="60"/>
        <w:spacing w:line="360" w:lineRule="auto"/>
        <w:rPr>
          <w:rFonts w:hint="eastAsia" w:ascii="宋体" w:hAnsi="宋体" w:eastAsia="宋体" w:cs="宋体"/>
          <w:sz w:val="21"/>
          <w:szCs w:val="21"/>
        </w:rPr>
      </w:pPr>
      <w:bookmarkStart w:id="45" w:name="_Toc152045536"/>
      <w:bookmarkStart w:id="46" w:name="_Toc179632553"/>
      <w:bookmarkStart w:id="47" w:name="_Toc152042312"/>
      <w:bookmarkStart w:id="48" w:name="_Toc144974504"/>
      <w:bookmarkStart w:id="49" w:name="_Toc19043"/>
      <w:bookmarkStart w:id="50" w:name="_Toc45177809"/>
      <w:r>
        <w:rPr>
          <w:rFonts w:hint="eastAsia" w:ascii="宋体" w:hAnsi="宋体" w:eastAsia="宋体" w:cs="宋体"/>
          <w:sz w:val="21"/>
          <w:szCs w:val="21"/>
        </w:rPr>
        <w:t>1.6 保密</w:t>
      </w:r>
      <w:bookmarkEnd w:id="45"/>
      <w:bookmarkEnd w:id="46"/>
      <w:bookmarkEnd w:id="47"/>
      <w:bookmarkEnd w:id="48"/>
      <w:bookmarkEnd w:id="49"/>
      <w:bookmarkEnd w:id="50"/>
    </w:p>
    <w:p w14:paraId="469A0B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参与招标投标活动的各方应对磋商文件和响应文件中的商业和技术等秘密保密，违者应对由此造成的后果承担法律责任。 </w:t>
      </w:r>
    </w:p>
    <w:p w14:paraId="2196845C">
      <w:pPr>
        <w:pStyle w:val="60"/>
        <w:spacing w:line="360" w:lineRule="auto"/>
        <w:rPr>
          <w:rFonts w:hint="eastAsia" w:ascii="宋体" w:hAnsi="宋体" w:eastAsia="宋体" w:cs="宋体"/>
          <w:sz w:val="21"/>
          <w:szCs w:val="21"/>
        </w:rPr>
      </w:pPr>
      <w:bookmarkStart w:id="51" w:name="_Toc144974505"/>
      <w:bookmarkStart w:id="52" w:name="_Toc27707"/>
      <w:bookmarkStart w:id="53" w:name="_Toc152042313"/>
      <w:bookmarkStart w:id="54" w:name="_Toc152045537"/>
      <w:bookmarkStart w:id="55" w:name="_Toc179632554"/>
      <w:bookmarkStart w:id="56" w:name="_Toc45177810"/>
      <w:r>
        <w:rPr>
          <w:rFonts w:hint="eastAsia" w:ascii="宋体" w:hAnsi="宋体" w:eastAsia="宋体" w:cs="宋体"/>
          <w:sz w:val="21"/>
          <w:szCs w:val="21"/>
        </w:rPr>
        <w:t>1.7 语言</w:t>
      </w:r>
      <w:bookmarkEnd w:id="51"/>
      <w:r>
        <w:rPr>
          <w:rFonts w:hint="eastAsia" w:ascii="宋体" w:hAnsi="宋体" w:eastAsia="宋体" w:cs="宋体"/>
          <w:sz w:val="21"/>
          <w:szCs w:val="21"/>
        </w:rPr>
        <w:t>文字</w:t>
      </w:r>
      <w:bookmarkEnd w:id="52"/>
      <w:bookmarkEnd w:id="53"/>
      <w:bookmarkEnd w:id="54"/>
      <w:bookmarkEnd w:id="55"/>
      <w:bookmarkEnd w:id="56"/>
    </w:p>
    <w:p w14:paraId="7616CC7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除专用术语外，与招标投标有关的语言均使用中文。必要时专用术语应附有中文注释。</w:t>
      </w:r>
    </w:p>
    <w:p w14:paraId="3D581A9D">
      <w:pPr>
        <w:pStyle w:val="60"/>
        <w:spacing w:line="360" w:lineRule="auto"/>
        <w:rPr>
          <w:rFonts w:hint="eastAsia" w:ascii="宋体" w:hAnsi="宋体" w:eastAsia="宋体" w:cs="宋体"/>
          <w:sz w:val="21"/>
          <w:szCs w:val="21"/>
        </w:rPr>
      </w:pPr>
      <w:bookmarkStart w:id="57" w:name="_Toc3337"/>
      <w:bookmarkStart w:id="58" w:name="_Toc152045538"/>
      <w:bookmarkStart w:id="59" w:name="_Toc152042314"/>
      <w:bookmarkStart w:id="60" w:name="_Toc45177811"/>
      <w:bookmarkStart w:id="61" w:name="_Toc144974506"/>
      <w:bookmarkStart w:id="62" w:name="_Toc179632555"/>
      <w:r>
        <w:rPr>
          <w:rFonts w:hint="eastAsia" w:ascii="宋体" w:hAnsi="宋体" w:eastAsia="宋体" w:cs="宋体"/>
          <w:sz w:val="21"/>
          <w:szCs w:val="21"/>
        </w:rPr>
        <w:t>1.8 计量单位</w:t>
      </w:r>
      <w:bookmarkEnd w:id="57"/>
      <w:bookmarkEnd w:id="58"/>
      <w:bookmarkEnd w:id="59"/>
      <w:bookmarkEnd w:id="60"/>
      <w:bookmarkEnd w:id="61"/>
      <w:bookmarkEnd w:id="62"/>
    </w:p>
    <w:p w14:paraId="7C4FB9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所有计量均采用中华人民共和国法定计量单位。</w:t>
      </w:r>
    </w:p>
    <w:p w14:paraId="3940EB89">
      <w:pPr>
        <w:pStyle w:val="60"/>
        <w:spacing w:line="360" w:lineRule="auto"/>
        <w:rPr>
          <w:rFonts w:hint="eastAsia" w:ascii="宋体" w:hAnsi="宋体" w:eastAsia="宋体" w:cs="宋体"/>
          <w:sz w:val="21"/>
          <w:szCs w:val="21"/>
        </w:rPr>
      </w:pPr>
      <w:bookmarkStart w:id="63" w:name="_Toc179632556"/>
      <w:bookmarkStart w:id="64" w:name="_Toc45177812"/>
      <w:bookmarkStart w:id="65" w:name="_Toc152045539"/>
      <w:bookmarkStart w:id="66" w:name="_Toc144974507"/>
      <w:bookmarkStart w:id="67" w:name="_Toc152042315"/>
      <w:bookmarkStart w:id="68" w:name="_Toc11853"/>
      <w:r>
        <w:rPr>
          <w:rFonts w:hint="eastAsia" w:ascii="宋体" w:hAnsi="宋体" w:eastAsia="宋体" w:cs="宋体"/>
          <w:sz w:val="21"/>
          <w:szCs w:val="21"/>
        </w:rPr>
        <w:t>1.9 踏勘现场</w:t>
      </w:r>
      <w:bookmarkEnd w:id="63"/>
      <w:bookmarkEnd w:id="64"/>
      <w:bookmarkEnd w:id="65"/>
      <w:bookmarkEnd w:id="66"/>
      <w:bookmarkEnd w:id="67"/>
      <w:r>
        <w:rPr>
          <w:rFonts w:hint="eastAsia" w:ascii="宋体" w:hAnsi="宋体" w:eastAsia="宋体" w:cs="宋体"/>
          <w:sz w:val="21"/>
          <w:szCs w:val="21"/>
        </w:rPr>
        <w:t>(本项目不适用)</w:t>
      </w:r>
      <w:bookmarkEnd w:id="68"/>
    </w:p>
    <w:p w14:paraId="3244B3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1.9.1 供应商须知前附表规定组织踏勘现场的，采购人按供应商须知前附表规定的时间、地点组织供应商踏勘项目现场。 </w:t>
      </w:r>
    </w:p>
    <w:p w14:paraId="12EBB3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1.9.2 供应商踏勘现场发生的费用自理。</w:t>
      </w:r>
    </w:p>
    <w:p w14:paraId="5D0CB63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1.9.3 除采购人的原因外，供应商自行负责在踏勘现场中所发生的人员伤亡和财产损失。</w:t>
      </w:r>
    </w:p>
    <w:p w14:paraId="0D25B55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1.9.4 采购人在踏勘现场中介绍的工程场地和相关的周边环境情况，供供应商在编制响应文件时参考，采购人不对供应商据此作出的判断和决策负责。</w:t>
      </w:r>
    </w:p>
    <w:p w14:paraId="3B65F0EA">
      <w:pPr>
        <w:pStyle w:val="60"/>
        <w:spacing w:line="360" w:lineRule="auto"/>
        <w:rPr>
          <w:rFonts w:hint="eastAsia" w:ascii="宋体" w:hAnsi="宋体" w:eastAsia="宋体" w:cs="宋体"/>
          <w:sz w:val="21"/>
          <w:szCs w:val="21"/>
        </w:rPr>
      </w:pPr>
      <w:bookmarkStart w:id="69" w:name="_Toc152042316"/>
      <w:bookmarkStart w:id="70" w:name="_Toc152045540"/>
      <w:bookmarkStart w:id="71" w:name="_Toc144974508"/>
      <w:bookmarkStart w:id="72" w:name="_Toc179632557"/>
      <w:bookmarkStart w:id="73" w:name="_Toc15208"/>
      <w:bookmarkStart w:id="74" w:name="_Toc45177813"/>
      <w:r>
        <w:rPr>
          <w:rFonts w:hint="eastAsia" w:ascii="宋体" w:hAnsi="宋体" w:eastAsia="宋体" w:cs="宋体"/>
          <w:sz w:val="21"/>
          <w:szCs w:val="21"/>
        </w:rPr>
        <w:t>1.10 投标预备会</w:t>
      </w:r>
      <w:bookmarkEnd w:id="69"/>
      <w:bookmarkEnd w:id="70"/>
      <w:bookmarkEnd w:id="71"/>
      <w:bookmarkEnd w:id="72"/>
      <w:r>
        <w:rPr>
          <w:rFonts w:hint="eastAsia" w:ascii="宋体" w:hAnsi="宋体" w:eastAsia="宋体" w:cs="宋体"/>
          <w:b/>
          <w:sz w:val="21"/>
          <w:szCs w:val="21"/>
        </w:rPr>
        <w:t>(本项目不适用)</w:t>
      </w:r>
      <w:bookmarkEnd w:id="73"/>
      <w:bookmarkEnd w:id="74"/>
    </w:p>
    <w:p w14:paraId="12544E9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1.10.1 供应商须知前附表规定召开投标预备会的，采购人按供应商须知前附表规定的时间和地点召开投标预备会，澄清供应商提出的问题。</w:t>
      </w:r>
    </w:p>
    <w:p w14:paraId="0EBAE5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1.10.2 供应商应在供应商须知前附表规定的时间前，以书面形式将提出的问题送达采购人，以便采购人在会议期间澄清。</w:t>
      </w:r>
    </w:p>
    <w:p w14:paraId="5626B8D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1.10.3 投标预备会后，采购人在供应商须知前附表规定的时间内，将对供应商所提问题的澄清，以书面方式通知所有购买磋商文件的供应商。该澄清内容为磋商文件的组成部分。</w:t>
      </w:r>
    </w:p>
    <w:p w14:paraId="28B0689A">
      <w:pPr>
        <w:pStyle w:val="60"/>
        <w:spacing w:line="360" w:lineRule="auto"/>
        <w:rPr>
          <w:rFonts w:hint="eastAsia" w:ascii="宋体" w:hAnsi="宋体" w:eastAsia="宋体" w:cs="宋体"/>
          <w:sz w:val="21"/>
          <w:szCs w:val="21"/>
        </w:rPr>
      </w:pPr>
      <w:bookmarkStart w:id="75" w:name="_Toc144974509"/>
      <w:bookmarkStart w:id="76" w:name="_Toc152045541"/>
      <w:bookmarkStart w:id="77" w:name="_Toc152042317"/>
      <w:bookmarkStart w:id="78" w:name="_Toc3479"/>
      <w:bookmarkStart w:id="79" w:name="_Toc45177814"/>
      <w:bookmarkStart w:id="80" w:name="_Toc179632558"/>
      <w:r>
        <w:rPr>
          <w:rFonts w:hint="eastAsia" w:ascii="宋体" w:hAnsi="宋体" w:eastAsia="宋体" w:cs="宋体"/>
          <w:sz w:val="21"/>
          <w:szCs w:val="21"/>
        </w:rPr>
        <w:t>1.11 分包</w:t>
      </w:r>
      <w:bookmarkEnd w:id="75"/>
      <w:bookmarkEnd w:id="76"/>
      <w:bookmarkEnd w:id="77"/>
      <w:bookmarkEnd w:id="78"/>
      <w:bookmarkEnd w:id="79"/>
      <w:bookmarkEnd w:id="80"/>
    </w:p>
    <w:p w14:paraId="159E7541">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成交人应按照合同约定履行义务完成中标项目，不得分包、转包，否则采购人有权取消其中标资格。</w:t>
      </w:r>
    </w:p>
    <w:p w14:paraId="1A7CDA5E">
      <w:pPr>
        <w:pStyle w:val="60"/>
        <w:spacing w:line="360" w:lineRule="auto"/>
        <w:rPr>
          <w:rFonts w:hint="eastAsia" w:ascii="宋体" w:hAnsi="宋体" w:eastAsia="宋体" w:cs="宋体"/>
          <w:sz w:val="21"/>
          <w:szCs w:val="21"/>
        </w:rPr>
      </w:pPr>
      <w:bookmarkStart w:id="81" w:name="_Toc45177815"/>
      <w:bookmarkStart w:id="82" w:name="_Toc179632559"/>
      <w:bookmarkStart w:id="83" w:name="_Toc1528"/>
      <w:r>
        <w:rPr>
          <w:rFonts w:hint="eastAsia" w:ascii="宋体" w:hAnsi="宋体" w:eastAsia="宋体" w:cs="宋体"/>
          <w:sz w:val="21"/>
          <w:szCs w:val="21"/>
        </w:rPr>
        <w:t>1.12 偏离</w:t>
      </w:r>
      <w:bookmarkEnd w:id="81"/>
      <w:bookmarkEnd w:id="82"/>
      <w:bookmarkEnd w:id="83"/>
    </w:p>
    <w:p w14:paraId="0C8339E1">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供应商须知前附表允许响应文件偏离磋商文件某些要求的，偏离应当符合磋商文件规定的偏离范围和幅度。</w:t>
      </w:r>
    </w:p>
    <w:p w14:paraId="082E6E41">
      <w:pPr>
        <w:pStyle w:val="59"/>
        <w:spacing w:line="360" w:lineRule="auto"/>
        <w:rPr>
          <w:rFonts w:hint="eastAsia" w:ascii="宋体" w:hAnsi="宋体" w:eastAsia="宋体" w:cs="宋体"/>
          <w:b/>
          <w:bCs/>
          <w:sz w:val="21"/>
          <w:szCs w:val="21"/>
        </w:rPr>
      </w:pPr>
      <w:bookmarkStart w:id="84" w:name="_Toc144974510"/>
      <w:bookmarkStart w:id="85" w:name="_Toc45177816"/>
      <w:bookmarkStart w:id="86" w:name="_Toc152045542"/>
      <w:bookmarkStart w:id="87" w:name="_Toc179632560"/>
      <w:bookmarkStart w:id="88" w:name="_Toc152042318"/>
      <w:bookmarkStart w:id="89" w:name="_Toc20024"/>
      <w:bookmarkStart w:id="90" w:name="_Toc32183"/>
      <w:r>
        <w:rPr>
          <w:rFonts w:hint="eastAsia" w:ascii="宋体" w:hAnsi="宋体" w:eastAsia="宋体" w:cs="宋体"/>
          <w:b/>
          <w:bCs/>
          <w:sz w:val="21"/>
          <w:szCs w:val="21"/>
        </w:rPr>
        <w:t>2. 磋商文件</w:t>
      </w:r>
      <w:bookmarkEnd w:id="84"/>
      <w:bookmarkEnd w:id="85"/>
      <w:bookmarkEnd w:id="86"/>
      <w:bookmarkEnd w:id="87"/>
      <w:bookmarkEnd w:id="88"/>
      <w:bookmarkEnd w:id="89"/>
      <w:bookmarkEnd w:id="90"/>
    </w:p>
    <w:p w14:paraId="74C49D86">
      <w:pPr>
        <w:pStyle w:val="60"/>
        <w:spacing w:line="360" w:lineRule="auto"/>
        <w:rPr>
          <w:rFonts w:hint="eastAsia" w:ascii="宋体" w:hAnsi="宋体" w:eastAsia="宋体" w:cs="宋体"/>
          <w:sz w:val="21"/>
          <w:szCs w:val="21"/>
        </w:rPr>
      </w:pPr>
      <w:bookmarkStart w:id="91" w:name="_Toc10949"/>
      <w:bookmarkStart w:id="92" w:name="_Toc152045543"/>
      <w:bookmarkStart w:id="93" w:name="_Toc152042319"/>
      <w:bookmarkStart w:id="94" w:name="_Toc45177817"/>
      <w:bookmarkStart w:id="95" w:name="_Toc144974511"/>
      <w:bookmarkStart w:id="96" w:name="_Toc179632561"/>
      <w:r>
        <w:rPr>
          <w:rFonts w:hint="eastAsia" w:ascii="宋体" w:hAnsi="宋体" w:eastAsia="宋体" w:cs="宋体"/>
          <w:sz w:val="21"/>
          <w:szCs w:val="21"/>
        </w:rPr>
        <w:t>2.1 磋商文件的组成</w:t>
      </w:r>
      <w:bookmarkEnd w:id="91"/>
      <w:bookmarkEnd w:id="92"/>
      <w:bookmarkEnd w:id="93"/>
      <w:bookmarkEnd w:id="94"/>
      <w:bookmarkEnd w:id="95"/>
      <w:bookmarkEnd w:id="96"/>
    </w:p>
    <w:p w14:paraId="27BDDFF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本磋商文件包括：</w:t>
      </w:r>
    </w:p>
    <w:p w14:paraId="4E5609D9">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（1）磋商公告；</w:t>
      </w:r>
    </w:p>
    <w:p w14:paraId="70E865E0">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（2）供应商须知；</w:t>
      </w:r>
    </w:p>
    <w:p w14:paraId="2991F556">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（3）评标办法；</w:t>
      </w:r>
    </w:p>
    <w:p w14:paraId="058EBDE1">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（4）合同条款及格式；</w:t>
      </w:r>
    </w:p>
    <w:p w14:paraId="3EA91C78">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（6）响应文件格式；</w:t>
      </w:r>
    </w:p>
    <w:p w14:paraId="6CC722B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根据本章第1.10款、第2.2款和第2.3款对磋商文件所作的澄清、修改，构成磋商文件的组成部分。</w:t>
      </w:r>
    </w:p>
    <w:p w14:paraId="247DA0A5">
      <w:pPr>
        <w:pStyle w:val="60"/>
        <w:spacing w:line="360" w:lineRule="auto"/>
        <w:rPr>
          <w:rFonts w:hint="eastAsia" w:ascii="宋体" w:hAnsi="宋体" w:eastAsia="宋体" w:cs="宋体"/>
          <w:sz w:val="21"/>
          <w:szCs w:val="21"/>
        </w:rPr>
      </w:pPr>
      <w:bookmarkStart w:id="97" w:name="_Toc152045544"/>
      <w:bookmarkStart w:id="98" w:name="_Toc144974512"/>
      <w:bookmarkStart w:id="99" w:name="_Toc152042320"/>
      <w:bookmarkStart w:id="100" w:name="_Toc485"/>
      <w:bookmarkStart w:id="101" w:name="_Toc45177818"/>
      <w:bookmarkStart w:id="102" w:name="_Toc179632562"/>
      <w:r>
        <w:rPr>
          <w:rFonts w:hint="eastAsia" w:ascii="宋体" w:hAnsi="宋体" w:eastAsia="宋体" w:cs="宋体"/>
          <w:sz w:val="21"/>
          <w:szCs w:val="21"/>
        </w:rPr>
        <w:t>2.2 磋商文件的澄清</w:t>
      </w:r>
      <w:bookmarkEnd w:id="97"/>
      <w:bookmarkEnd w:id="98"/>
      <w:bookmarkEnd w:id="99"/>
      <w:bookmarkEnd w:id="100"/>
      <w:bookmarkEnd w:id="101"/>
      <w:bookmarkEnd w:id="102"/>
    </w:p>
    <w:p w14:paraId="6FE9627B">
      <w:pPr>
        <w:spacing w:line="360" w:lineRule="auto"/>
        <w:ind w:firstLine="420" w:firstLineChars="200"/>
        <w:rPr>
          <w:rFonts w:hint="eastAsia" w:ascii="宋体" w:hAnsi="宋体" w:eastAsia="宋体" w:cs="宋体"/>
          <w:sz w:val="21"/>
          <w:szCs w:val="21"/>
        </w:rPr>
      </w:pPr>
      <w:bookmarkStart w:id="103" w:name="_Toc152042321"/>
      <w:bookmarkStart w:id="104" w:name="_Toc144974513"/>
      <w:bookmarkStart w:id="105" w:name="_Toc179632563"/>
      <w:bookmarkStart w:id="106" w:name="_Toc152045545"/>
      <w:r>
        <w:rPr>
          <w:rFonts w:hint="eastAsia" w:ascii="宋体" w:hAnsi="宋体" w:eastAsia="宋体" w:cs="宋体"/>
          <w:sz w:val="21"/>
          <w:szCs w:val="21"/>
        </w:rPr>
        <w:t>2.2.1供应商应仔细阅读和检查磋商文件的全部内容。如发现缺页或附件不全，应及时向采购人提出，以便补齐。如有疑问，应在供应商须知前附表规定的时间前通过平顶山市公共资源交易中心电子交易系统，要求采购人对磋商文件予以澄清。</w:t>
      </w:r>
    </w:p>
    <w:p w14:paraId="3AD740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 磋商文件的澄清将在供应商须知前附表规定的投标截止时间5天前通过平顶山市公共资源交易中心电子交易系统发给所有购买磋商文件的供应商，但不指明澄清问题的来源。如果澄清发出的时间距投标截止时间不足5天，相应延长投标截止时间。</w:t>
      </w:r>
    </w:p>
    <w:p w14:paraId="120541E0">
      <w:pPr>
        <w:pStyle w:val="60"/>
        <w:spacing w:line="360" w:lineRule="auto"/>
        <w:rPr>
          <w:rFonts w:hint="eastAsia" w:ascii="宋体" w:hAnsi="宋体" w:eastAsia="宋体" w:cs="宋体"/>
          <w:sz w:val="21"/>
          <w:szCs w:val="21"/>
        </w:rPr>
      </w:pPr>
      <w:bookmarkStart w:id="107" w:name="_Toc45177819"/>
      <w:bookmarkStart w:id="108" w:name="_Toc20508"/>
      <w:r>
        <w:rPr>
          <w:rFonts w:hint="eastAsia" w:ascii="宋体" w:hAnsi="宋体" w:eastAsia="宋体" w:cs="宋体"/>
          <w:sz w:val="21"/>
          <w:szCs w:val="21"/>
        </w:rPr>
        <w:t>2.3 磋商文件的修改</w:t>
      </w:r>
      <w:bookmarkEnd w:id="103"/>
      <w:bookmarkEnd w:id="104"/>
      <w:bookmarkEnd w:id="105"/>
      <w:bookmarkEnd w:id="106"/>
      <w:bookmarkEnd w:id="107"/>
      <w:bookmarkEnd w:id="108"/>
    </w:p>
    <w:p w14:paraId="2D9571A1">
      <w:pPr>
        <w:spacing w:line="360" w:lineRule="auto"/>
        <w:ind w:firstLine="420" w:firstLineChars="200"/>
        <w:rPr>
          <w:rFonts w:hint="eastAsia" w:ascii="宋体" w:hAnsi="宋体" w:eastAsia="宋体" w:cs="宋体"/>
          <w:sz w:val="21"/>
          <w:szCs w:val="21"/>
        </w:rPr>
      </w:pPr>
      <w:bookmarkStart w:id="109" w:name="_Toc152042322"/>
      <w:bookmarkStart w:id="110" w:name="_Toc179632564"/>
      <w:bookmarkStart w:id="111" w:name="_Toc152045546"/>
      <w:bookmarkStart w:id="112" w:name="_Toc144974514"/>
      <w:r>
        <w:rPr>
          <w:rFonts w:hint="eastAsia" w:ascii="宋体" w:hAnsi="宋体" w:eastAsia="宋体" w:cs="宋体"/>
          <w:sz w:val="21"/>
          <w:szCs w:val="21"/>
        </w:rPr>
        <w:t xml:space="preserve">2.3.1 在投标截止时间5天前，采购人可以通过平顶山市公共资源交易中心电子交易系统修改磋商文件，并通知所有已购买磋商文件的供应商。如果修改磋商文件的时间距投标截止时间不足5天，相应延长投标截止时间。 </w:t>
      </w:r>
    </w:p>
    <w:p w14:paraId="4A657CFE">
      <w:pPr>
        <w:pStyle w:val="59"/>
        <w:spacing w:line="360" w:lineRule="auto"/>
        <w:rPr>
          <w:rFonts w:hint="eastAsia" w:ascii="宋体" w:hAnsi="宋体" w:eastAsia="宋体" w:cs="宋体"/>
          <w:b/>
          <w:bCs/>
          <w:sz w:val="21"/>
          <w:szCs w:val="21"/>
        </w:rPr>
      </w:pPr>
      <w:bookmarkStart w:id="113" w:name="_Toc45177820"/>
      <w:bookmarkStart w:id="114" w:name="_Toc1185"/>
      <w:bookmarkStart w:id="115" w:name="_Toc24420"/>
      <w:r>
        <w:rPr>
          <w:rFonts w:hint="eastAsia" w:ascii="宋体" w:hAnsi="宋体" w:eastAsia="宋体" w:cs="宋体"/>
          <w:b/>
          <w:bCs/>
          <w:sz w:val="21"/>
          <w:szCs w:val="21"/>
        </w:rPr>
        <w:t>3. 响应文件</w:t>
      </w:r>
      <w:bookmarkEnd w:id="109"/>
      <w:bookmarkEnd w:id="110"/>
      <w:bookmarkEnd w:id="111"/>
      <w:bookmarkEnd w:id="112"/>
      <w:bookmarkEnd w:id="113"/>
      <w:bookmarkEnd w:id="114"/>
      <w:bookmarkEnd w:id="115"/>
    </w:p>
    <w:p w14:paraId="1C4DF4C3">
      <w:pPr>
        <w:pStyle w:val="60"/>
        <w:spacing w:line="360" w:lineRule="auto"/>
        <w:rPr>
          <w:rFonts w:hint="eastAsia" w:ascii="宋体" w:hAnsi="宋体" w:eastAsia="宋体" w:cs="宋体"/>
          <w:sz w:val="21"/>
          <w:szCs w:val="21"/>
        </w:rPr>
      </w:pPr>
      <w:bookmarkStart w:id="116" w:name="_Toc144974515"/>
      <w:bookmarkStart w:id="117" w:name="_Toc179632565"/>
      <w:bookmarkStart w:id="118" w:name="_Toc9645"/>
      <w:bookmarkStart w:id="119" w:name="_Toc152042323"/>
      <w:bookmarkStart w:id="120" w:name="_Toc152045547"/>
      <w:bookmarkStart w:id="121" w:name="_Toc45177821"/>
      <w:r>
        <w:rPr>
          <w:rFonts w:hint="eastAsia" w:ascii="宋体" w:hAnsi="宋体" w:eastAsia="宋体" w:cs="宋体"/>
          <w:sz w:val="21"/>
          <w:szCs w:val="21"/>
        </w:rPr>
        <w:t>3.1 响应文件的组成</w:t>
      </w:r>
      <w:bookmarkEnd w:id="116"/>
      <w:bookmarkEnd w:id="117"/>
      <w:bookmarkEnd w:id="118"/>
      <w:bookmarkEnd w:id="119"/>
      <w:bookmarkEnd w:id="120"/>
      <w:bookmarkEnd w:id="121"/>
    </w:p>
    <w:p w14:paraId="441EC9B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3.1.1响应文件应包括下列内容：</w:t>
      </w:r>
    </w:p>
    <w:p w14:paraId="6A9A133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（1）磋商承诺书；</w:t>
      </w:r>
    </w:p>
    <w:p w14:paraId="5FFEF0B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（2）报价表；</w:t>
      </w:r>
    </w:p>
    <w:p w14:paraId="5DB3A03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（3）法定代表人身份证明；</w:t>
      </w:r>
    </w:p>
    <w:p w14:paraId="53643E2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（4）法定代表人授权委托书；</w:t>
      </w:r>
    </w:p>
    <w:p w14:paraId="42E8D17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（5）资格审查资料；</w:t>
      </w:r>
    </w:p>
    <w:p w14:paraId="7DFC29E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（6）技术部分；</w:t>
      </w:r>
    </w:p>
    <w:p w14:paraId="4CA7AEC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（7）其他材料。</w:t>
      </w:r>
    </w:p>
    <w:p w14:paraId="3100B3F3">
      <w:pPr>
        <w:spacing w:line="360" w:lineRule="auto"/>
        <w:ind w:firstLine="420" w:firstLineChars="200"/>
        <w:rPr>
          <w:rFonts w:hint="eastAsia" w:ascii="宋体" w:hAnsi="宋体" w:eastAsia="宋体" w:cs="宋体"/>
          <w:sz w:val="21"/>
          <w:szCs w:val="21"/>
        </w:rPr>
      </w:pPr>
      <w:bookmarkStart w:id="122" w:name="_Toc144974516"/>
      <w:bookmarkStart w:id="123" w:name="_Toc152042324"/>
      <w:bookmarkStart w:id="124" w:name="_Toc152045548"/>
      <w:bookmarkStart w:id="125" w:name="_Toc179632566"/>
      <w:r>
        <w:rPr>
          <w:rFonts w:hint="eastAsia" w:ascii="宋体" w:hAnsi="宋体" w:eastAsia="宋体" w:cs="宋体"/>
          <w:sz w:val="21"/>
          <w:szCs w:val="21"/>
        </w:rPr>
        <w:t>磋商供应商须对本项目要求的服务期限、质量、响应文件有效期作出实质性响应，必须保证其提供的相关资质证明文件的真实性、合法性、时效性，否则，磋商小组将不予推荐。报价部分是指磋商供应商响应采购项目要求而作出的书面报价明细。</w:t>
      </w:r>
    </w:p>
    <w:p w14:paraId="645797B8">
      <w:pPr>
        <w:pStyle w:val="60"/>
        <w:spacing w:line="360" w:lineRule="auto"/>
        <w:rPr>
          <w:rFonts w:hint="eastAsia" w:ascii="宋体" w:hAnsi="宋体" w:eastAsia="宋体" w:cs="宋体"/>
          <w:sz w:val="21"/>
          <w:szCs w:val="21"/>
        </w:rPr>
      </w:pPr>
      <w:bookmarkStart w:id="126" w:name="_Toc45177822"/>
      <w:bookmarkStart w:id="127" w:name="_Toc4257"/>
      <w:r>
        <w:rPr>
          <w:rFonts w:hint="eastAsia" w:ascii="宋体" w:hAnsi="宋体" w:eastAsia="宋体" w:cs="宋体"/>
          <w:sz w:val="21"/>
          <w:szCs w:val="21"/>
        </w:rPr>
        <w:t>3.2 投标报价</w:t>
      </w:r>
      <w:bookmarkEnd w:id="122"/>
      <w:bookmarkEnd w:id="123"/>
      <w:bookmarkEnd w:id="124"/>
      <w:bookmarkEnd w:id="125"/>
      <w:bookmarkEnd w:id="126"/>
      <w:bookmarkEnd w:id="127"/>
    </w:p>
    <w:p w14:paraId="54EFE145">
      <w:pPr>
        <w:spacing w:line="360" w:lineRule="auto"/>
        <w:ind w:firstLine="420" w:firstLineChars="200"/>
        <w:rPr>
          <w:rFonts w:hint="eastAsia" w:ascii="宋体" w:hAnsi="宋体" w:eastAsia="宋体" w:cs="宋体"/>
          <w:sz w:val="21"/>
          <w:szCs w:val="21"/>
        </w:rPr>
      </w:pPr>
      <w:bookmarkStart w:id="128" w:name="_Toc144974517"/>
      <w:bookmarkStart w:id="129" w:name="_Toc152045549"/>
      <w:bookmarkStart w:id="130" w:name="_Toc179632567"/>
      <w:bookmarkStart w:id="131" w:name="_Toc45177823"/>
      <w:bookmarkStart w:id="132" w:name="_Toc152042325"/>
      <w:r>
        <w:rPr>
          <w:rFonts w:hint="eastAsia" w:ascii="宋体" w:hAnsi="宋体" w:eastAsia="宋体" w:cs="宋体"/>
          <w:sz w:val="21"/>
          <w:szCs w:val="21"/>
        </w:rPr>
        <w:t>3.2.1本项目投标报价为完成采购内容的全部费用，本项目的投标报价为综合价格，所有招标文件中列出的及隐含的为完成合同所需要的一切责任和义务等费用都应在内，不再有报价以外的任何附加费用。未列入或者没有填写的项目费用视为已在相关项目的价格中。报价内容包括本次招标项目的所有成本、利润、税金、人员工资、食宿、交通、工具办公费、各种国家规定的保险费以及有关规定等一切相关费用。</w:t>
      </w:r>
    </w:p>
    <w:p w14:paraId="1374C7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3.2.2供应商所报的最终报价在合同执行过程中是固定不变的，不得以任何理由予以变更。任何包含价格调整的要求的投标，将被认为是非响应性投标而被拒绝。</w:t>
      </w:r>
    </w:p>
    <w:p w14:paraId="4AA626D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3.2.3供应商不得以低于成本的报价竞标，最低报价不作为中标的保证。</w:t>
      </w:r>
    </w:p>
    <w:p w14:paraId="3F09575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3.2.4代理服务费：参照河南省招标投标协会关于印发《河南省招标代理服务收费指导意见》的通知豫招协[2023]002号文件为依据收取向中标人收取，由中标人在领取中标通知书时以现金或转账方式向采购代理机构缴纳。</w:t>
      </w:r>
    </w:p>
    <w:p w14:paraId="66FE9D49">
      <w:pPr>
        <w:pStyle w:val="60"/>
        <w:spacing w:line="360" w:lineRule="auto"/>
        <w:rPr>
          <w:rFonts w:hint="eastAsia" w:ascii="宋体" w:hAnsi="宋体" w:eastAsia="宋体" w:cs="宋体"/>
          <w:sz w:val="21"/>
          <w:szCs w:val="21"/>
        </w:rPr>
      </w:pPr>
      <w:bookmarkStart w:id="133" w:name="_Toc1996"/>
      <w:r>
        <w:rPr>
          <w:rFonts w:hint="eastAsia" w:ascii="宋体" w:hAnsi="宋体" w:eastAsia="宋体" w:cs="宋体"/>
          <w:sz w:val="21"/>
          <w:szCs w:val="21"/>
        </w:rPr>
        <w:t>3.3 投标有效期</w:t>
      </w:r>
      <w:bookmarkEnd w:id="128"/>
      <w:bookmarkEnd w:id="129"/>
      <w:bookmarkEnd w:id="130"/>
      <w:bookmarkEnd w:id="131"/>
      <w:bookmarkEnd w:id="132"/>
      <w:bookmarkEnd w:id="133"/>
    </w:p>
    <w:p w14:paraId="44CC14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3.3.1 在供应商须知前附表规定的投标有效期内，供应商不得要求撤销或修改其响应文件。</w:t>
      </w:r>
    </w:p>
    <w:p w14:paraId="31A719A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3.3.2出现特殊情况需要延长投标有效期的，采购人以书面形式通知所有供应商延长投标有效期。供应商同意延长的，应相应延长其投标保证金的有效期，但不得要求或被允许修改或撤销其响应文件；供应商拒绝延长的，其投标失效，但供应商有权收回其投标保证金。 </w:t>
      </w:r>
    </w:p>
    <w:p w14:paraId="0EE65C54">
      <w:pPr>
        <w:pStyle w:val="60"/>
        <w:spacing w:line="360" w:lineRule="auto"/>
        <w:rPr>
          <w:rFonts w:hint="eastAsia" w:ascii="宋体" w:hAnsi="宋体" w:eastAsia="宋体" w:cs="宋体"/>
          <w:sz w:val="21"/>
          <w:szCs w:val="21"/>
        </w:rPr>
      </w:pPr>
      <w:bookmarkStart w:id="134" w:name="_Toc152042326"/>
      <w:bookmarkStart w:id="135" w:name="_Toc152045550"/>
      <w:bookmarkStart w:id="136" w:name="_Toc179632568"/>
      <w:bookmarkStart w:id="137" w:name="_Toc144974518"/>
      <w:bookmarkStart w:id="138" w:name="_Toc26086"/>
      <w:bookmarkStart w:id="139" w:name="_Toc45177824"/>
      <w:r>
        <w:rPr>
          <w:rFonts w:hint="eastAsia" w:ascii="宋体" w:hAnsi="宋体" w:eastAsia="宋体" w:cs="宋体"/>
          <w:sz w:val="21"/>
          <w:szCs w:val="21"/>
        </w:rPr>
        <w:t>3.4 投标保证金</w:t>
      </w:r>
      <w:bookmarkEnd w:id="134"/>
      <w:bookmarkEnd w:id="135"/>
      <w:bookmarkEnd w:id="136"/>
      <w:bookmarkEnd w:id="137"/>
      <w:r>
        <w:rPr>
          <w:rFonts w:hint="eastAsia" w:ascii="宋体" w:hAnsi="宋体" w:eastAsia="宋体" w:cs="宋体"/>
          <w:b/>
          <w:bCs/>
          <w:sz w:val="21"/>
          <w:szCs w:val="21"/>
        </w:rPr>
        <w:t>（本项目不适用）</w:t>
      </w:r>
      <w:bookmarkEnd w:id="138"/>
      <w:bookmarkEnd w:id="139"/>
    </w:p>
    <w:p w14:paraId="71DE6CE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本项目不收取。</w:t>
      </w:r>
    </w:p>
    <w:p w14:paraId="2215EF7D">
      <w:pPr>
        <w:pStyle w:val="60"/>
        <w:spacing w:line="360" w:lineRule="auto"/>
        <w:rPr>
          <w:rFonts w:hint="eastAsia" w:ascii="宋体" w:hAnsi="宋体" w:eastAsia="宋体" w:cs="宋体"/>
          <w:sz w:val="21"/>
          <w:szCs w:val="21"/>
        </w:rPr>
      </w:pPr>
      <w:bookmarkStart w:id="140" w:name="_Toc179632570"/>
      <w:bookmarkStart w:id="141" w:name="_Toc144974520"/>
      <w:bookmarkStart w:id="142" w:name="_Toc152045552"/>
      <w:bookmarkStart w:id="143" w:name="_Toc152042328"/>
      <w:bookmarkStart w:id="144" w:name="_Toc45177825"/>
      <w:bookmarkStart w:id="145" w:name="_Toc32184"/>
      <w:r>
        <w:rPr>
          <w:rFonts w:hint="eastAsia" w:ascii="宋体" w:hAnsi="宋体" w:eastAsia="宋体" w:cs="宋体"/>
          <w:sz w:val="21"/>
          <w:szCs w:val="21"/>
        </w:rPr>
        <w:t>3.5 资格审查资料</w:t>
      </w:r>
      <w:bookmarkEnd w:id="140"/>
      <w:bookmarkEnd w:id="141"/>
      <w:bookmarkEnd w:id="142"/>
      <w:bookmarkEnd w:id="143"/>
      <w:bookmarkEnd w:id="144"/>
      <w:bookmarkEnd w:id="145"/>
    </w:p>
    <w:p w14:paraId="6632F607">
      <w:pPr>
        <w:spacing w:line="360" w:lineRule="auto"/>
        <w:ind w:firstLine="420" w:firstLineChars="200"/>
        <w:rPr>
          <w:rFonts w:hint="eastAsia" w:ascii="宋体" w:hAnsi="宋体" w:eastAsia="宋体" w:cs="宋体"/>
          <w:sz w:val="21"/>
          <w:szCs w:val="21"/>
        </w:rPr>
      </w:pPr>
      <w:bookmarkStart w:id="146" w:name="_Toc179632571"/>
      <w:bookmarkStart w:id="147" w:name="_Toc152042329"/>
      <w:bookmarkStart w:id="148" w:name="_Toc144974521"/>
      <w:bookmarkStart w:id="149" w:name="_Toc152045553"/>
      <w:bookmarkStart w:id="150" w:name="_Toc45177826"/>
      <w:r>
        <w:rPr>
          <w:rFonts w:hint="eastAsia" w:ascii="宋体" w:hAnsi="宋体" w:eastAsia="宋体" w:cs="宋体"/>
          <w:sz w:val="21"/>
          <w:szCs w:val="21"/>
        </w:rPr>
        <w:t>见供应商须知前附表</w:t>
      </w:r>
    </w:p>
    <w:p w14:paraId="39E16D7C">
      <w:pPr>
        <w:pStyle w:val="60"/>
        <w:spacing w:line="360" w:lineRule="auto"/>
        <w:rPr>
          <w:rFonts w:hint="eastAsia" w:ascii="宋体" w:hAnsi="宋体" w:eastAsia="宋体" w:cs="宋体"/>
          <w:sz w:val="21"/>
          <w:szCs w:val="21"/>
        </w:rPr>
      </w:pPr>
      <w:bookmarkStart w:id="151" w:name="_Toc26896"/>
      <w:r>
        <w:rPr>
          <w:rFonts w:hint="eastAsia" w:ascii="宋体" w:hAnsi="宋体" w:eastAsia="宋体" w:cs="宋体"/>
          <w:sz w:val="21"/>
          <w:szCs w:val="21"/>
        </w:rPr>
        <w:t>3.6 备选投标方案</w:t>
      </w:r>
      <w:bookmarkEnd w:id="146"/>
      <w:bookmarkEnd w:id="147"/>
      <w:bookmarkEnd w:id="148"/>
      <w:bookmarkEnd w:id="149"/>
      <w:r>
        <w:rPr>
          <w:rFonts w:hint="eastAsia" w:ascii="宋体" w:hAnsi="宋体" w:eastAsia="宋体" w:cs="宋体"/>
          <w:b/>
          <w:sz w:val="21"/>
          <w:szCs w:val="21"/>
        </w:rPr>
        <w:t>（本项目不适用）</w:t>
      </w:r>
      <w:bookmarkEnd w:id="150"/>
      <w:bookmarkEnd w:id="151"/>
    </w:p>
    <w:p w14:paraId="1B3ACE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供应商须知前附表另有规定外，供应商不得递交备选投标方案。允许供应商递交备选投标方案的，只有成交人所递交的备选投标方案方可予以考虑。磋商小组认为成交人的备选投标方案优于其按照磋商文件要求编制的投标方案的，采购人可以接受该备选投标方案。</w:t>
      </w:r>
    </w:p>
    <w:p w14:paraId="68ED474E">
      <w:pPr>
        <w:pStyle w:val="60"/>
        <w:spacing w:line="360" w:lineRule="auto"/>
        <w:outlineLvl w:val="9"/>
        <w:rPr>
          <w:rFonts w:hint="eastAsia" w:ascii="宋体" w:hAnsi="宋体" w:eastAsia="宋体" w:cs="宋体"/>
          <w:sz w:val="21"/>
          <w:szCs w:val="21"/>
        </w:rPr>
      </w:pPr>
      <w:bookmarkStart w:id="152" w:name="_Toc152045554"/>
      <w:bookmarkStart w:id="153" w:name="_Toc179632572"/>
      <w:bookmarkStart w:id="154" w:name="_Toc152042330"/>
      <w:bookmarkStart w:id="155" w:name="_Toc144974522"/>
      <w:bookmarkStart w:id="156" w:name="_Toc45177827"/>
      <w:r>
        <w:rPr>
          <w:rFonts w:hint="eastAsia" w:ascii="宋体" w:hAnsi="宋体" w:eastAsia="宋体" w:cs="宋体"/>
          <w:sz w:val="21"/>
          <w:szCs w:val="21"/>
        </w:rPr>
        <w:t>3.7 响应文件的编制</w:t>
      </w:r>
      <w:bookmarkEnd w:id="152"/>
      <w:bookmarkEnd w:id="153"/>
      <w:bookmarkEnd w:id="154"/>
      <w:bookmarkEnd w:id="155"/>
      <w:bookmarkEnd w:id="156"/>
    </w:p>
    <w:p w14:paraId="41503B4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3.7.1响应文件应按第六章“响应文件格式”进行编写，如有必要，可以增加附页，作为响应文件的组成部分。其中，投标函附录在满足磋商文件实质性要求的基础上，可以提出比磋商文件要求更有利于采购人的承诺。</w:t>
      </w:r>
    </w:p>
    <w:p w14:paraId="26474F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3.7.2 响应文件应当对磋商文件有关</w:t>
      </w:r>
      <w:r>
        <w:rPr>
          <w:rFonts w:hint="eastAsia" w:ascii="宋体" w:hAnsi="宋体" w:eastAsia="宋体" w:cs="宋体"/>
          <w:sz w:val="21"/>
          <w:szCs w:val="21"/>
          <w:lang w:val="en-US" w:eastAsia="zh-CN"/>
        </w:rPr>
        <w:t>服务期</w:t>
      </w:r>
      <w:r>
        <w:rPr>
          <w:rFonts w:hint="eastAsia" w:ascii="宋体" w:hAnsi="宋体" w:eastAsia="宋体" w:cs="宋体"/>
          <w:sz w:val="21"/>
          <w:szCs w:val="21"/>
        </w:rPr>
        <w:t>、投标有效期、质量要求等实质性内容作出响应，否则按无效标处理。</w:t>
      </w:r>
    </w:p>
    <w:p w14:paraId="20A14A32">
      <w:pPr>
        <w:spacing w:line="360" w:lineRule="auto"/>
        <w:ind w:firstLine="420" w:firstLineChars="200"/>
        <w:rPr>
          <w:rFonts w:hint="eastAsia" w:ascii="宋体" w:hAnsi="宋体" w:eastAsia="宋体" w:cs="宋体"/>
          <w:sz w:val="21"/>
          <w:szCs w:val="21"/>
        </w:rPr>
      </w:pPr>
      <w:bookmarkStart w:id="157" w:name="_Toc144974523"/>
      <w:bookmarkStart w:id="158" w:name="_Toc152042331"/>
      <w:bookmarkStart w:id="159" w:name="_Toc152045555"/>
      <w:bookmarkStart w:id="160" w:name="_Toc179632573"/>
      <w:r>
        <w:rPr>
          <w:rFonts w:hint="eastAsia" w:ascii="宋体" w:hAnsi="宋体" w:eastAsia="宋体" w:cs="宋体"/>
          <w:sz w:val="21"/>
          <w:szCs w:val="21"/>
        </w:rPr>
        <w:t>3.7.3供应商所上传的电子化响应文件，应是通过中心响应文件制作系统制作的，经过签章和加密后生成的电子版响应文件。生成的电子版响应文件包含用于响应文件上传的主文件（项目文件格式为：xxx公司_ 项目名称.file）和用于应急补救的响应文件备份文件（项目文件格式为：xxx公司_ 项目名称.bin），备份文件主要用于电子化开标出现技术问题后的补救，请供应商随身携带。</w:t>
      </w:r>
    </w:p>
    <w:p w14:paraId="1E92EF97">
      <w:pPr>
        <w:spacing w:line="360" w:lineRule="auto"/>
        <w:ind w:firstLine="420" w:firstLineChars="200"/>
        <w:rPr>
          <w:rFonts w:hint="eastAsia" w:ascii="宋体" w:hAnsi="宋体" w:eastAsia="宋体" w:cs="宋体"/>
          <w:b/>
          <w:bCs/>
          <w:sz w:val="21"/>
          <w:szCs w:val="21"/>
        </w:rPr>
      </w:pPr>
      <w:r>
        <w:rPr>
          <w:rFonts w:hint="eastAsia" w:ascii="宋体" w:hAnsi="宋体" w:eastAsia="宋体" w:cs="宋体"/>
          <w:sz w:val="21"/>
          <w:szCs w:val="21"/>
        </w:rPr>
        <w:t>注：（1）供应商投报多个标段的，根据标段制作各个标段的响应文件后上传。</w:t>
      </w:r>
      <w:r>
        <w:rPr>
          <w:rFonts w:hint="eastAsia" w:ascii="宋体" w:hAnsi="宋体" w:eastAsia="宋体" w:cs="宋体"/>
          <w:b/>
          <w:bCs/>
          <w:sz w:val="21"/>
          <w:szCs w:val="21"/>
        </w:rPr>
        <w:t>（本项目不适用）</w:t>
      </w:r>
    </w:p>
    <w:p w14:paraId="15654934">
      <w:pPr>
        <w:pStyle w:val="59"/>
        <w:spacing w:line="360" w:lineRule="auto"/>
        <w:rPr>
          <w:rFonts w:hint="eastAsia" w:ascii="宋体" w:hAnsi="宋体" w:eastAsia="宋体" w:cs="宋体"/>
          <w:b/>
          <w:bCs/>
          <w:sz w:val="21"/>
          <w:szCs w:val="21"/>
        </w:rPr>
      </w:pPr>
      <w:bookmarkStart w:id="161" w:name="_Toc45177828"/>
      <w:bookmarkStart w:id="162" w:name="_Toc29454"/>
      <w:bookmarkStart w:id="163" w:name="_Toc4617"/>
      <w:r>
        <w:rPr>
          <w:rFonts w:hint="eastAsia" w:ascii="宋体" w:hAnsi="宋体" w:eastAsia="宋体" w:cs="宋体"/>
          <w:b/>
          <w:bCs/>
          <w:sz w:val="21"/>
          <w:szCs w:val="21"/>
        </w:rPr>
        <w:t>4. 投标</w:t>
      </w:r>
      <w:bookmarkEnd w:id="157"/>
      <w:bookmarkEnd w:id="158"/>
      <w:bookmarkEnd w:id="159"/>
      <w:bookmarkEnd w:id="160"/>
      <w:bookmarkEnd w:id="161"/>
      <w:bookmarkEnd w:id="162"/>
      <w:bookmarkEnd w:id="163"/>
    </w:p>
    <w:p w14:paraId="29C50718">
      <w:pPr>
        <w:pStyle w:val="60"/>
        <w:spacing w:line="360" w:lineRule="auto"/>
        <w:rPr>
          <w:rFonts w:hint="eastAsia" w:ascii="宋体" w:hAnsi="宋体" w:eastAsia="宋体" w:cs="宋体"/>
          <w:sz w:val="21"/>
          <w:szCs w:val="21"/>
        </w:rPr>
      </w:pPr>
      <w:bookmarkStart w:id="164" w:name="_Toc152042332"/>
      <w:bookmarkStart w:id="165" w:name="_Toc179632574"/>
      <w:bookmarkStart w:id="166" w:name="_Toc152045556"/>
      <w:bookmarkStart w:id="167" w:name="_Toc144974524"/>
      <w:bookmarkStart w:id="168" w:name="_Toc948"/>
      <w:bookmarkStart w:id="169" w:name="_Toc45177829"/>
      <w:r>
        <w:rPr>
          <w:rFonts w:hint="eastAsia" w:ascii="宋体" w:hAnsi="宋体" w:eastAsia="宋体" w:cs="宋体"/>
          <w:sz w:val="21"/>
          <w:szCs w:val="21"/>
        </w:rPr>
        <w:t>4.1 响应文件的</w:t>
      </w:r>
      <w:bookmarkEnd w:id="164"/>
      <w:bookmarkEnd w:id="165"/>
      <w:bookmarkEnd w:id="166"/>
      <w:bookmarkEnd w:id="167"/>
      <w:r>
        <w:rPr>
          <w:rFonts w:hint="eastAsia" w:ascii="宋体" w:hAnsi="宋体" w:eastAsia="宋体" w:cs="宋体"/>
          <w:sz w:val="21"/>
          <w:szCs w:val="21"/>
        </w:rPr>
        <w:t>递交</w:t>
      </w:r>
      <w:bookmarkEnd w:id="168"/>
      <w:bookmarkEnd w:id="169"/>
    </w:p>
    <w:p w14:paraId="4290C366">
      <w:pPr>
        <w:spacing w:line="360" w:lineRule="auto"/>
        <w:ind w:firstLine="420" w:firstLineChars="200"/>
        <w:rPr>
          <w:rFonts w:hint="eastAsia" w:ascii="宋体" w:hAnsi="宋体" w:eastAsia="宋体" w:cs="宋体"/>
          <w:sz w:val="21"/>
          <w:szCs w:val="21"/>
        </w:rPr>
      </w:pPr>
      <w:bookmarkStart w:id="170" w:name="_Toc144974525"/>
      <w:bookmarkStart w:id="171" w:name="_Toc179632575"/>
      <w:bookmarkStart w:id="172" w:name="_Toc152042333"/>
      <w:bookmarkStart w:id="173" w:name="_Toc152045557"/>
      <w:bookmarkStart w:id="174" w:name="_Toc247527583"/>
      <w:bookmarkStart w:id="175" w:name="_Toc247513982"/>
      <w:bookmarkStart w:id="176" w:name="_Toc300834979"/>
      <w:r>
        <w:rPr>
          <w:rFonts w:hint="eastAsia" w:ascii="宋体" w:hAnsi="宋体" w:eastAsia="宋体" w:cs="宋体"/>
          <w:sz w:val="21"/>
          <w:szCs w:val="21"/>
        </w:rPr>
        <w:t>电子化响应文件应在投标截止时间前成功上传至平顶山市公共资源电子化交易系统。至投标截止时间止，仍未上传成功的电子化响应文件将不予接收。</w:t>
      </w:r>
    </w:p>
    <w:p w14:paraId="059810E5">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bookmarkEnd w:id="170"/>
    <w:bookmarkEnd w:id="171"/>
    <w:bookmarkEnd w:id="172"/>
    <w:bookmarkEnd w:id="173"/>
    <w:bookmarkEnd w:id="174"/>
    <w:bookmarkEnd w:id="175"/>
    <w:bookmarkEnd w:id="176"/>
    <w:p w14:paraId="33E38B63">
      <w:pPr>
        <w:pStyle w:val="59"/>
        <w:spacing w:line="360" w:lineRule="auto"/>
        <w:rPr>
          <w:rFonts w:hint="eastAsia" w:ascii="宋体" w:hAnsi="宋体" w:eastAsia="宋体" w:cs="宋体"/>
          <w:b/>
          <w:bCs/>
          <w:sz w:val="21"/>
          <w:szCs w:val="21"/>
        </w:rPr>
      </w:pPr>
      <w:bookmarkStart w:id="177" w:name="_Toc144974527"/>
      <w:bookmarkStart w:id="178" w:name="_Toc45177830"/>
      <w:bookmarkStart w:id="179" w:name="_Toc179632577"/>
      <w:bookmarkStart w:id="180" w:name="_Toc19918"/>
      <w:bookmarkStart w:id="181" w:name="_Toc1819"/>
      <w:bookmarkStart w:id="182" w:name="_Toc152042335"/>
      <w:bookmarkStart w:id="183" w:name="_Toc152045559"/>
      <w:r>
        <w:rPr>
          <w:rFonts w:hint="eastAsia" w:ascii="宋体" w:hAnsi="宋体" w:eastAsia="宋体" w:cs="宋体"/>
          <w:b/>
          <w:bCs/>
          <w:sz w:val="21"/>
          <w:szCs w:val="21"/>
        </w:rPr>
        <w:t>5. 开标</w:t>
      </w:r>
      <w:bookmarkEnd w:id="177"/>
      <w:bookmarkEnd w:id="178"/>
      <w:bookmarkEnd w:id="179"/>
      <w:bookmarkEnd w:id="180"/>
      <w:bookmarkEnd w:id="181"/>
      <w:bookmarkEnd w:id="182"/>
      <w:bookmarkEnd w:id="183"/>
    </w:p>
    <w:p w14:paraId="13B8D2E9">
      <w:pPr>
        <w:pStyle w:val="60"/>
        <w:spacing w:line="360" w:lineRule="auto"/>
        <w:rPr>
          <w:rFonts w:hint="eastAsia" w:ascii="宋体" w:hAnsi="宋体" w:eastAsia="宋体" w:cs="宋体"/>
          <w:sz w:val="21"/>
          <w:szCs w:val="21"/>
        </w:rPr>
      </w:pPr>
      <w:bookmarkStart w:id="184" w:name="_Toc179632578"/>
      <w:bookmarkStart w:id="185" w:name="_Toc144974528"/>
      <w:bookmarkStart w:id="186" w:name="_Toc152045560"/>
      <w:bookmarkStart w:id="187" w:name="_Toc9100"/>
      <w:bookmarkStart w:id="188" w:name="_Toc152042336"/>
      <w:bookmarkStart w:id="189" w:name="_Toc45177831"/>
      <w:r>
        <w:rPr>
          <w:rFonts w:hint="eastAsia" w:ascii="宋体" w:hAnsi="宋体" w:eastAsia="宋体" w:cs="宋体"/>
          <w:sz w:val="21"/>
          <w:szCs w:val="21"/>
        </w:rPr>
        <w:t>5.1 开标时间和地点</w:t>
      </w:r>
      <w:bookmarkEnd w:id="184"/>
      <w:bookmarkEnd w:id="185"/>
      <w:bookmarkEnd w:id="186"/>
      <w:bookmarkEnd w:id="187"/>
      <w:bookmarkEnd w:id="188"/>
      <w:bookmarkEnd w:id="189"/>
    </w:p>
    <w:p w14:paraId="42DA0B6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采购人在本章前附表第2.2.2项规定的投标截止时间（开标时间）和供应商须知前附表规定的地点开标。（</w:t>
      </w:r>
      <w:r>
        <w:rPr>
          <w:rFonts w:hint="eastAsia" w:ascii="宋体" w:hAnsi="宋体" w:eastAsia="宋体" w:cs="宋体"/>
          <w:b/>
          <w:sz w:val="21"/>
          <w:szCs w:val="21"/>
        </w:rPr>
        <w:t>注：全面实行在线“不见面”开标，投标人远程在线解密投标文件，不再到开标现场，投标人开标前应仔细阅读《“不见面”开标注意事项及操作流程》。</w:t>
      </w:r>
      <w:r>
        <w:rPr>
          <w:rFonts w:hint="eastAsia" w:ascii="宋体" w:hAnsi="宋体" w:eastAsia="宋体" w:cs="宋体"/>
          <w:sz w:val="21"/>
          <w:szCs w:val="21"/>
        </w:rPr>
        <w:t>）</w:t>
      </w:r>
    </w:p>
    <w:p w14:paraId="6DA49519">
      <w:pPr>
        <w:pStyle w:val="60"/>
        <w:spacing w:line="360" w:lineRule="auto"/>
        <w:rPr>
          <w:rFonts w:hint="eastAsia" w:ascii="宋体" w:hAnsi="宋体" w:eastAsia="宋体" w:cs="宋体"/>
          <w:sz w:val="21"/>
          <w:szCs w:val="21"/>
        </w:rPr>
      </w:pPr>
      <w:bookmarkStart w:id="190" w:name="_Toc45177832"/>
      <w:bookmarkStart w:id="191" w:name="_Toc152045561"/>
      <w:bookmarkStart w:id="192" w:name="_Toc19874"/>
      <w:bookmarkStart w:id="193" w:name="_Toc144974529"/>
      <w:bookmarkStart w:id="194" w:name="_Toc179632579"/>
      <w:bookmarkStart w:id="195" w:name="_Toc152042337"/>
      <w:r>
        <w:rPr>
          <w:rFonts w:hint="eastAsia" w:ascii="宋体" w:hAnsi="宋体" w:eastAsia="宋体" w:cs="宋体"/>
          <w:sz w:val="21"/>
          <w:szCs w:val="21"/>
        </w:rPr>
        <w:t>5.2 开标程序</w:t>
      </w:r>
      <w:bookmarkEnd w:id="190"/>
      <w:bookmarkEnd w:id="191"/>
      <w:bookmarkEnd w:id="192"/>
      <w:bookmarkEnd w:id="193"/>
      <w:bookmarkEnd w:id="194"/>
      <w:bookmarkEnd w:id="195"/>
    </w:p>
    <w:p w14:paraId="0EF53B77">
      <w:pPr>
        <w:spacing w:line="360" w:lineRule="auto"/>
        <w:ind w:firstLine="420" w:firstLineChars="200"/>
        <w:rPr>
          <w:rFonts w:hint="eastAsia" w:ascii="宋体" w:hAnsi="宋体" w:eastAsia="宋体" w:cs="宋体"/>
          <w:sz w:val="21"/>
          <w:szCs w:val="21"/>
        </w:rPr>
      </w:pPr>
      <w:bookmarkStart w:id="196" w:name="_Toc152045562"/>
      <w:bookmarkStart w:id="197" w:name="_Toc179632580"/>
      <w:bookmarkStart w:id="198" w:name="_Toc144974530"/>
      <w:bookmarkStart w:id="199" w:name="_Toc152042338"/>
      <w:r>
        <w:rPr>
          <w:rFonts w:hint="eastAsia" w:ascii="宋体" w:hAnsi="宋体" w:eastAsia="宋体" w:cs="宋体"/>
          <w:sz w:val="21"/>
          <w:szCs w:val="21"/>
        </w:rPr>
        <w:t>电子化项目开标、解密、唱标、评标</w:t>
      </w:r>
    </w:p>
    <w:p w14:paraId="270A5D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5.2.1电子化响应文件采用双重加密方式。开标时，首先由供应商使用CA证书，在规定时间内对其电子化响应文件进行首次解密，供应商解密完成后，再由中介服务机构使用CA证书对响应文件进行再次解密。</w:t>
      </w:r>
    </w:p>
    <w:p w14:paraId="53DEF79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5.2.2电子化响应文件解密异常的处理</w:t>
      </w:r>
    </w:p>
    <w:p w14:paraId="7879298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如出现供应商的电子响应文件无法解密的情况，供应商应及时联系中介服务机构说明。响应文件解密异常，按以下步骤进行处理：</w:t>
      </w:r>
    </w:p>
    <w:p w14:paraId="1749121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（1）首先由技术人员进行问题排查。</w:t>
      </w:r>
    </w:p>
    <w:p w14:paraId="714175C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（2）经技术人员排查后，是供应商文件自身问题导致响应文件无法解密的，该响应文件将不予接收、解密和唱标，开标会议继续进行。</w:t>
      </w:r>
    </w:p>
    <w:p w14:paraId="490538C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02BD4C8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5.2.3待所有供应商响应文件解密完成后，由中介服务机构操作，对所有已解密响应文件进行唱标。</w:t>
      </w:r>
    </w:p>
    <w:p w14:paraId="2723E84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5.2.4评标时，磋商小组对电子化响应文件有质疑的，将通过电子化交易系统对供应商发起质疑。质疑回复内容确认后，供应商的回复文件必须以经过供应商和其法定代表人签章的PDF格式文件为准，并通过电子化交易系统提交至磋商小组。</w:t>
      </w:r>
    </w:p>
    <w:p w14:paraId="11E1912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5.2.5如磋商小组对需要回复的供应商回复内容有异议的，经过几次回复仍不清楚的，需在监督下进行免提电话进行质疑。</w:t>
      </w:r>
    </w:p>
    <w:p w14:paraId="20F987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5.2.6评标时如因系统异常、停电、电脑病毒、网络堵塞等原因无法正常进行的，由技术人员排查解决，短时间无法解决的，经监督部门同意后，暂停评标活动，待问题解决后继续评标。</w:t>
      </w:r>
    </w:p>
    <w:p w14:paraId="337E4EBE">
      <w:pPr>
        <w:pStyle w:val="59"/>
        <w:spacing w:line="360" w:lineRule="auto"/>
        <w:rPr>
          <w:rFonts w:hint="eastAsia" w:ascii="宋体" w:hAnsi="宋体" w:eastAsia="宋体" w:cs="宋体"/>
          <w:b/>
          <w:bCs/>
          <w:sz w:val="21"/>
          <w:szCs w:val="21"/>
        </w:rPr>
      </w:pPr>
      <w:bookmarkStart w:id="200" w:name="_Toc629"/>
      <w:bookmarkStart w:id="201" w:name="_Toc14114"/>
      <w:bookmarkStart w:id="202" w:name="_Toc45177833"/>
      <w:r>
        <w:rPr>
          <w:rFonts w:hint="eastAsia" w:ascii="宋体" w:hAnsi="宋体" w:eastAsia="宋体" w:cs="宋体"/>
          <w:b/>
          <w:bCs/>
          <w:sz w:val="21"/>
          <w:szCs w:val="21"/>
        </w:rPr>
        <w:t>6. 评标</w:t>
      </w:r>
      <w:bookmarkEnd w:id="196"/>
      <w:bookmarkEnd w:id="197"/>
      <w:bookmarkEnd w:id="198"/>
      <w:bookmarkEnd w:id="199"/>
      <w:bookmarkEnd w:id="200"/>
      <w:bookmarkEnd w:id="201"/>
      <w:bookmarkEnd w:id="202"/>
    </w:p>
    <w:p w14:paraId="29A8F7B5">
      <w:pPr>
        <w:pStyle w:val="60"/>
        <w:spacing w:line="360" w:lineRule="auto"/>
        <w:rPr>
          <w:rFonts w:hint="eastAsia" w:ascii="宋体" w:hAnsi="宋体" w:eastAsia="宋体" w:cs="宋体"/>
          <w:sz w:val="21"/>
          <w:szCs w:val="21"/>
        </w:rPr>
      </w:pPr>
      <w:bookmarkStart w:id="203" w:name="_Toc152045563"/>
      <w:bookmarkStart w:id="204" w:name="_Toc179632581"/>
      <w:bookmarkStart w:id="205" w:name="_Toc144974531"/>
      <w:bookmarkStart w:id="206" w:name="_Toc17991"/>
      <w:bookmarkStart w:id="207" w:name="_Toc45177834"/>
      <w:bookmarkStart w:id="208" w:name="_Toc152042339"/>
      <w:r>
        <w:rPr>
          <w:rFonts w:hint="eastAsia" w:ascii="宋体" w:hAnsi="宋体" w:eastAsia="宋体" w:cs="宋体"/>
          <w:sz w:val="21"/>
          <w:szCs w:val="21"/>
        </w:rPr>
        <w:t>6.1 磋商小组</w:t>
      </w:r>
      <w:bookmarkEnd w:id="203"/>
      <w:bookmarkEnd w:id="204"/>
      <w:bookmarkEnd w:id="205"/>
      <w:bookmarkEnd w:id="206"/>
      <w:bookmarkEnd w:id="207"/>
      <w:bookmarkEnd w:id="208"/>
    </w:p>
    <w:p w14:paraId="46C45E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6.1.1磋商小组由采购人代表和评审专家共3人以上单数组成，其中评审专家人数不得少于磋商小组成员总数的2/3，评审专家在相关专家库中随机抽取。（</w:t>
      </w:r>
      <w:r>
        <w:rPr>
          <w:rFonts w:hint="eastAsia" w:ascii="宋体" w:hAnsi="宋体" w:eastAsia="宋体" w:cs="宋体"/>
          <w:b/>
          <w:sz w:val="21"/>
          <w:szCs w:val="21"/>
        </w:rPr>
        <w:t>上述规定为一组评标专家组成方式，根据项目标段数量和评标工作量，可由多组专家完成评审，但一个标段只能由一组专家评审）</w:t>
      </w:r>
      <w:r>
        <w:rPr>
          <w:rFonts w:hint="eastAsia" w:ascii="宋体" w:hAnsi="宋体" w:eastAsia="宋体" w:cs="宋体"/>
          <w:sz w:val="21"/>
          <w:szCs w:val="21"/>
        </w:rPr>
        <w:t>。</w:t>
      </w:r>
    </w:p>
    <w:p w14:paraId="491ECD6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6.1.2 磋商小组成员有下列情形之一的，应当回避：</w:t>
      </w:r>
    </w:p>
    <w:p w14:paraId="2727644C">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（1）采购人或供应商的主要负责人的近亲属；</w:t>
      </w:r>
    </w:p>
    <w:p w14:paraId="6AA0D7C9">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（2）项目主管部门或者行政监督部门的人员；</w:t>
      </w:r>
    </w:p>
    <w:p w14:paraId="15DE2474">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（3）与供应商有经济利益关系，可能影响对投标公正评审的；</w:t>
      </w:r>
    </w:p>
    <w:p w14:paraId="70DEFCED">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（4）曾因在招标、评标以及其他与招标投标有关活动中从事违法行为而受过行政处罚或刑事处罚的。</w:t>
      </w:r>
    </w:p>
    <w:p w14:paraId="6F3459E5">
      <w:pPr>
        <w:pStyle w:val="60"/>
        <w:tabs>
          <w:tab w:val="left" w:pos="2620"/>
        </w:tabs>
        <w:spacing w:line="360" w:lineRule="auto"/>
        <w:rPr>
          <w:rFonts w:hint="eastAsia" w:ascii="宋体" w:hAnsi="宋体" w:eastAsia="宋体" w:cs="宋体"/>
          <w:sz w:val="21"/>
          <w:szCs w:val="21"/>
        </w:rPr>
      </w:pPr>
      <w:bookmarkStart w:id="209" w:name="_Toc144974532"/>
      <w:bookmarkStart w:id="210" w:name="_Toc45177835"/>
      <w:bookmarkStart w:id="211" w:name="_Toc152042340"/>
      <w:bookmarkStart w:id="212" w:name="_Toc179632582"/>
      <w:bookmarkStart w:id="213" w:name="_Toc27931"/>
      <w:bookmarkStart w:id="214" w:name="_Toc152045564"/>
      <w:r>
        <w:rPr>
          <w:rFonts w:hint="eastAsia" w:ascii="宋体" w:hAnsi="宋体" w:eastAsia="宋体" w:cs="宋体"/>
          <w:sz w:val="21"/>
          <w:szCs w:val="21"/>
        </w:rPr>
        <w:t>6.2 磋商原则</w:t>
      </w:r>
      <w:bookmarkEnd w:id="209"/>
      <w:bookmarkEnd w:id="210"/>
      <w:bookmarkEnd w:id="211"/>
      <w:bookmarkEnd w:id="212"/>
      <w:bookmarkEnd w:id="213"/>
      <w:bookmarkEnd w:id="214"/>
      <w:r>
        <w:rPr>
          <w:rFonts w:hint="eastAsia" w:ascii="宋体" w:hAnsi="宋体" w:eastAsia="宋体" w:cs="宋体"/>
          <w:sz w:val="21"/>
          <w:szCs w:val="21"/>
        </w:rPr>
        <w:tab/>
      </w:r>
    </w:p>
    <w:p w14:paraId="3DA264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6.2.1统一性原则：磋商小组将按照统一的磋商程序和磋商方法，用同一标准进行磋商；</w:t>
      </w:r>
    </w:p>
    <w:p w14:paraId="65443D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6.2.2独立性原则：磋商工作在磋商小组内部独立进行，不受外界任何因素的干扰和影响。磋商小组成员对出具的评审意见承担个人责任；</w:t>
      </w:r>
    </w:p>
    <w:p w14:paraId="197B551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6.2.3综合性原则：磋商小组将综合分析、评审磋商供应商的各项指标，磋商小组按照竞争性磋商文件规定的磋商办法和标准对各供应商进行综合评定；</w:t>
      </w:r>
    </w:p>
    <w:p w14:paraId="7953EAF4">
      <w:pPr>
        <w:spacing w:line="360" w:lineRule="auto"/>
        <w:ind w:firstLine="420" w:firstLineChars="200"/>
        <w:rPr>
          <w:rStyle w:val="81"/>
          <w:rFonts w:hint="eastAsia" w:ascii="宋体" w:hAnsi="宋体" w:eastAsia="宋体" w:cs="宋体"/>
          <w:sz w:val="21"/>
          <w:szCs w:val="21"/>
        </w:rPr>
      </w:pPr>
      <w:r>
        <w:rPr>
          <w:rFonts w:hint="eastAsia" w:ascii="宋体" w:hAnsi="宋体" w:eastAsia="宋体" w:cs="宋体"/>
          <w:sz w:val="21"/>
          <w:szCs w:val="21"/>
        </w:rPr>
        <w:t>6.2.4保密性原则：采购人或采</w:t>
      </w:r>
      <w:r>
        <w:rPr>
          <w:rStyle w:val="81"/>
          <w:rFonts w:hint="eastAsia" w:ascii="宋体" w:hAnsi="宋体" w:eastAsia="宋体" w:cs="宋体"/>
          <w:sz w:val="21"/>
          <w:szCs w:val="21"/>
        </w:rPr>
        <w:t>购代理机构将采取必要的措施，保证磋商在严格保密的情况下进行。</w:t>
      </w:r>
    </w:p>
    <w:p w14:paraId="48F69241">
      <w:pPr>
        <w:spacing w:line="360" w:lineRule="auto"/>
        <w:ind w:firstLine="420" w:firstLineChars="200"/>
        <w:rPr>
          <w:rStyle w:val="81"/>
          <w:rFonts w:hint="eastAsia" w:ascii="宋体" w:hAnsi="宋体" w:eastAsia="宋体" w:cs="宋体"/>
          <w:sz w:val="21"/>
          <w:szCs w:val="21"/>
        </w:rPr>
      </w:pPr>
      <w:r>
        <w:rPr>
          <w:rStyle w:val="81"/>
          <w:rFonts w:hint="eastAsia" w:ascii="宋体" w:hAnsi="宋体" w:eastAsia="宋体" w:cs="宋体"/>
          <w:sz w:val="21"/>
          <w:szCs w:val="21"/>
        </w:rPr>
        <w:t>6.2.5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p>
    <w:p w14:paraId="2B980ACE">
      <w:pPr>
        <w:spacing w:line="360" w:lineRule="auto"/>
        <w:rPr>
          <w:rFonts w:hint="eastAsia" w:ascii="宋体" w:hAnsi="宋体" w:eastAsia="宋体" w:cs="宋体"/>
          <w:b/>
          <w:bCs/>
          <w:sz w:val="21"/>
          <w:szCs w:val="21"/>
        </w:rPr>
      </w:pPr>
      <w:bookmarkStart w:id="215" w:name="bookmark25"/>
      <w:r>
        <w:rPr>
          <w:rStyle w:val="83"/>
          <w:rFonts w:hint="eastAsia" w:ascii="宋体" w:hAnsi="宋体" w:eastAsia="宋体" w:cs="宋体"/>
          <w:b w:val="0"/>
          <w:bCs w:val="0"/>
          <w:sz w:val="21"/>
          <w:szCs w:val="21"/>
        </w:rPr>
        <w:t>6.3磋商程序、内容</w:t>
      </w:r>
      <w:bookmarkEnd w:id="215"/>
    </w:p>
    <w:p w14:paraId="2312291C">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6.3.1</w:t>
      </w:r>
      <w:r>
        <w:rPr>
          <w:rFonts w:hint="eastAsia" w:ascii="宋体" w:hAnsi="宋体" w:eastAsia="宋体" w:cs="宋体"/>
          <w:sz w:val="21"/>
          <w:szCs w:val="21"/>
          <w:lang w:val="en-US" w:eastAsia="zh-CN"/>
        </w:rPr>
        <w:t>二次磋商报价为网络报价，无需到达开标现场</w:t>
      </w:r>
      <w:r>
        <w:rPr>
          <w:rFonts w:hint="eastAsia" w:ascii="宋体" w:hAnsi="宋体" w:eastAsia="宋体" w:cs="宋体"/>
          <w:sz w:val="21"/>
          <w:szCs w:val="21"/>
        </w:rPr>
        <w:t>；</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二次报价即为最终报价</w:t>
      </w:r>
      <w:r>
        <w:rPr>
          <w:rFonts w:hint="eastAsia" w:ascii="宋体" w:hAnsi="宋体" w:eastAsia="宋体" w:cs="宋体"/>
          <w:b/>
          <w:bCs/>
          <w:color w:val="auto"/>
          <w:sz w:val="21"/>
          <w:szCs w:val="21"/>
          <w:lang w:eastAsia="zh-CN"/>
        </w:rPr>
        <w:t>）</w:t>
      </w:r>
    </w:p>
    <w:p w14:paraId="09E4CB8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6.3.2首次报价即响应文件中报价结束后，磋商小组要对各供应商的资格性、递交的响应文件的符合性进行审阅，以判定各供应商资格、响应文件的有效性，审阅结束后，确定进入最终报价磋商阶段的供应商名单；</w:t>
      </w:r>
    </w:p>
    <w:p w14:paraId="64AA839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AF78A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磋商小组要求供应商澄清、说明或者更正响应文件应当以书面形式作出。供应商的澄清、说明或者更正应当由法定代表人或其授权代表签字或者加盖公章。由授权代表签字的，应当附法定代表人授权书。</w:t>
      </w:r>
    </w:p>
    <w:p w14:paraId="44247BB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6.3.3磋商小组所有成员应当集中与单一供应商分别进行磋商，并给予所有参加磋商的供应商平等的磋商机会；</w:t>
      </w:r>
    </w:p>
    <w:p w14:paraId="4ACC0AB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w:t>
      </w:r>
    </w:p>
    <w:p w14:paraId="450D1E2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6.3.5磋商结束后，磋商小组应当要求所有实质性响应的供应商在规定时间内提交最后报价，提交最后报价的供应商不得少于3家，最后报价是供应商响应文件的有效组成部分;</w:t>
      </w:r>
    </w:p>
    <w:p w14:paraId="409EE45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6.3.6已提交响应文件的供应商，在提交最后报价之前，可以根据磋商情况退出磋商。采购人、采购代理机构应当退还退出磋商的供应商的磋商保证金；</w:t>
      </w:r>
    </w:p>
    <w:p w14:paraId="61752FC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6.3.7经磋商确定最终采购需求和提交最后报价的供应商后，由磋商小组采用综合评分法对提交最后报价的供应商的响应文件和最后报价进行综合评分；</w:t>
      </w:r>
    </w:p>
    <w:p w14:paraId="083489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6.3.8磋商小组根据综合评分情况，按照评审得分由高到低顺序推荐3名成交候选供应商，并编写评审报告。评审得分相同的，按照最后报价由低到高的顺序推荐。评审得分且最后报价相同的，按照服务方案优劣顺序推荐；</w:t>
      </w:r>
    </w:p>
    <w:p w14:paraId="18AC9A2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6.3.9由采购人向成交方签发成交结果通知书；</w:t>
      </w:r>
    </w:p>
    <w:p w14:paraId="699817A2">
      <w:pPr>
        <w:pStyle w:val="33"/>
        <w:spacing w:line="360" w:lineRule="auto"/>
        <w:ind w:left="0" w:leftChars="0"/>
        <w:rPr>
          <w:rFonts w:hint="eastAsia" w:ascii="宋体" w:hAnsi="宋体" w:eastAsia="宋体" w:cs="宋体"/>
          <w:szCs w:val="21"/>
        </w:rPr>
      </w:pPr>
      <w:r>
        <w:rPr>
          <w:rFonts w:hint="eastAsia" w:ascii="宋体" w:hAnsi="宋体" w:eastAsia="宋体" w:cs="宋体"/>
          <w:szCs w:val="21"/>
        </w:rPr>
        <w:t>6.3.10供需双方签订服务合同。</w:t>
      </w:r>
    </w:p>
    <w:p w14:paraId="255A1845">
      <w:pPr>
        <w:pStyle w:val="59"/>
        <w:spacing w:line="360" w:lineRule="auto"/>
        <w:rPr>
          <w:rFonts w:hint="eastAsia" w:ascii="宋体" w:hAnsi="宋体" w:eastAsia="宋体" w:cs="宋体"/>
          <w:b/>
          <w:bCs/>
          <w:sz w:val="21"/>
          <w:szCs w:val="21"/>
        </w:rPr>
      </w:pPr>
      <w:bookmarkStart w:id="216" w:name="_Toc152045566"/>
      <w:bookmarkStart w:id="217" w:name="_Toc10592"/>
      <w:bookmarkStart w:id="218" w:name="_Toc144974534"/>
      <w:bookmarkStart w:id="219" w:name="_Toc152042342"/>
      <w:bookmarkStart w:id="220" w:name="_Toc5699"/>
      <w:bookmarkStart w:id="221" w:name="_Toc45177836"/>
      <w:bookmarkStart w:id="222" w:name="_Toc179632584"/>
      <w:r>
        <w:rPr>
          <w:rFonts w:hint="eastAsia" w:ascii="宋体" w:hAnsi="宋体" w:eastAsia="宋体" w:cs="宋体"/>
          <w:b/>
          <w:bCs/>
          <w:sz w:val="21"/>
          <w:szCs w:val="21"/>
        </w:rPr>
        <w:t>7. 合同授予</w:t>
      </w:r>
      <w:bookmarkEnd w:id="216"/>
      <w:bookmarkEnd w:id="217"/>
      <w:bookmarkEnd w:id="218"/>
      <w:bookmarkEnd w:id="219"/>
      <w:bookmarkEnd w:id="220"/>
      <w:bookmarkEnd w:id="221"/>
      <w:bookmarkEnd w:id="222"/>
    </w:p>
    <w:p w14:paraId="4E720F3C">
      <w:pPr>
        <w:pStyle w:val="60"/>
        <w:spacing w:line="360" w:lineRule="auto"/>
        <w:rPr>
          <w:rFonts w:hint="eastAsia" w:ascii="宋体" w:hAnsi="宋体" w:eastAsia="宋体" w:cs="宋体"/>
          <w:sz w:val="21"/>
          <w:szCs w:val="21"/>
        </w:rPr>
      </w:pPr>
      <w:bookmarkStart w:id="223" w:name="_Toc144974535"/>
      <w:bookmarkStart w:id="224" w:name="_Toc12944"/>
      <w:bookmarkStart w:id="225" w:name="_Toc45177837"/>
      <w:bookmarkStart w:id="226" w:name="_Toc152042343"/>
      <w:bookmarkStart w:id="227" w:name="_Toc152045567"/>
      <w:bookmarkStart w:id="228" w:name="_Toc179632585"/>
      <w:r>
        <w:rPr>
          <w:rFonts w:hint="eastAsia" w:ascii="宋体" w:hAnsi="宋体" w:eastAsia="宋体" w:cs="宋体"/>
          <w:sz w:val="21"/>
          <w:szCs w:val="21"/>
        </w:rPr>
        <w:t>7.1 定标方式</w:t>
      </w:r>
      <w:bookmarkEnd w:id="223"/>
      <w:bookmarkEnd w:id="224"/>
      <w:bookmarkEnd w:id="225"/>
      <w:bookmarkEnd w:id="226"/>
      <w:bookmarkEnd w:id="227"/>
      <w:bookmarkEnd w:id="228"/>
    </w:p>
    <w:p w14:paraId="7D18CB2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除供应商须知前附表规定磋商小组直接确定成交人外，采购人依据磋商小组推荐的成交候选人确定成交人，磋商小组推荐成交候选人的人数见供应商须知前附表。</w:t>
      </w:r>
    </w:p>
    <w:p w14:paraId="438E330E">
      <w:pPr>
        <w:pStyle w:val="60"/>
        <w:spacing w:line="360" w:lineRule="auto"/>
        <w:rPr>
          <w:rFonts w:hint="eastAsia" w:ascii="宋体" w:hAnsi="宋体" w:eastAsia="宋体" w:cs="宋体"/>
          <w:sz w:val="21"/>
          <w:szCs w:val="21"/>
        </w:rPr>
      </w:pPr>
      <w:bookmarkStart w:id="229" w:name="_Toc152042344"/>
      <w:bookmarkStart w:id="230" w:name="_Toc179632586"/>
      <w:bookmarkStart w:id="231" w:name="_Toc1104"/>
      <w:bookmarkStart w:id="232" w:name="_Toc144974536"/>
      <w:bookmarkStart w:id="233" w:name="_Toc45177838"/>
      <w:bookmarkStart w:id="234" w:name="_Toc152045568"/>
      <w:r>
        <w:rPr>
          <w:rFonts w:hint="eastAsia" w:ascii="宋体" w:hAnsi="宋体" w:eastAsia="宋体" w:cs="宋体"/>
          <w:sz w:val="21"/>
          <w:szCs w:val="21"/>
        </w:rPr>
        <w:t>7.2 中标通知</w:t>
      </w:r>
      <w:bookmarkEnd w:id="229"/>
      <w:bookmarkEnd w:id="230"/>
      <w:bookmarkEnd w:id="231"/>
      <w:bookmarkEnd w:id="232"/>
      <w:bookmarkEnd w:id="233"/>
      <w:bookmarkEnd w:id="234"/>
    </w:p>
    <w:p w14:paraId="2A7D30B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在本章第3.3款规定的投标有效期内，采购人以书面形式向成交人发出成交通知书，同时将成交结果通知未中标的供应商。</w:t>
      </w:r>
    </w:p>
    <w:p w14:paraId="59EAB670">
      <w:pPr>
        <w:pStyle w:val="60"/>
        <w:spacing w:line="360" w:lineRule="auto"/>
        <w:rPr>
          <w:rFonts w:hint="eastAsia" w:ascii="宋体" w:hAnsi="宋体" w:eastAsia="宋体" w:cs="宋体"/>
          <w:sz w:val="21"/>
          <w:szCs w:val="21"/>
        </w:rPr>
      </w:pPr>
      <w:bookmarkStart w:id="235" w:name="_Toc152042345"/>
      <w:bookmarkStart w:id="236" w:name="_Toc144974537"/>
      <w:bookmarkStart w:id="237" w:name="_Toc179632587"/>
      <w:bookmarkStart w:id="238" w:name="_Toc152045569"/>
      <w:bookmarkStart w:id="239" w:name="_Toc45177839"/>
      <w:bookmarkStart w:id="240" w:name="_Toc4423"/>
      <w:r>
        <w:rPr>
          <w:rFonts w:hint="eastAsia" w:ascii="宋体" w:hAnsi="宋体" w:eastAsia="宋体" w:cs="宋体"/>
          <w:sz w:val="21"/>
          <w:szCs w:val="21"/>
        </w:rPr>
        <w:t>7.3 履约担保</w:t>
      </w:r>
      <w:bookmarkEnd w:id="235"/>
      <w:bookmarkEnd w:id="236"/>
      <w:bookmarkEnd w:id="237"/>
      <w:bookmarkEnd w:id="238"/>
      <w:r>
        <w:rPr>
          <w:rFonts w:hint="eastAsia" w:ascii="宋体" w:hAnsi="宋体" w:eastAsia="宋体" w:cs="宋体"/>
          <w:b/>
          <w:sz w:val="21"/>
          <w:szCs w:val="21"/>
        </w:rPr>
        <w:t>（本项目不适用）</w:t>
      </w:r>
      <w:bookmarkEnd w:id="239"/>
      <w:bookmarkEnd w:id="240"/>
    </w:p>
    <w:p w14:paraId="799F169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7.3.1在签订合同前，成交人应按供应商须知前附表规定的金额、担保形式和磋商文件第四章“合同条款及格式”规定的履约担保格式向采购人提交履约担保，工程竣工后如无拖欠农民工工资情况即行退还。</w:t>
      </w:r>
    </w:p>
    <w:p w14:paraId="22DCAC5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7.3.2 成交人不能按本章第7.3.1项要求提交履约担保的，视为放弃中标，其投标保证金不予退还。</w:t>
      </w:r>
    </w:p>
    <w:p w14:paraId="18A80BC8">
      <w:pPr>
        <w:pStyle w:val="60"/>
        <w:spacing w:line="360" w:lineRule="auto"/>
        <w:rPr>
          <w:rFonts w:hint="eastAsia" w:ascii="宋体" w:hAnsi="宋体" w:eastAsia="宋体" w:cs="宋体"/>
          <w:sz w:val="21"/>
          <w:szCs w:val="21"/>
        </w:rPr>
      </w:pPr>
      <w:bookmarkStart w:id="241" w:name="_Toc152045570"/>
      <w:bookmarkStart w:id="242" w:name="_Toc16681"/>
      <w:bookmarkStart w:id="243" w:name="_Toc152042346"/>
      <w:bookmarkStart w:id="244" w:name="_Toc45177840"/>
      <w:bookmarkStart w:id="245" w:name="_Toc144974538"/>
      <w:bookmarkStart w:id="246" w:name="_Toc179632588"/>
      <w:r>
        <w:rPr>
          <w:rFonts w:hint="eastAsia" w:ascii="宋体" w:hAnsi="宋体" w:eastAsia="宋体" w:cs="宋体"/>
          <w:sz w:val="21"/>
          <w:szCs w:val="21"/>
        </w:rPr>
        <w:t>7.4 签订合同</w:t>
      </w:r>
      <w:bookmarkEnd w:id="241"/>
      <w:bookmarkEnd w:id="242"/>
      <w:bookmarkEnd w:id="243"/>
      <w:bookmarkEnd w:id="244"/>
      <w:bookmarkEnd w:id="245"/>
      <w:bookmarkEnd w:id="246"/>
    </w:p>
    <w:p w14:paraId="1900B8F9">
      <w:pPr>
        <w:spacing w:line="360" w:lineRule="auto"/>
        <w:ind w:firstLine="420" w:firstLineChars="200"/>
        <w:rPr>
          <w:rFonts w:hint="eastAsia" w:ascii="宋体" w:hAnsi="宋体" w:eastAsia="宋体" w:cs="宋体"/>
          <w:b/>
          <w:sz w:val="21"/>
          <w:szCs w:val="21"/>
        </w:rPr>
      </w:pPr>
      <w:r>
        <w:rPr>
          <w:rFonts w:hint="eastAsia" w:ascii="宋体" w:hAnsi="宋体" w:eastAsia="宋体" w:cs="宋体"/>
          <w:sz w:val="21"/>
          <w:szCs w:val="21"/>
        </w:rPr>
        <w:t>7.4.1采购人和成交人应当自成交通知书发出之日起15天内（有新政策文件的执行新政策文件），根据磋商文件和成交人的响应文件订立书面合同。成交人无正当理由拒签合同的，采购人有权取消其中标资格，其投标保证金不予退还。给采购人造成的损失超过投标保证金数额的，成交人还应当对超过部分予以赔偿。</w:t>
      </w:r>
      <w:r>
        <w:rPr>
          <w:rFonts w:hint="eastAsia" w:ascii="宋体" w:hAnsi="宋体" w:eastAsia="宋体" w:cs="宋体"/>
          <w:b/>
          <w:sz w:val="21"/>
          <w:szCs w:val="21"/>
        </w:rPr>
        <w:t>成交人拒绝签订合同，或在签订合同后不按约定时间实施本项目，采购人有权取消其中标资格，按照评标委员会推荐成交候选人顺序确定其他供应商作为成交人并签订政府采购合同，也可以重新开展采购活动。拒绝签订政府采购合同的成交人不得参加对该项目重新开展的采购活动</w:t>
      </w:r>
      <w:r>
        <w:rPr>
          <w:rFonts w:hint="eastAsia" w:ascii="宋体" w:hAnsi="宋体" w:eastAsia="宋体" w:cs="宋体"/>
          <w:sz w:val="21"/>
          <w:szCs w:val="21"/>
        </w:rPr>
        <w:t>。</w:t>
      </w:r>
    </w:p>
    <w:p w14:paraId="072EEE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7.4.2 发出成交通知书后，采购人无正当理由拒签合同的，采购人向成交人退还投标保证金；给成交人造成损失的，还应当赔偿损失。 </w:t>
      </w:r>
    </w:p>
    <w:p w14:paraId="20563E7C">
      <w:pPr>
        <w:pStyle w:val="59"/>
        <w:spacing w:line="360" w:lineRule="auto"/>
        <w:rPr>
          <w:rFonts w:hint="eastAsia" w:ascii="宋体" w:hAnsi="宋体" w:eastAsia="宋体" w:cs="宋体"/>
          <w:b/>
          <w:bCs/>
          <w:sz w:val="21"/>
          <w:szCs w:val="21"/>
        </w:rPr>
      </w:pPr>
      <w:bookmarkStart w:id="247" w:name="_Toc45177841"/>
      <w:bookmarkStart w:id="248" w:name="_Toc144974539"/>
      <w:bookmarkStart w:id="249" w:name="_Toc152045571"/>
      <w:bookmarkStart w:id="250" w:name="_Toc21729"/>
      <w:bookmarkStart w:id="251" w:name="_Toc179632589"/>
      <w:bookmarkStart w:id="252" w:name="_Toc152042347"/>
      <w:bookmarkStart w:id="253" w:name="_Toc12198"/>
      <w:r>
        <w:rPr>
          <w:rFonts w:hint="eastAsia" w:ascii="宋体" w:hAnsi="宋体" w:eastAsia="宋体" w:cs="宋体"/>
          <w:b/>
          <w:bCs/>
          <w:sz w:val="21"/>
          <w:szCs w:val="21"/>
        </w:rPr>
        <w:t>8. 重新招标和不再招标</w:t>
      </w:r>
      <w:bookmarkEnd w:id="247"/>
      <w:bookmarkEnd w:id="248"/>
      <w:bookmarkEnd w:id="249"/>
      <w:bookmarkEnd w:id="250"/>
      <w:bookmarkEnd w:id="251"/>
      <w:bookmarkEnd w:id="252"/>
      <w:bookmarkEnd w:id="253"/>
    </w:p>
    <w:p w14:paraId="0E0F1314">
      <w:pPr>
        <w:pStyle w:val="60"/>
        <w:spacing w:line="360" w:lineRule="auto"/>
        <w:rPr>
          <w:rFonts w:hint="eastAsia" w:ascii="宋体" w:hAnsi="宋体" w:eastAsia="宋体" w:cs="宋体"/>
          <w:sz w:val="21"/>
          <w:szCs w:val="21"/>
        </w:rPr>
      </w:pPr>
      <w:bookmarkStart w:id="254" w:name="_Toc179632590"/>
      <w:bookmarkStart w:id="255" w:name="_Toc144974540"/>
      <w:bookmarkStart w:id="256" w:name="_Toc152042348"/>
      <w:bookmarkStart w:id="257" w:name="_Toc45177842"/>
      <w:bookmarkStart w:id="258" w:name="_Toc30865"/>
      <w:bookmarkStart w:id="259" w:name="_Toc152045572"/>
      <w:r>
        <w:rPr>
          <w:rFonts w:hint="eastAsia" w:ascii="宋体" w:hAnsi="宋体" w:eastAsia="宋体" w:cs="宋体"/>
          <w:sz w:val="21"/>
          <w:szCs w:val="21"/>
        </w:rPr>
        <w:t>8.1 重新招标</w:t>
      </w:r>
      <w:bookmarkEnd w:id="254"/>
      <w:bookmarkEnd w:id="255"/>
      <w:bookmarkEnd w:id="256"/>
      <w:bookmarkEnd w:id="257"/>
      <w:bookmarkEnd w:id="258"/>
      <w:bookmarkEnd w:id="259"/>
    </w:p>
    <w:p w14:paraId="303C46B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有下列情形之一的，采购人将重新招标：</w:t>
      </w:r>
    </w:p>
    <w:p w14:paraId="51D09C9C">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（1）投标截止时间止，供应商少于3个的；</w:t>
      </w:r>
    </w:p>
    <w:p w14:paraId="7EA4C5DE">
      <w:pPr>
        <w:spacing w:line="360" w:lineRule="auto"/>
        <w:ind w:firstLine="359" w:firstLineChars="171"/>
        <w:rPr>
          <w:rFonts w:hint="eastAsia" w:ascii="宋体" w:hAnsi="宋体" w:eastAsia="宋体" w:cs="宋体"/>
          <w:sz w:val="21"/>
          <w:szCs w:val="21"/>
        </w:rPr>
      </w:pPr>
      <w:r>
        <w:rPr>
          <w:rFonts w:hint="eastAsia" w:ascii="宋体" w:hAnsi="宋体" w:eastAsia="宋体" w:cs="宋体"/>
          <w:sz w:val="21"/>
          <w:szCs w:val="21"/>
        </w:rPr>
        <w:t>（2）经磋商小组评审后否决所有投标的。</w:t>
      </w:r>
    </w:p>
    <w:p w14:paraId="06276E60">
      <w:pPr>
        <w:pStyle w:val="60"/>
        <w:spacing w:line="360" w:lineRule="auto"/>
        <w:rPr>
          <w:rFonts w:hint="eastAsia" w:ascii="宋体" w:hAnsi="宋体" w:eastAsia="宋体" w:cs="宋体"/>
          <w:sz w:val="21"/>
          <w:szCs w:val="21"/>
        </w:rPr>
      </w:pPr>
      <w:bookmarkStart w:id="260" w:name="_Toc152042349"/>
      <w:bookmarkStart w:id="261" w:name="_Toc179632591"/>
      <w:bookmarkStart w:id="262" w:name="_Toc152045573"/>
      <w:bookmarkStart w:id="263" w:name="_Toc22058"/>
      <w:bookmarkStart w:id="264" w:name="_Toc144974541"/>
      <w:bookmarkStart w:id="265" w:name="_Toc45177843"/>
      <w:r>
        <w:rPr>
          <w:rFonts w:hint="eastAsia" w:ascii="宋体" w:hAnsi="宋体" w:eastAsia="宋体" w:cs="宋体"/>
          <w:sz w:val="21"/>
          <w:szCs w:val="21"/>
        </w:rPr>
        <w:t>8.2 不再招标</w:t>
      </w:r>
      <w:bookmarkEnd w:id="260"/>
      <w:bookmarkEnd w:id="261"/>
      <w:bookmarkEnd w:id="262"/>
      <w:bookmarkEnd w:id="263"/>
      <w:bookmarkEnd w:id="264"/>
      <w:bookmarkEnd w:id="265"/>
    </w:p>
    <w:p w14:paraId="1DAC412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重新招标后供应商仍少于3个或者所有投标被否决的。</w:t>
      </w:r>
    </w:p>
    <w:p w14:paraId="28EDBD88">
      <w:pPr>
        <w:pStyle w:val="59"/>
        <w:spacing w:line="360" w:lineRule="auto"/>
        <w:rPr>
          <w:rFonts w:hint="eastAsia" w:ascii="宋体" w:hAnsi="宋体" w:eastAsia="宋体" w:cs="宋体"/>
          <w:b/>
          <w:bCs/>
          <w:sz w:val="21"/>
          <w:szCs w:val="21"/>
        </w:rPr>
      </w:pPr>
      <w:bookmarkStart w:id="266" w:name="_Toc6642"/>
      <w:bookmarkStart w:id="267" w:name="_Toc152042350"/>
      <w:bookmarkStart w:id="268" w:name="_Toc152045574"/>
      <w:bookmarkStart w:id="269" w:name="_Toc144974542"/>
      <w:bookmarkStart w:id="270" w:name="_Toc179632592"/>
      <w:bookmarkStart w:id="271" w:name="_Toc45177844"/>
      <w:bookmarkStart w:id="272" w:name="_Toc29650"/>
      <w:r>
        <w:rPr>
          <w:rFonts w:hint="eastAsia" w:ascii="宋体" w:hAnsi="宋体" w:eastAsia="宋体" w:cs="宋体"/>
          <w:b/>
          <w:bCs/>
          <w:sz w:val="21"/>
          <w:szCs w:val="21"/>
        </w:rPr>
        <w:t>9. 纪律和监督</w:t>
      </w:r>
      <w:bookmarkEnd w:id="266"/>
      <w:bookmarkEnd w:id="267"/>
      <w:bookmarkEnd w:id="268"/>
      <w:bookmarkEnd w:id="269"/>
      <w:bookmarkEnd w:id="270"/>
      <w:bookmarkEnd w:id="271"/>
      <w:bookmarkEnd w:id="272"/>
    </w:p>
    <w:p w14:paraId="4A519079">
      <w:pPr>
        <w:pStyle w:val="60"/>
        <w:spacing w:line="360" w:lineRule="auto"/>
        <w:rPr>
          <w:rFonts w:hint="eastAsia" w:ascii="宋体" w:hAnsi="宋体" w:eastAsia="宋体" w:cs="宋体"/>
          <w:sz w:val="21"/>
          <w:szCs w:val="21"/>
        </w:rPr>
      </w:pPr>
      <w:bookmarkStart w:id="273" w:name="_Toc179632593"/>
      <w:bookmarkStart w:id="274" w:name="_Toc45177845"/>
      <w:bookmarkStart w:id="275" w:name="_Toc144974543"/>
      <w:bookmarkStart w:id="276" w:name="_Toc152042351"/>
      <w:bookmarkStart w:id="277" w:name="_Toc152045575"/>
      <w:bookmarkStart w:id="278" w:name="_Toc1583"/>
      <w:r>
        <w:rPr>
          <w:rFonts w:hint="eastAsia" w:ascii="宋体" w:hAnsi="宋体" w:eastAsia="宋体" w:cs="宋体"/>
          <w:sz w:val="21"/>
          <w:szCs w:val="21"/>
        </w:rPr>
        <w:t>9.1 对采购人的纪律要求</w:t>
      </w:r>
      <w:bookmarkEnd w:id="273"/>
      <w:bookmarkEnd w:id="274"/>
      <w:bookmarkEnd w:id="275"/>
      <w:bookmarkEnd w:id="276"/>
      <w:bookmarkEnd w:id="277"/>
      <w:bookmarkEnd w:id="278"/>
    </w:p>
    <w:p w14:paraId="63F824B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采购人不得泄漏招标投标活动中应当保密的情况和资料，不得与供应商串通损害国家利益、社会公共利益或者他人合法权益。</w:t>
      </w:r>
    </w:p>
    <w:p w14:paraId="3D4DB15E">
      <w:pPr>
        <w:pStyle w:val="60"/>
        <w:spacing w:line="360" w:lineRule="auto"/>
        <w:rPr>
          <w:rFonts w:hint="eastAsia" w:ascii="宋体" w:hAnsi="宋体" w:eastAsia="宋体" w:cs="宋体"/>
          <w:sz w:val="21"/>
          <w:szCs w:val="21"/>
        </w:rPr>
      </w:pPr>
      <w:bookmarkStart w:id="279" w:name="_Toc152045576"/>
      <w:bookmarkStart w:id="280" w:name="_Toc179632594"/>
      <w:bookmarkStart w:id="281" w:name="_Toc45177846"/>
      <w:bookmarkStart w:id="282" w:name="_Toc152042352"/>
      <w:bookmarkStart w:id="283" w:name="_Toc8461"/>
      <w:bookmarkStart w:id="284" w:name="_Toc144974544"/>
      <w:r>
        <w:rPr>
          <w:rFonts w:hint="eastAsia" w:ascii="宋体" w:hAnsi="宋体" w:eastAsia="宋体" w:cs="宋体"/>
          <w:sz w:val="21"/>
          <w:szCs w:val="21"/>
        </w:rPr>
        <w:t>9.2 对供应商的纪律要求</w:t>
      </w:r>
      <w:bookmarkEnd w:id="279"/>
      <w:bookmarkEnd w:id="280"/>
      <w:bookmarkEnd w:id="281"/>
      <w:bookmarkEnd w:id="282"/>
      <w:bookmarkEnd w:id="283"/>
      <w:bookmarkEnd w:id="284"/>
    </w:p>
    <w:p w14:paraId="542F025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供应商不得相互串通投标或者与采购人串通投标，不得向采购人或者磋商小组成员行贿谋取中标，不得以他人名义投标或者以其他方式弄虚作假骗取中标；供应商不得以任何方式干扰、影响评标工作。</w:t>
      </w:r>
    </w:p>
    <w:p w14:paraId="3396957B">
      <w:pPr>
        <w:pStyle w:val="60"/>
        <w:spacing w:line="360" w:lineRule="auto"/>
        <w:rPr>
          <w:rFonts w:hint="eastAsia" w:ascii="宋体" w:hAnsi="宋体" w:eastAsia="宋体" w:cs="宋体"/>
          <w:sz w:val="21"/>
          <w:szCs w:val="21"/>
        </w:rPr>
      </w:pPr>
      <w:bookmarkStart w:id="285" w:name="_Toc179632595"/>
      <w:bookmarkStart w:id="286" w:name="_Toc45177847"/>
      <w:bookmarkStart w:id="287" w:name="_Toc152045577"/>
      <w:bookmarkStart w:id="288" w:name="_Toc24265"/>
      <w:bookmarkStart w:id="289" w:name="_Toc144974545"/>
      <w:bookmarkStart w:id="290" w:name="_Toc152042353"/>
      <w:r>
        <w:rPr>
          <w:rFonts w:hint="eastAsia" w:ascii="宋体" w:hAnsi="宋体" w:eastAsia="宋体" w:cs="宋体"/>
          <w:sz w:val="21"/>
          <w:szCs w:val="21"/>
        </w:rPr>
        <w:t>9.3 对磋商小组成员的纪律要求</w:t>
      </w:r>
      <w:bookmarkEnd w:id="285"/>
      <w:bookmarkEnd w:id="286"/>
      <w:bookmarkEnd w:id="287"/>
      <w:bookmarkEnd w:id="288"/>
      <w:bookmarkEnd w:id="289"/>
      <w:bookmarkEnd w:id="290"/>
    </w:p>
    <w:p w14:paraId="3BDEAC3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磋商小组成员不得收受他人的财物或者其他好处，不得向他人透漏对响应文件的评审和比较、中标候选人的推荐情况以及评标有关的其他情况。在评标活动中，磋商小组成员不得擅离职守，影响评标程序正常进行，不得使用第三章“评标办法”没有规定的评审因素和标准进行评标。</w:t>
      </w:r>
    </w:p>
    <w:p w14:paraId="6E8248B9">
      <w:pPr>
        <w:pStyle w:val="60"/>
        <w:spacing w:line="360" w:lineRule="auto"/>
        <w:rPr>
          <w:rFonts w:hint="eastAsia" w:ascii="宋体" w:hAnsi="宋体" w:eastAsia="宋体" w:cs="宋体"/>
          <w:sz w:val="21"/>
          <w:szCs w:val="21"/>
        </w:rPr>
      </w:pPr>
      <w:bookmarkStart w:id="291" w:name="_Toc179632596"/>
      <w:bookmarkStart w:id="292" w:name="_Toc152045578"/>
      <w:bookmarkStart w:id="293" w:name="_Toc45177848"/>
      <w:bookmarkStart w:id="294" w:name="_Toc152042354"/>
      <w:bookmarkStart w:id="295" w:name="_Toc11778"/>
      <w:bookmarkStart w:id="296" w:name="_Toc144974546"/>
      <w:r>
        <w:rPr>
          <w:rFonts w:hint="eastAsia" w:ascii="宋体" w:hAnsi="宋体" w:eastAsia="宋体" w:cs="宋体"/>
          <w:sz w:val="21"/>
          <w:szCs w:val="21"/>
        </w:rPr>
        <w:t>9.4 对与评标活动有关的工作人员的纪律要求</w:t>
      </w:r>
      <w:bookmarkEnd w:id="291"/>
      <w:bookmarkEnd w:id="292"/>
      <w:bookmarkEnd w:id="293"/>
      <w:bookmarkEnd w:id="294"/>
      <w:bookmarkEnd w:id="295"/>
    </w:p>
    <w:p w14:paraId="20C4EA5F">
      <w:pPr>
        <w:spacing w:line="360" w:lineRule="auto"/>
        <w:ind w:firstLine="420" w:firstLineChars="200"/>
        <w:rPr>
          <w:rFonts w:hint="eastAsia" w:ascii="宋体" w:hAnsi="宋体" w:eastAsia="宋体" w:cs="宋体"/>
          <w:sz w:val="21"/>
          <w:szCs w:val="21"/>
        </w:rPr>
      </w:pPr>
      <w:bookmarkStart w:id="297" w:name="_Toc152042355"/>
      <w:r>
        <w:rPr>
          <w:rFonts w:hint="eastAsia" w:ascii="宋体" w:hAnsi="宋体" w:eastAsia="宋体" w:cs="宋体"/>
          <w:sz w:val="21"/>
          <w:szCs w:val="21"/>
        </w:rPr>
        <w:t>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297"/>
    </w:p>
    <w:p w14:paraId="3EA866DD">
      <w:pPr>
        <w:pStyle w:val="60"/>
        <w:spacing w:line="360" w:lineRule="auto"/>
        <w:rPr>
          <w:rFonts w:hint="eastAsia" w:ascii="宋体" w:hAnsi="宋体" w:eastAsia="宋体" w:cs="宋体"/>
          <w:sz w:val="21"/>
          <w:szCs w:val="21"/>
        </w:rPr>
      </w:pPr>
      <w:bookmarkStart w:id="298" w:name="_Toc152045579"/>
      <w:bookmarkStart w:id="299" w:name="_Toc19644"/>
      <w:bookmarkStart w:id="300" w:name="_Toc179632597"/>
      <w:bookmarkStart w:id="301" w:name="_Toc152042356"/>
      <w:bookmarkStart w:id="302" w:name="_Toc45177849"/>
      <w:r>
        <w:rPr>
          <w:rFonts w:hint="eastAsia" w:ascii="宋体" w:hAnsi="宋体" w:eastAsia="宋体" w:cs="宋体"/>
          <w:sz w:val="21"/>
          <w:szCs w:val="21"/>
        </w:rPr>
        <w:t>9.5 投诉</w:t>
      </w:r>
      <w:bookmarkEnd w:id="296"/>
      <w:bookmarkEnd w:id="298"/>
      <w:bookmarkEnd w:id="299"/>
      <w:bookmarkEnd w:id="300"/>
      <w:bookmarkEnd w:id="301"/>
      <w:bookmarkEnd w:id="302"/>
    </w:p>
    <w:p w14:paraId="5845C13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供应商和其他利害关系人认为本次招标活动违反法律、法规和规章规定的，有权向有关行政监督部门投诉。</w:t>
      </w:r>
    </w:p>
    <w:p w14:paraId="031A2AC4">
      <w:pPr>
        <w:pStyle w:val="59"/>
        <w:spacing w:line="360" w:lineRule="auto"/>
        <w:rPr>
          <w:rFonts w:hint="eastAsia" w:ascii="宋体" w:hAnsi="宋体" w:eastAsia="宋体" w:cs="宋体"/>
          <w:b/>
          <w:bCs/>
          <w:sz w:val="21"/>
          <w:szCs w:val="21"/>
        </w:rPr>
      </w:pPr>
      <w:bookmarkStart w:id="303" w:name="_Toc45177850"/>
      <w:bookmarkStart w:id="304" w:name="_Toc152042357"/>
      <w:bookmarkStart w:id="305" w:name="_Toc152045580"/>
      <w:bookmarkStart w:id="306" w:name="_Toc144974547"/>
      <w:bookmarkStart w:id="307" w:name="_Toc22818"/>
      <w:bookmarkStart w:id="308" w:name="_Toc6729"/>
      <w:bookmarkStart w:id="309" w:name="_Toc179632598"/>
      <w:r>
        <w:rPr>
          <w:rFonts w:hint="eastAsia" w:ascii="宋体" w:hAnsi="宋体" w:eastAsia="宋体" w:cs="宋体"/>
          <w:b/>
          <w:bCs/>
          <w:sz w:val="21"/>
          <w:szCs w:val="21"/>
        </w:rPr>
        <w:t>10. 需要补充的其他内容</w:t>
      </w:r>
      <w:bookmarkEnd w:id="303"/>
      <w:bookmarkEnd w:id="304"/>
      <w:bookmarkEnd w:id="305"/>
      <w:bookmarkEnd w:id="306"/>
      <w:bookmarkEnd w:id="307"/>
      <w:bookmarkEnd w:id="308"/>
      <w:bookmarkEnd w:id="309"/>
    </w:p>
    <w:p w14:paraId="19302FC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需要补充的其他内容：见供应商须知前附表。</w:t>
      </w:r>
    </w:p>
    <w:p w14:paraId="0899DE95">
      <w:pPr>
        <w:rPr>
          <w:rFonts w:hint="eastAsia" w:ascii="宋体" w:hAnsi="宋体" w:eastAsia="宋体" w:cs="宋体"/>
          <w:sz w:val="21"/>
          <w:szCs w:val="21"/>
        </w:rPr>
      </w:pPr>
    </w:p>
    <w:p w14:paraId="0ACC7613">
      <w:pPr>
        <w:spacing w:line="400" w:lineRule="exact"/>
        <w:rPr>
          <w:rFonts w:hint="eastAsia" w:ascii="宋体" w:hAnsi="宋体" w:eastAsia="宋体" w:cs="宋体"/>
          <w:sz w:val="21"/>
          <w:szCs w:val="21"/>
        </w:rPr>
      </w:pPr>
      <w:r>
        <w:rPr>
          <w:rFonts w:hint="eastAsia" w:ascii="宋体" w:hAnsi="宋体" w:eastAsia="宋体" w:cs="宋体"/>
          <w:sz w:val="21"/>
          <w:szCs w:val="21"/>
        </w:rPr>
        <w:br w:type="page"/>
      </w:r>
    </w:p>
    <w:p w14:paraId="5F04339E">
      <w:pPr>
        <w:jc w:val="center"/>
        <w:outlineLvl w:val="0"/>
        <w:rPr>
          <w:rFonts w:hint="eastAsia" w:ascii="宋体" w:hAnsi="宋体" w:eastAsia="宋体" w:cs="宋体"/>
          <w:b/>
          <w:sz w:val="32"/>
        </w:rPr>
      </w:pPr>
      <w:bookmarkStart w:id="310" w:name="_Toc1955"/>
      <w:bookmarkStart w:id="311" w:name="_Toc263"/>
      <w:bookmarkStart w:id="312" w:name="_Toc45177851"/>
      <w:r>
        <w:rPr>
          <w:rFonts w:hint="eastAsia" w:ascii="宋体" w:hAnsi="宋体" w:eastAsia="宋体" w:cs="宋体"/>
          <w:b/>
          <w:sz w:val="32"/>
        </w:rPr>
        <w:t>第三章  评标办法（综合评估法）</w:t>
      </w:r>
      <w:bookmarkEnd w:id="310"/>
      <w:bookmarkEnd w:id="311"/>
      <w:bookmarkEnd w:id="312"/>
    </w:p>
    <w:p w14:paraId="3A3A2408">
      <w:pPr>
        <w:jc w:val="center"/>
        <w:rPr>
          <w:rFonts w:hint="eastAsia" w:ascii="宋体" w:hAnsi="宋体" w:eastAsia="宋体" w:cs="宋体"/>
        </w:rPr>
      </w:pPr>
      <w:bookmarkStart w:id="313" w:name="_Toc31213"/>
      <w:bookmarkStart w:id="314" w:name="_Toc382903916"/>
      <w:bookmarkStart w:id="315" w:name="_Toc45177852"/>
      <w:r>
        <w:rPr>
          <w:rFonts w:hint="eastAsia" w:ascii="宋体" w:hAnsi="宋体" w:eastAsia="宋体" w:cs="宋体"/>
        </w:rPr>
        <w:t>评标办法前附表</w:t>
      </w:r>
      <w:bookmarkEnd w:id="313"/>
      <w:bookmarkEnd w:id="314"/>
      <w:bookmarkEnd w:id="315"/>
    </w:p>
    <w:tbl>
      <w:tblPr>
        <w:tblStyle w:val="34"/>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900"/>
        <w:gridCol w:w="1110"/>
        <w:gridCol w:w="1821"/>
        <w:gridCol w:w="5126"/>
      </w:tblGrid>
      <w:tr w14:paraId="0CB0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5"/>
            <w:vAlign w:val="center"/>
          </w:tcPr>
          <w:p w14:paraId="54607F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初步评审</w:t>
            </w:r>
          </w:p>
        </w:tc>
      </w:tr>
      <w:tr w14:paraId="7042B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93" w:type="pct"/>
            <w:gridSpan w:val="2"/>
            <w:vAlign w:val="center"/>
          </w:tcPr>
          <w:p w14:paraId="08048627">
            <w:pPr>
              <w:spacing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条款号</w:t>
            </w:r>
          </w:p>
        </w:tc>
        <w:tc>
          <w:tcPr>
            <w:tcW w:w="1494" w:type="pct"/>
            <w:gridSpan w:val="2"/>
            <w:vAlign w:val="center"/>
          </w:tcPr>
          <w:p w14:paraId="7B6B26B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评审因素</w:t>
            </w:r>
          </w:p>
        </w:tc>
        <w:tc>
          <w:tcPr>
            <w:tcW w:w="2612" w:type="pct"/>
            <w:vAlign w:val="center"/>
          </w:tcPr>
          <w:p w14:paraId="1624D228">
            <w:pPr>
              <w:spacing w:line="360" w:lineRule="auto"/>
              <w:ind w:firstLine="1995" w:firstLineChars="950"/>
              <w:rPr>
                <w:rFonts w:hint="eastAsia" w:ascii="宋体" w:hAnsi="宋体" w:eastAsia="宋体" w:cs="宋体"/>
                <w:sz w:val="21"/>
                <w:szCs w:val="21"/>
              </w:rPr>
            </w:pPr>
            <w:r>
              <w:rPr>
                <w:rFonts w:hint="eastAsia" w:ascii="宋体" w:hAnsi="宋体" w:eastAsia="宋体" w:cs="宋体"/>
                <w:sz w:val="21"/>
                <w:szCs w:val="21"/>
              </w:rPr>
              <w:t>评审标准</w:t>
            </w:r>
          </w:p>
        </w:tc>
      </w:tr>
      <w:tr w14:paraId="0BE4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F13250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2.1.1</w:t>
            </w:r>
          </w:p>
        </w:tc>
        <w:tc>
          <w:tcPr>
            <w:tcW w:w="458" w:type="pct"/>
            <w:vMerge w:val="restart"/>
            <w:vAlign w:val="center"/>
          </w:tcPr>
          <w:p w14:paraId="4F5EFC0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形式</w:t>
            </w:r>
          </w:p>
          <w:p w14:paraId="41FAE24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w:t>
            </w:r>
          </w:p>
          <w:p w14:paraId="6C4A54B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标准</w:t>
            </w:r>
          </w:p>
        </w:tc>
        <w:tc>
          <w:tcPr>
            <w:tcW w:w="1494" w:type="pct"/>
            <w:gridSpan w:val="2"/>
            <w:vAlign w:val="center"/>
          </w:tcPr>
          <w:p w14:paraId="4B0EA48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供应商名称</w:t>
            </w:r>
          </w:p>
        </w:tc>
        <w:tc>
          <w:tcPr>
            <w:tcW w:w="2612" w:type="pct"/>
            <w:vAlign w:val="center"/>
          </w:tcPr>
          <w:p w14:paraId="7A4911D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与营业执照一致</w:t>
            </w:r>
          </w:p>
        </w:tc>
      </w:tr>
      <w:tr w14:paraId="6CF1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36A06600">
            <w:pPr>
              <w:spacing w:line="360" w:lineRule="auto"/>
              <w:jc w:val="center"/>
              <w:rPr>
                <w:rFonts w:hint="eastAsia" w:ascii="宋体" w:hAnsi="宋体" w:eastAsia="宋体" w:cs="宋体"/>
                <w:sz w:val="21"/>
                <w:szCs w:val="21"/>
              </w:rPr>
            </w:pPr>
          </w:p>
        </w:tc>
        <w:tc>
          <w:tcPr>
            <w:tcW w:w="458" w:type="pct"/>
            <w:vMerge w:val="continue"/>
            <w:vAlign w:val="center"/>
          </w:tcPr>
          <w:p w14:paraId="6AFA47A6">
            <w:pPr>
              <w:spacing w:line="360" w:lineRule="auto"/>
              <w:jc w:val="center"/>
              <w:rPr>
                <w:rFonts w:hint="eastAsia" w:ascii="宋体" w:hAnsi="宋体" w:eastAsia="宋体" w:cs="宋体"/>
                <w:sz w:val="21"/>
                <w:szCs w:val="21"/>
              </w:rPr>
            </w:pPr>
          </w:p>
        </w:tc>
        <w:tc>
          <w:tcPr>
            <w:tcW w:w="1494" w:type="pct"/>
            <w:gridSpan w:val="2"/>
            <w:vAlign w:val="center"/>
          </w:tcPr>
          <w:p w14:paraId="476CF6C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响应文件签字盖章</w:t>
            </w:r>
          </w:p>
        </w:tc>
        <w:tc>
          <w:tcPr>
            <w:tcW w:w="2612" w:type="pct"/>
            <w:vAlign w:val="center"/>
          </w:tcPr>
          <w:p w14:paraId="0132755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CF4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5E6F41E6">
            <w:pPr>
              <w:spacing w:line="360" w:lineRule="auto"/>
              <w:jc w:val="center"/>
              <w:rPr>
                <w:rFonts w:hint="eastAsia" w:ascii="宋体" w:hAnsi="宋体" w:eastAsia="宋体" w:cs="宋体"/>
                <w:sz w:val="21"/>
                <w:szCs w:val="21"/>
              </w:rPr>
            </w:pPr>
          </w:p>
        </w:tc>
        <w:tc>
          <w:tcPr>
            <w:tcW w:w="458" w:type="pct"/>
            <w:vMerge w:val="continue"/>
            <w:vAlign w:val="center"/>
          </w:tcPr>
          <w:p w14:paraId="76D9D120">
            <w:pPr>
              <w:spacing w:line="360" w:lineRule="auto"/>
              <w:jc w:val="center"/>
              <w:rPr>
                <w:rFonts w:hint="eastAsia" w:ascii="宋体" w:hAnsi="宋体" w:eastAsia="宋体" w:cs="宋体"/>
                <w:sz w:val="21"/>
                <w:szCs w:val="21"/>
              </w:rPr>
            </w:pPr>
          </w:p>
        </w:tc>
        <w:tc>
          <w:tcPr>
            <w:tcW w:w="1494" w:type="pct"/>
            <w:gridSpan w:val="2"/>
            <w:vAlign w:val="center"/>
          </w:tcPr>
          <w:p w14:paraId="0E54F16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响应文件格式</w:t>
            </w:r>
          </w:p>
        </w:tc>
        <w:tc>
          <w:tcPr>
            <w:tcW w:w="2612" w:type="pct"/>
            <w:vAlign w:val="center"/>
          </w:tcPr>
          <w:p w14:paraId="174B63C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符合第六章“响应文件格式”的要求</w:t>
            </w:r>
          </w:p>
        </w:tc>
      </w:tr>
      <w:tr w14:paraId="3CC5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75DA462">
            <w:pPr>
              <w:spacing w:line="360" w:lineRule="auto"/>
              <w:jc w:val="center"/>
              <w:rPr>
                <w:rFonts w:hint="eastAsia" w:ascii="宋体" w:hAnsi="宋体" w:eastAsia="宋体" w:cs="宋体"/>
                <w:sz w:val="21"/>
                <w:szCs w:val="21"/>
              </w:rPr>
            </w:pPr>
          </w:p>
        </w:tc>
        <w:tc>
          <w:tcPr>
            <w:tcW w:w="458" w:type="pct"/>
            <w:vMerge w:val="continue"/>
            <w:vAlign w:val="center"/>
          </w:tcPr>
          <w:p w14:paraId="501DFD58">
            <w:pPr>
              <w:spacing w:line="360" w:lineRule="auto"/>
              <w:jc w:val="center"/>
              <w:rPr>
                <w:rFonts w:hint="eastAsia" w:ascii="宋体" w:hAnsi="宋体" w:eastAsia="宋体" w:cs="宋体"/>
                <w:sz w:val="21"/>
                <w:szCs w:val="21"/>
              </w:rPr>
            </w:pPr>
          </w:p>
        </w:tc>
        <w:tc>
          <w:tcPr>
            <w:tcW w:w="1494" w:type="pct"/>
            <w:gridSpan w:val="2"/>
            <w:vAlign w:val="center"/>
          </w:tcPr>
          <w:p w14:paraId="30FA864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首轮报价</w:t>
            </w:r>
          </w:p>
        </w:tc>
        <w:tc>
          <w:tcPr>
            <w:tcW w:w="2612" w:type="pct"/>
            <w:vAlign w:val="center"/>
          </w:tcPr>
          <w:p w14:paraId="4363CEF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首轮报价不能超过最高限价</w:t>
            </w:r>
          </w:p>
        </w:tc>
      </w:tr>
      <w:tr w14:paraId="6521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0DCCE9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2.1.2</w:t>
            </w:r>
          </w:p>
          <w:p w14:paraId="0AB57147">
            <w:pPr>
              <w:pStyle w:val="33"/>
              <w:spacing w:line="360" w:lineRule="auto"/>
              <w:ind w:left="480"/>
              <w:rPr>
                <w:rFonts w:hint="eastAsia" w:ascii="宋体" w:hAnsi="宋体" w:eastAsia="宋体" w:cs="宋体"/>
                <w:sz w:val="21"/>
                <w:szCs w:val="21"/>
              </w:rPr>
            </w:pPr>
          </w:p>
        </w:tc>
        <w:tc>
          <w:tcPr>
            <w:tcW w:w="458" w:type="pct"/>
            <w:vMerge w:val="restart"/>
            <w:vAlign w:val="center"/>
          </w:tcPr>
          <w:p w14:paraId="373C50A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资格</w:t>
            </w:r>
          </w:p>
          <w:p w14:paraId="227A196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评审标准</w:t>
            </w:r>
          </w:p>
        </w:tc>
        <w:tc>
          <w:tcPr>
            <w:tcW w:w="1494" w:type="pct"/>
            <w:gridSpan w:val="2"/>
            <w:vAlign w:val="center"/>
          </w:tcPr>
          <w:p w14:paraId="2182C428">
            <w:pPr>
              <w:spacing w:line="360" w:lineRule="auto"/>
              <w:ind w:right="-2"/>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营业执照</w:t>
            </w:r>
          </w:p>
        </w:tc>
        <w:tc>
          <w:tcPr>
            <w:tcW w:w="2612" w:type="pct"/>
            <w:vAlign w:val="center"/>
          </w:tcPr>
          <w:p w14:paraId="7FEE8636">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182B1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5F11762B">
            <w:pPr>
              <w:spacing w:line="360" w:lineRule="auto"/>
              <w:jc w:val="center"/>
              <w:rPr>
                <w:rFonts w:hint="eastAsia" w:ascii="宋体" w:hAnsi="宋体" w:eastAsia="宋体" w:cs="宋体"/>
                <w:sz w:val="21"/>
                <w:szCs w:val="21"/>
              </w:rPr>
            </w:pPr>
          </w:p>
        </w:tc>
        <w:tc>
          <w:tcPr>
            <w:tcW w:w="458" w:type="pct"/>
            <w:vMerge w:val="continue"/>
            <w:vAlign w:val="center"/>
          </w:tcPr>
          <w:p w14:paraId="7D4B4399">
            <w:pPr>
              <w:spacing w:line="360" w:lineRule="auto"/>
              <w:jc w:val="center"/>
              <w:rPr>
                <w:rFonts w:hint="eastAsia" w:ascii="宋体" w:hAnsi="宋体" w:eastAsia="宋体" w:cs="宋体"/>
                <w:sz w:val="21"/>
                <w:szCs w:val="21"/>
              </w:rPr>
            </w:pPr>
          </w:p>
        </w:tc>
        <w:tc>
          <w:tcPr>
            <w:tcW w:w="1494" w:type="pct"/>
            <w:gridSpan w:val="2"/>
            <w:vAlign w:val="center"/>
          </w:tcPr>
          <w:p w14:paraId="43EA7A0B">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其他</w:t>
            </w:r>
          </w:p>
        </w:tc>
        <w:tc>
          <w:tcPr>
            <w:tcW w:w="2612" w:type="pct"/>
            <w:vAlign w:val="center"/>
          </w:tcPr>
          <w:p w14:paraId="07E6CBF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C01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restart"/>
            <w:vAlign w:val="center"/>
          </w:tcPr>
          <w:p w14:paraId="42256601">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2.1.3</w:t>
            </w:r>
          </w:p>
        </w:tc>
        <w:tc>
          <w:tcPr>
            <w:tcW w:w="458" w:type="pct"/>
            <w:vMerge w:val="restart"/>
            <w:vAlign w:val="center"/>
          </w:tcPr>
          <w:p w14:paraId="1592F90D">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响应性评审</w:t>
            </w:r>
          </w:p>
        </w:tc>
        <w:tc>
          <w:tcPr>
            <w:tcW w:w="1494" w:type="pct"/>
            <w:gridSpan w:val="2"/>
            <w:shd w:val="clear" w:color="auto" w:fill="FFFFFF"/>
            <w:vAlign w:val="center"/>
          </w:tcPr>
          <w:p w14:paraId="44ED87AD">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服务期限</w:t>
            </w:r>
          </w:p>
        </w:tc>
        <w:tc>
          <w:tcPr>
            <w:tcW w:w="2612" w:type="pct"/>
            <w:vAlign w:val="center"/>
          </w:tcPr>
          <w:p w14:paraId="61CD765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3682D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301B58EE">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6414A74E">
            <w:pPr>
              <w:spacing w:line="360" w:lineRule="auto"/>
              <w:ind w:firstLine="105" w:firstLineChars="50"/>
              <w:jc w:val="center"/>
              <w:rPr>
                <w:rFonts w:hint="eastAsia" w:ascii="宋体" w:hAnsi="宋体" w:eastAsia="宋体" w:cs="宋体"/>
                <w:sz w:val="21"/>
                <w:szCs w:val="21"/>
              </w:rPr>
            </w:pPr>
          </w:p>
        </w:tc>
        <w:tc>
          <w:tcPr>
            <w:tcW w:w="1494" w:type="pct"/>
            <w:gridSpan w:val="2"/>
            <w:shd w:val="clear" w:color="auto" w:fill="FFFFFF"/>
            <w:vAlign w:val="center"/>
          </w:tcPr>
          <w:p w14:paraId="25C3972F">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质量要求</w:t>
            </w:r>
          </w:p>
        </w:tc>
        <w:tc>
          <w:tcPr>
            <w:tcW w:w="2612" w:type="pct"/>
            <w:vAlign w:val="center"/>
          </w:tcPr>
          <w:p w14:paraId="0038D4D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1B25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3AD45BB">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2DFEA850">
            <w:pPr>
              <w:spacing w:line="360" w:lineRule="auto"/>
              <w:ind w:firstLine="105" w:firstLineChars="50"/>
              <w:jc w:val="center"/>
              <w:rPr>
                <w:rFonts w:hint="eastAsia" w:ascii="宋体" w:hAnsi="宋体" w:eastAsia="宋体" w:cs="宋体"/>
                <w:sz w:val="21"/>
                <w:szCs w:val="21"/>
              </w:rPr>
            </w:pPr>
          </w:p>
        </w:tc>
        <w:tc>
          <w:tcPr>
            <w:tcW w:w="1494" w:type="pct"/>
            <w:gridSpan w:val="2"/>
            <w:shd w:val="clear" w:color="auto" w:fill="FFFFFF"/>
            <w:vAlign w:val="center"/>
          </w:tcPr>
          <w:p w14:paraId="2566252E">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服务内容</w:t>
            </w:r>
          </w:p>
        </w:tc>
        <w:tc>
          <w:tcPr>
            <w:tcW w:w="2612" w:type="pct"/>
            <w:vAlign w:val="center"/>
          </w:tcPr>
          <w:p w14:paraId="47B8E94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符合磋商文件要求</w:t>
            </w:r>
          </w:p>
        </w:tc>
      </w:tr>
      <w:tr w14:paraId="4291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2263D8A4">
            <w:pPr>
              <w:spacing w:line="360" w:lineRule="auto"/>
              <w:ind w:firstLine="105" w:firstLineChars="50"/>
              <w:jc w:val="center"/>
              <w:rPr>
                <w:rFonts w:hint="eastAsia" w:ascii="宋体" w:hAnsi="宋体" w:eastAsia="宋体" w:cs="宋体"/>
                <w:sz w:val="21"/>
                <w:szCs w:val="21"/>
              </w:rPr>
            </w:pPr>
          </w:p>
        </w:tc>
        <w:tc>
          <w:tcPr>
            <w:tcW w:w="458" w:type="pct"/>
            <w:vMerge w:val="continue"/>
            <w:vAlign w:val="center"/>
          </w:tcPr>
          <w:p w14:paraId="57E41235">
            <w:pPr>
              <w:spacing w:line="360" w:lineRule="auto"/>
              <w:ind w:firstLine="105" w:firstLineChars="50"/>
              <w:jc w:val="center"/>
              <w:rPr>
                <w:rFonts w:hint="eastAsia" w:ascii="宋体" w:hAnsi="宋体" w:eastAsia="宋体" w:cs="宋体"/>
                <w:sz w:val="21"/>
                <w:szCs w:val="21"/>
              </w:rPr>
            </w:pPr>
          </w:p>
        </w:tc>
        <w:tc>
          <w:tcPr>
            <w:tcW w:w="1494" w:type="pct"/>
            <w:gridSpan w:val="2"/>
            <w:shd w:val="clear" w:color="auto" w:fill="FFFFFF"/>
            <w:vAlign w:val="center"/>
          </w:tcPr>
          <w:p w14:paraId="4CDFDA4B">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磋商有效期</w:t>
            </w:r>
          </w:p>
        </w:tc>
        <w:tc>
          <w:tcPr>
            <w:tcW w:w="2612" w:type="pct"/>
            <w:vAlign w:val="center"/>
          </w:tcPr>
          <w:p w14:paraId="4FB31E3D">
            <w:pPr>
              <w:spacing w:line="360" w:lineRule="auto"/>
              <w:jc w:val="center"/>
              <w:rPr>
                <w:rFonts w:hint="eastAsia" w:ascii="宋体" w:hAnsi="宋体" w:eastAsia="宋体" w:cs="宋体"/>
                <w:kern w:val="0"/>
                <w:sz w:val="21"/>
                <w:szCs w:val="21"/>
              </w:rPr>
            </w:pPr>
            <w:r>
              <w:rPr>
                <w:rFonts w:hint="eastAsia" w:ascii="宋体" w:hAnsi="宋体" w:eastAsia="宋体" w:cs="宋体"/>
                <w:sz w:val="21"/>
                <w:szCs w:val="21"/>
              </w:rPr>
              <w:t>符合磋商文件要求</w:t>
            </w:r>
          </w:p>
        </w:tc>
      </w:tr>
      <w:tr w14:paraId="72EC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34" w:type="pct"/>
            <w:vMerge w:val="continue"/>
            <w:vAlign w:val="center"/>
          </w:tcPr>
          <w:p w14:paraId="116A7E9D">
            <w:pPr>
              <w:spacing w:line="360" w:lineRule="auto"/>
              <w:ind w:firstLine="105" w:firstLineChars="50"/>
              <w:jc w:val="center"/>
              <w:rPr>
                <w:rFonts w:hint="eastAsia" w:ascii="宋体" w:hAnsi="宋体" w:eastAsia="宋体" w:cs="宋体"/>
                <w:sz w:val="21"/>
                <w:szCs w:val="21"/>
              </w:rPr>
            </w:pPr>
            <w:bookmarkStart w:id="316" w:name="_Toc152042377"/>
            <w:bookmarkStart w:id="317" w:name="_Toc45177853"/>
            <w:bookmarkStart w:id="318" w:name="_Toc179632618"/>
            <w:bookmarkStart w:id="319" w:name="_Toc1033"/>
            <w:bookmarkStart w:id="320" w:name="_Toc144974567"/>
            <w:bookmarkStart w:id="321" w:name="_Toc6826"/>
            <w:bookmarkStart w:id="322" w:name="_Toc152045600"/>
          </w:p>
        </w:tc>
        <w:tc>
          <w:tcPr>
            <w:tcW w:w="458" w:type="pct"/>
            <w:vMerge w:val="continue"/>
            <w:vAlign w:val="center"/>
          </w:tcPr>
          <w:p w14:paraId="03DC678F">
            <w:pPr>
              <w:spacing w:line="360" w:lineRule="auto"/>
              <w:ind w:firstLine="105" w:firstLineChars="50"/>
              <w:jc w:val="center"/>
              <w:rPr>
                <w:rFonts w:hint="eastAsia" w:ascii="宋体" w:hAnsi="宋体" w:eastAsia="宋体" w:cs="宋体"/>
                <w:sz w:val="21"/>
                <w:szCs w:val="21"/>
              </w:rPr>
            </w:pPr>
          </w:p>
        </w:tc>
        <w:tc>
          <w:tcPr>
            <w:tcW w:w="1494" w:type="pct"/>
            <w:gridSpan w:val="2"/>
            <w:shd w:val="clear" w:color="auto" w:fill="FFFFFF"/>
            <w:vAlign w:val="center"/>
          </w:tcPr>
          <w:p w14:paraId="623EE403">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其他</w:t>
            </w:r>
          </w:p>
        </w:tc>
        <w:tc>
          <w:tcPr>
            <w:tcW w:w="2612" w:type="pct"/>
            <w:vAlign w:val="center"/>
          </w:tcPr>
          <w:p w14:paraId="7A51B3EA">
            <w:pPr>
              <w:adjustRightInd w:val="0"/>
              <w:spacing w:line="360" w:lineRule="auto"/>
              <w:jc w:val="center"/>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磋商</w:t>
            </w:r>
            <w:r>
              <w:rPr>
                <w:rFonts w:hint="eastAsia" w:ascii="宋体" w:hAnsi="宋体" w:eastAsia="宋体" w:cs="宋体"/>
                <w:bCs/>
                <w:color w:val="000000" w:themeColor="text1"/>
                <w:sz w:val="21"/>
                <w:szCs w:val="21"/>
              </w:rPr>
              <w:t>文件规定的其他拒绝或否决投标、废标、无效标等条件</w:t>
            </w:r>
          </w:p>
        </w:tc>
      </w:tr>
      <w:tr w14:paraId="4A695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29DCA637">
            <w:pPr>
              <w:spacing w:line="360" w:lineRule="auto"/>
              <w:jc w:val="center"/>
              <w:rPr>
                <w:rFonts w:hint="eastAsia" w:ascii="宋体" w:hAnsi="宋体" w:eastAsia="宋体" w:cs="宋体"/>
                <w:kern w:val="0"/>
                <w:sz w:val="21"/>
                <w:szCs w:val="21"/>
              </w:rPr>
            </w:pPr>
            <w:r>
              <w:rPr>
                <w:rFonts w:hint="eastAsia" w:ascii="宋体" w:hAnsi="宋体" w:eastAsia="宋体" w:cs="宋体"/>
                <w:bCs/>
                <w:sz w:val="21"/>
                <w:szCs w:val="21"/>
              </w:rPr>
              <w:t>评标办法</w:t>
            </w:r>
          </w:p>
        </w:tc>
      </w:tr>
      <w:tr w14:paraId="5C570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54A6319B">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条款号</w:t>
            </w:r>
          </w:p>
        </w:tc>
        <w:tc>
          <w:tcPr>
            <w:tcW w:w="565" w:type="pct"/>
            <w:vAlign w:val="center"/>
          </w:tcPr>
          <w:p w14:paraId="05489F71">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条款内容</w:t>
            </w:r>
          </w:p>
        </w:tc>
        <w:tc>
          <w:tcPr>
            <w:tcW w:w="3541" w:type="pct"/>
            <w:gridSpan w:val="2"/>
            <w:vAlign w:val="center"/>
          </w:tcPr>
          <w:p w14:paraId="1934B939">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编列内容</w:t>
            </w:r>
          </w:p>
        </w:tc>
      </w:tr>
      <w:tr w14:paraId="2B5DF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6C2A2B6F">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2.2.1</w:t>
            </w:r>
          </w:p>
        </w:tc>
        <w:tc>
          <w:tcPr>
            <w:tcW w:w="565" w:type="pct"/>
            <w:vAlign w:val="center"/>
          </w:tcPr>
          <w:p w14:paraId="2F5730B0">
            <w:pPr>
              <w:tabs>
                <w:tab w:val="center" w:pos="4153"/>
                <w:tab w:val="right" w:pos="8306"/>
              </w:tabs>
              <w:snapToGrid w:val="0"/>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分值构成</w:t>
            </w:r>
          </w:p>
          <w:p w14:paraId="7E6B3AFC">
            <w:pPr>
              <w:tabs>
                <w:tab w:val="center" w:pos="4153"/>
                <w:tab w:val="right" w:pos="8306"/>
              </w:tabs>
              <w:snapToGrid w:val="0"/>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（总分100分）</w:t>
            </w:r>
          </w:p>
        </w:tc>
        <w:tc>
          <w:tcPr>
            <w:tcW w:w="3541" w:type="pct"/>
            <w:gridSpan w:val="2"/>
            <w:vAlign w:val="center"/>
          </w:tcPr>
          <w:p w14:paraId="372CCC21">
            <w:pPr>
              <w:tabs>
                <w:tab w:val="center" w:pos="4153"/>
                <w:tab w:val="right" w:pos="8306"/>
              </w:tabs>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磋商报价得分：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20</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分</w:t>
            </w:r>
          </w:p>
          <w:p w14:paraId="2F45AC94">
            <w:pPr>
              <w:tabs>
                <w:tab w:val="center" w:pos="4153"/>
                <w:tab w:val="right" w:pos="8306"/>
              </w:tabs>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技术标得分：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68</w:t>
            </w:r>
            <w:r>
              <w:rPr>
                <w:rFonts w:hint="eastAsia" w:ascii="宋体" w:hAnsi="宋体" w:eastAsia="宋体" w:cs="宋体"/>
                <w:color w:val="auto"/>
                <w:sz w:val="21"/>
                <w:szCs w:val="21"/>
              </w:rPr>
              <w:t>分</w:t>
            </w:r>
          </w:p>
          <w:p w14:paraId="44F357BC">
            <w:pPr>
              <w:tabs>
                <w:tab w:val="center" w:pos="4153"/>
                <w:tab w:val="right" w:pos="8306"/>
              </w:tabs>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综合标得分：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rPr>
              <w:t>分</w:t>
            </w:r>
          </w:p>
        </w:tc>
      </w:tr>
      <w:tr w14:paraId="46408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40366078">
            <w:pPr>
              <w:tabs>
                <w:tab w:val="center" w:pos="4153"/>
                <w:tab w:val="right" w:pos="8306"/>
              </w:tabs>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2.2.2</w:t>
            </w:r>
          </w:p>
        </w:tc>
        <w:tc>
          <w:tcPr>
            <w:tcW w:w="565" w:type="pct"/>
            <w:vAlign w:val="center"/>
          </w:tcPr>
          <w:p w14:paraId="1B73BDD5">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评标基准价</w:t>
            </w:r>
          </w:p>
          <w:p w14:paraId="78F79866">
            <w:pPr>
              <w:spacing w:line="360" w:lineRule="auto"/>
              <w:ind w:firstLine="105" w:firstLineChars="50"/>
              <w:jc w:val="center"/>
              <w:rPr>
                <w:rFonts w:hint="eastAsia" w:ascii="宋体" w:hAnsi="宋体" w:eastAsia="宋体" w:cs="宋体"/>
                <w:sz w:val="21"/>
                <w:szCs w:val="21"/>
              </w:rPr>
            </w:pPr>
            <w:r>
              <w:rPr>
                <w:rFonts w:hint="eastAsia" w:ascii="宋体" w:hAnsi="宋体" w:eastAsia="宋体" w:cs="宋体"/>
                <w:sz w:val="21"/>
                <w:szCs w:val="21"/>
              </w:rPr>
              <w:t>计算方法</w:t>
            </w:r>
          </w:p>
        </w:tc>
        <w:tc>
          <w:tcPr>
            <w:tcW w:w="3541" w:type="pct"/>
            <w:gridSpan w:val="2"/>
            <w:vAlign w:val="center"/>
          </w:tcPr>
          <w:p w14:paraId="4D359548">
            <w:pPr>
              <w:spacing w:line="360" w:lineRule="auto"/>
              <w:rPr>
                <w:rFonts w:hint="eastAsia" w:ascii="宋体" w:hAnsi="宋体" w:eastAsia="宋体" w:cs="宋体"/>
                <w:sz w:val="21"/>
                <w:szCs w:val="21"/>
              </w:rPr>
            </w:pPr>
            <w:r>
              <w:rPr>
                <w:rFonts w:hint="eastAsia" w:ascii="宋体" w:hAnsi="宋体" w:eastAsia="宋体" w:cs="宋体"/>
                <w:sz w:val="21"/>
                <w:szCs w:val="21"/>
              </w:rPr>
              <w:t>有效报价：通过初步评审（形式评审、资格评审、响应性评审）的供应商经磋商后的最终报价。</w:t>
            </w:r>
          </w:p>
          <w:p w14:paraId="34B40FC9">
            <w:pPr>
              <w:spacing w:line="360" w:lineRule="auto"/>
              <w:rPr>
                <w:rFonts w:hint="eastAsia" w:ascii="宋体" w:hAnsi="宋体" w:eastAsia="宋体" w:cs="宋体"/>
                <w:sz w:val="21"/>
                <w:szCs w:val="21"/>
              </w:rPr>
            </w:pPr>
            <w:r>
              <w:rPr>
                <w:rFonts w:hint="eastAsia" w:ascii="宋体" w:hAnsi="宋体" w:eastAsia="宋体" w:cs="宋体"/>
                <w:sz w:val="21"/>
                <w:szCs w:val="21"/>
              </w:rPr>
              <w:t>磋商基准价=最终磋商报价最低的供应商价格</w:t>
            </w:r>
          </w:p>
        </w:tc>
      </w:tr>
      <w:tr w14:paraId="4B04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24F1E82">
            <w:pPr>
              <w:tabs>
                <w:tab w:val="center" w:pos="4153"/>
                <w:tab w:val="right" w:pos="8306"/>
              </w:tabs>
              <w:snapToGrid w:val="0"/>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2.2.4（1）</w:t>
            </w:r>
          </w:p>
        </w:tc>
        <w:tc>
          <w:tcPr>
            <w:tcW w:w="565" w:type="pct"/>
            <w:vAlign w:val="center"/>
          </w:tcPr>
          <w:p w14:paraId="58CF92C6">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磋商报价</w:t>
            </w:r>
          </w:p>
          <w:p w14:paraId="381085DE">
            <w:pPr>
              <w:pStyle w:val="32"/>
              <w:spacing w:line="36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20</w:t>
            </w:r>
            <w:r>
              <w:rPr>
                <w:rFonts w:hint="eastAsia" w:ascii="宋体" w:hAnsi="宋体" w:eastAsia="宋体" w:cs="宋体"/>
                <w:b/>
                <w:bCs/>
                <w:sz w:val="21"/>
                <w:szCs w:val="21"/>
              </w:rPr>
              <w:t>分）</w:t>
            </w:r>
          </w:p>
        </w:tc>
        <w:tc>
          <w:tcPr>
            <w:tcW w:w="3541" w:type="pct"/>
            <w:gridSpan w:val="2"/>
            <w:vAlign w:val="center"/>
          </w:tcPr>
          <w:p w14:paraId="1A633237">
            <w:pPr>
              <w:spacing w:line="360" w:lineRule="auto"/>
              <w:rPr>
                <w:rFonts w:hint="eastAsia" w:ascii="宋体" w:hAnsi="宋体" w:eastAsia="宋体" w:cs="宋体"/>
                <w:sz w:val="21"/>
                <w:szCs w:val="21"/>
              </w:rPr>
            </w:pPr>
            <w:r>
              <w:rPr>
                <w:rFonts w:hint="eastAsia" w:ascii="宋体" w:hAnsi="宋体" w:eastAsia="宋体" w:cs="宋体"/>
                <w:kern w:val="0"/>
                <w:sz w:val="21"/>
                <w:szCs w:val="21"/>
              </w:rPr>
              <w:t>价格分应当采用低价优先法计算，即满足招标文件要求且投标价格最低的投标报价为评标基准价，其价格分为满分。</w:t>
            </w:r>
          </w:p>
          <w:p w14:paraId="289885FE">
            <w:pPr>
              <w:spacing w:line="360" w:lineRule="auto"/>
              <w:rPr>
                <w:rFonts w:hint="eastAsia" w:ascii="宋体" w:hAnsi="宋体" w:eastAsia="宋体" w:cs="宋体"/>
                <w:sz w:val="21"/>
                <w:szCs w:val="21"/>
              </w:rPr>
            </w:pPr>
            <w:r>
              <w:rPr>
                <w:rFonts w:hint="eastAsia" w:ascii="宋体" w:hAnsi="宋体" w:eastAsia="宋体" w:cs="宋体"/>
                <w:sz w:val="21"/>
                <w:szCs w:val="21"/>
              </w:rPr>
              <w:t>磋商报价得分=评标基准价/最终磋商报价×</w:t>
            </w:r>
            <w:r>
              <w:rPr>
                <w:rFonts w:hint="eastAsia" w:ascii="宋体" w:hAnsi="宋体" w:eastAsia="宋体" w:cs="宋体"/>
                <w:sz w:val="21"/>
                <w:szCs w:val="21"/>
                <w:lang w:val="en-US" w:eastAsia="zh-CN"/>
              </w:rPr>
              <w:t>20</w:t>
            </w:r>
            <w:r>
              <w:rPr>
                <w:rFonts w:hint="eastAsia" w:ascii="宋体" w:hAnsi="宋体" w:eastAsia="宋体" w:cs="宋体"/>
                <w:sz w:val="21"/>
                <w:szCs w:val="21"/>
              </w:rPr>
              <w:t>分</w:t>
            </w:r>
          </w:p>
          <w:p w14:paraId="14D0E257">
            <w:pPr>
              <w:spacing w:line="360" w:lineRule="auto"/>
              <w:rPr>
                <w:rFonts w:hint="eastAsia" w:ascii="宋体" w:hAnsi="宋体" w:eastAsia="宋体" w:cs="宋体"/>
                <w:bCs/>
                <w:sz w:val="21"/>
                <w:szCs w:val="21"/>
              </w:rPr>
            </w:pPr>
            <w:r>
              <w:rPr>
                <w:rFonts w:hint="eastAsia" w:ascii="宋体" w:hAnsi="宋体" w:eastAsia="宋体" w:cs="宋体"/>
                <w:sz w:val="21"/>
                <w:szCs w:val="21"/>
              </w:rPr>
              <w:t>注：</w:t>
            </w:r>
            <w:r>
              <w:rPr>
                <w:rFonts w:hint="eastAsia" w:ascii="宋体" w:hAnsi="宋体" w:eastAsia="宋体" w:cs="宋体"/>
                <w:bCs/>
                <w:sz w:val="21"/>
                <w:szCs w:val="21"/>
              </w:rPr>
              <w:t>1、投标报价应是在保证</w:t>
            </w:r>
            <w:r>
              <w:rPr>
                <w:rFonts w:hint="eastAsia" w:ascii="宋体" w:hAnsi="宋体" w:eastAsia="宋体" w:cs="宋体"/>
                <w:bCs/>
                <w:sz w:val="21"/>
                <w:szCs w:val="21"/>
                <w:lang w:val="en-US" w:eastAsia="zh-CN"/>
              </w:rPr>
              <w:t>服务</w:t>
            </w:r>
            <w:r>
              <w:rPr>
                <w:rFonts w:hint="eastAsia" w:ascii="宋体" w:hAnsi="宋体" w:eastAsia="宋体" w:cs="宋体"/>
                <w:bCs/>
                <w:sz w:val="21"/>
                <w:szCs w:val="21"/>
              </w:rPr>
              <w:t>和质量的基础上投报的全费用价格。评标委员会发现供应商的报价明显低于其他供应商，使得其投标报价可能低于其个别成本的，应当要求供应商于投标现场1小时内作出书面说明并提供相关证明材料。供应商不能合理说明或者不能提供相关证明材料的，由评标委员会认定该供应商以低于成本报价竞标，其投标作为无效标处理。</w:t>
            </w:r>
          </w:p>
          <w:p w14:paraId="5CF14A87">
            <w:pPr>
              <w:numPr>
                <w:ilvl w:val="0"/>
                <w:numId w:val="1"/>
              </w:numPr>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因落实政府采购政策进行价格调整的，以调整后的价格计算评标基准价和投标报价。</w:t>
            </w:r>
          </w:p>
          <w:p w14:paraId="771B6EF1">
            <w:pPr>
              <w:autoSpaceDE w:val="0"/>
              <w:autoSpaceDN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3、为了促进中小企业发展，根据《中华人民共和国政府采购法实施条例》第六条和财库〔2020〕46号规定，给予小型或微型企业价格20%的扣除，用扣除后的价格参与评审。即所投中小微企业产品报价=所投中小微企业产品报价合计×（1-20%）。</w:t>
            </w:r>
          </w:p>
        </w:tc>
      </w:tr>
      <w:tr w14:paraId="47775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2CFE9D78">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2.2.4（2）技术标评分标准（</w:t>
            </w:r>
            <w:r>
              <w:rPr>
                <w:rFonts w:hint="eastAsia" w:ascii="宋体" w:hAnsi="宋体" w:eastAsia="宋体" w:cs="宋体"/>
                <w:b/>
                <w:bCs/>
                <w:color w:val="auto"/>
                <w:sz w:val="21"/>
                <w:szCs w:val="21"/>
                <w:lang w:val="en-US" w:eastAsia="zh-CN"/>
              </w:rPr>
              <w:t>68</w:t>
            </w:r>
            <w:r>
              <w:rPr>
                <w:rFonts w:hint="eastAsia" w:ascii="宋体" w:hAnsi="宋体" w:eastAsia="宋体" w:cs="宋体"/>
                <w:b/>
                <w:bCs/>
                <w:color w:val="auto"/>
                <w:sz w:val="21"/>
                <w:szCs w:val="21"/>
              </w:rPr>
              <w:t>分）</w:t>
            </w:r>
          </w:p>
        </w:tc>
      </w:tr>
      <w:tr w14:paraId="0AF0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057F60E">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评审内容</w:t>
            </w:r>
          </w:p>
        </w:tc>
        <w:tc>
          <w:tcPr>
            <w:tcW w:w="565" w:type="pct"/>
            <w:vAlign w:val="center"/>
          </w:tcPr>
          <w:p w14:paraId="1805C01C">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分值</w:t>
            </w:r>
          </w:p>
        </w:tc>
        <w:tc>
          <w:tcPr>
            <w:tcW w:w="3541" w:type="pct"/>
            <w:gridSpan w:val="2"/>
            <w:vAlign w:val="center"/>
          </w:tcPr>
          <w:p w14:paraId="1D82D981">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评审标准</w:t>
            </w:r>
          </w:p>
        </w:tc>
      </w:tr>
      <w:tr w14:paraId="0FE6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A05B0B6">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sz w:val="21"/>
                <w:szCs w:val="21"/>
              </w:rPr>
              <w:t>保障范围</w:t>
            </w:r>
          </w:p>
        </w:tc>
        <w:tc>
          <w:tcPr>
            <w:tcW w:w="565" w:type="pct"/>
            <w:vAlign w:val="center"/>
          </w:tcPr>
          <w:p w14:paraId="06F6506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1" w:type="pct"/>
            <w:gridSpan w:val="2"/>
            <w:vAlign w:val="center"/>
          </w:tcPr>
          <w:p w14:paraId="4D62688B">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根据</w:t>
            </w:r>
            <w:r>
              <w:rPr>
                <w:rFonts w:hint="eastAsia" w:ascii="宋体" w:hAnsi="宋体" w:eastAsia="宋体" w:cs="宋体"/>
                <w:sz w:val="21"/>
                <w:szCs w:val="21"/>
                <w:lang w:bidi="ar"/>
              </w:rPr>
              <w:t>供应商</w:t>
            </w:r>
            <w:r>
              <w:rPr>
                <w:rFonts w:hint="eastAsia" w:ascii="宋体" w:hAnsi="宋体" w:eastAsia="宋体" w:cs="宋体"/>
                <w:sz w:val="21"/>
                <w:szCs w:val="21"/>
              </w:rPr>
              <w:t>提供的保障范围进行综合比较：</w:t>
            </w:r>
          </w:p>
          <w:p w14:paraId="4E5C0A63">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保障范围完全符合/高于招标文件要求，措辞严谨，描述清晰，保障全面（10分）；</w:t>
            </w:r>
          </w:p>
          <w:p w14:paraId="582AEDC6">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保障范围基本符合招标文件要求，措辞无歧义，保障基本完整（6分）；</w:t>
            </w:r>
          </w:p>
          <w:p w14:paraId="72DABCEC">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保障范围与招标文件要求差别较大，措辞模糊易混淆，保障不全面（</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538E49C4">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bCs/>
                <w:sz w:val="21"/>
                <w:szCs w:val="21"/>
              </w:rPr>
            </w:pPr>
            <w:r>
              <w:rPr>
                <w:rFonts w:hint="eastAsia" w:ascii="宋体" w:hAnsi="宋体" w:eastAsia="宋体" w:cs="宋体"/>
                <w:sz w:val="21"/>
                <w:szCs w:val="21"/>
              </w:rPr>
              <w:t>缺项不得分。</w:t>
            </w:r>
          </w:p>
        </w:tc>
      </w:tr>
      <w:tr w14:paraId="287B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3E73872A">
            <w:pPr>
              <w:keepNext w:val="0"/>
              <w:keepLines w:val="0"/>
              <w:pageBreakBefore w:val="0"/>
              <w:kinsoku/>
              <w:wordWrap/>
              <w:overflowPunct/>
              <w:topLinePunct w:val="0"/>
              <w:autoSpaceDE/>
              <w:autoSpaceDN/>
              <w:bidi w:val="0"/>
              <w:adjustRightInd/>
              <w:snapToGrid w:val="0"/>
              <w:spacing w:line="360" w:lineRule="auto"/>
              <w:jc w:val="center"/>
              <w:textAlignment w:val="baseline"/>
              <w:rPr>
                <w:rFonts w:hint="eastAsia" w:ascii="宋体" w:hAnsi="宋体" w:eastAsia="宋体" w:cs="宋体"/>
                <w:sz w:val="21"/>
                <w:szCs w:val="21"/>
              </w:rPr>
            </w:pPr>
            <w:r>
              <w:rPr>
                <w:rFonts w:hint="eastAsia" w:ascii="宋体" w:hAnsi="宋体" w:eastAsia="宋体" w:cs="宋体"/>
                <w:sz w:val="21"/>
                <w:szCs w:val="21"/>
              </w:rPr>
              <w:t>服务方案</w:t>
            </w:r>
          </w:p>
        </w:tc>
        <w:tc>
          <w:tcPr>
            <w:tcW w:w="565" w:type="pct"/>
            <w:vAlign w:val="center"/>
          </w:tcPr>
          <w:p w14:paraId="4CD22DA0">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0-1</w:t>
            </w:r>
            <w:r>
              <w:rPr>
                <w:rFonts w:hint="eastAsia" w:ascii="宋体" w:hAnsi="宋体" w:eastAsia="宋体" w:cs="宋体"/>
                <w:sz w:val="21"/>
                <w:szCs w:val="21"/>
                <w:lang w:val="en-US" w:eastAsia="zh-CN"/>
              </w:rPr>
              <w:t>5</w:t>
            </w:r>
          </w:p>
        </w:tc>
        <w:tc>
          <w:tcPr>
            <w:tcW w:w="3541" w:type="pct"/>
            <w:gridSpan w:val="2"/>
            <w:vAlign w:val="center"/>
          </w:tcPr>
          <w:p w14:paraId="006D6029">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根据</w:t>
            </w:r>
            <w:r>
              <w:rPr>
                <w:rFonts w:hint="eastAsia" w:ascii="宋体" w:hAnsi="宋体" w:eastAsia="宋体" w:cs="宋体"/>
                <w:sz w:val="21"/>
                <w:szCs w:val="21"/>
                <w:lang w:bidi="ar"/>
              </w:rPr>
              <w:t>供应商</w:t>
            </w:r>
            <w:r>
              <w:rPr>
                <w:rFonts w:hint="eastAsia" w:ascii="宋体" w:hAnsi="宋体" w:eastAsia="宋体" w:cs="宋体"/>
                <w:sz w:val="21"/>
                <w:szCs w:val="21"/>
              </w:rPr>
              <w:t>提供的服务方案，从服务内容丰富、合理，投保理赔程序清晰简便迅速，各类培训和增值服务丰富实用等方面综合比较：</w:t>
            </w:r>
          </w:p>
          <w:p w14:paraId="2740D00F">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保障内容丰富、合理，投保理赔程序清晰简便迅速，各类培训和增值服务丰富实用并有延伸服务</w:t>
            </w:r>
            <w:r>
              <w:rPr>
                <w:rFonts w:hint="eastAsia" w:ascii="宋体" w:hAnsi="宋体" w:eastAsia="宋体" w:cs="宋体"/>
                <w:sz w:val="21"/>
                <w:szCs w:val="21"/>
                <w:lang w:val="en-US" w:eastAsia="zh-CN"/>
              </w:rPr>
              <w:t>15</w:t>
            </w:r>
            <w:r>
              <w:rPr>
                <w:rFonts w:hint="eastAsia" w:ascii="宋体" w:hAnsi="宋体" w:eastAsia="宋体" w:cs="宋体"/>
                <w:sz w:val="21"/>
                <w:szCs w:val="21"/>
              </w:rPr>
              <w:t>分；</w:t>
            </w:r>
          </w:p>
          <w:p w14:paraId="45F7F880">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保障内容充实，投保理赔程序规范，各类服务满足本项目需求</w:t>
            </w:r>
            <w:r>
              <w:rPr>
                <w:rFonts w:hint="eastAsia" w:ascii="宋体" w:hAnsi="宋体" w:eastAsia="宋体" w:cs="宋体"/>
                <w:sz w:val="21"/>
                <w:szCs w:val="21"/>
                <w:lang w:val="en-US" w:eastAsia="zh-CN"/>
              </w:rPr>
              <w:t>10</w:t>
            </w:r>
            <w:r>
              <w:rPr>
                <w:rFonts w:hint="eastAsia" w:ascii="宋体" w:hAnsi="宋体" w:eastAsia="宋体" w:cs="宋体"/>
                <w:sz w:val="21"/>
                <w:szCs w:val="21"/>
              </w:rPr>
              <w:t xml:space="preserve">分； </w:t>
            </w:r>
          </w:p>
          <w:p w14:paraId="0F5C9EC3">
            <w:pPr>
              <w:keepNext w:val="0"/>
              <w:keepLines w:val="0"/>
              <w:pageBreakBefore w:val="0"/>
              <w:kinsoku/>
              <w:wordWrap/>
              <w:overflowPunct/>
              <w:topLinePunct w:val="0"/>
              <w:autoSpaceDE/>
              <w:autoSpaceDN/>
              <w:bidi w:val="0"/>
              <w:adjustRightInd/>
              <w:snapToGrid w:val="0"/>
              <w:spacing w:line="360" w:lineRule="auto"/>
              <w:textAlignment w:val="baseline"/>
              <w:rPr>
                <w:rFonts w:hint="eastAsia" w:ascii="宋体" w:hAnsi="宋体" w:eastAsia="宋体" w:cs="宋体"/>
                <w:sz w:val="21"/>
                <w:szCs w:val="21"/>
              </w:rPr>
            </w:pPr>
            <w:r>
              <w:rPr>
                <w:rFonts w:hint="eastAsia" w:ascii="宋体" w:hAnsi="宋体" w:eastAsia="宋体" w:cs="宋体"/>
                <w:sz w:val="21"/>
                <w:szCs w:val="21"/>
              </w:rPr>
              <w:t>保障内容一般，投保、理赔等服务欠缺或可操作性不强</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14:paraId="2FE150A5">
            <w:pPr>
              <w:keepNext w:val="0"/>
              <w:keepLines w:val="0"/>
              <w:pageBreakBefore w:val="0"/>
              <w:kinsoku/>
              <w:wordWrap/>
              <w:overflowPunct/>
              <w:topLinePunct w:val="0"/>
              <w:autoSpaceDE/>
              <w:autoSpaceDN/>
              <w:bidi w:val="0"/>
              <w:adjustRightInd/>
              <w:snapToGrid w:val="0"/>
              <w:spacing w:line="360" w:lineRule="auto"/>
              <w:textAlignment w:val="baseline"/>
              <w:rPr>
                <w:rFonts w:hint="eastAsia" w:ascii="宋体" w:hAnsi="宋体" w:eastAsia="宋体" w:cs="宋体"/>
                <w:bCs/>
                <w:sz w:val="21"/>
                <w:szCs w:val="21"/>
              </w:rPr>
            </w:pPr>
            <w:r>
              <w:rPr>
                <w:rFonts w:hint="eastAsia" w:ascii="宋体" w:hAnsi="宋体" w:eastAsia="宋体" w:cs="宋体"/>
                <w:sz w:val="21"/>
                <w:szCs w:val="21"/>
              </w:rPr>
              <w:t>缺项不得分。</w:t>
            </w:r>
          </w:p>
        </w:tc>
      </w:tr>
      <w:tr w14:paraId="4E23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704511F7">
            <w:pPr>
              <w:keepNext w:val="0"/>
              <w:keepLines w:val="0"/>
              <w:pageBreakBefore w:val="0"/>
              <w:widowControl/>
              <w:kinsoku/>
              <w:wordWrap/>
              <w:overflowPunct/>
              <w:topLinePunct w:val="0"/>
              <w:autoSpaceDE/>
              <w:autoSpaceDN/>
              <w:bidi w:val="0"/>
              <w:adjustRightInd/>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人员配备</w:t>
            </w:r>
          </w:p>
        </w:tc>
        <w:tc>
          <w:tcPr>
            <w:tcW w:w="565" w:type="pct"/>
            <w:vAlign w:val="center"/>
          </w:tcPr>
          <w:p w14:paraId="5C3D8D8E">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8</w:t>
            </w:r>
          </w:p>
        </w:tc>
        <w:tc>
          <w:tcPr>
            <w:tcW w:w="3541" w:type="pct"/>
            <w:gridSpan w:val="2"/>
            <w:vAlign w:val="center"/>
          </w:tcPr>
          <w:p w14:paraId="36FFFCDF">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供应商根据项目特点制定的人员配备方案，考察服务能力、专业经验等，供应商为本项目配备的服务人员数计算，10人及10人以上得8分，每减少1人扣1分，扣完为止。</w:t>
            </w:r>
          </w:p>
        </w:tc>
      </w:tr>
      <w:tr w14:paraId="7E53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574821B7">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sz w:val="21"/>
                <w:szCs w:val="21"/>
                <w:highlight w:val="none"/>
                <w:lang w:val="en-US" w:eastAsia="zh-CN"/>
              </w:rPr>
              <w:t>服务应急处置</w:t>
            </w:r>
            <w:r>
              <w:rPr>
                <w:rFonts w:hint="eastAsia" w:ascii="宋体" w:hAnsi="宋体" w:eastAsia="宋体" w:cs="宋体"/>
                <w:sz w:val="21"/>
                <w:szCs w:val="21"/>
                <w:highlight w:val="none"/>
                <w:lang w:eastAsia="zh-CN"/>
              </w:rPr>
              <w:t>制度</w:t>
            </w:r>
          </w:p>
        </w:tc>
        <w:tc>
          <w:tcPr>
            <w:tcW w:w="565" w:type="pct"/>
            <w:vAlign w:val="center"/>
          </w:tcPr>
          <w:p w14:paraId="7F0F034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1" w:type="pct"/>
            <w:gridSpan w:val="2"/>
            <w:vAlign w:val="center"/>
          </w:tcPr>
          <w:p w14:paraId="4EE463B0">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服务应急处置</w:t>
            </w:r>
            <w:r>
              <w:rPr>
                <w:rFonts w:hint="eastAsia" w:ascii="宋体" w:hAnsi="宋体" w:eastAsia="宋体" w:cs="宋体"/>
                <w:sz w:val="21"/>
                <w:szCs w:val="21"/>
                <w:lang w:eastAsia="zh-CN"/>
              </w:rPr>
              <w:t>制度健全、规范、具有可操作性的</w:t>
            </w:r>
            <w:r>
              <w:rPr>
                <w:rFonts w:hint="eastAsia" w:ascii="宋体" w:hAnsi="宋体" w:eastAsia="宋体" w:cs="宋体"/>
                <w:sz w:val="21"/>
                <w:szCs w:val="21"/>
                <w:lang w:val="en-US" w:eastAsia="zh-CN"/>
              </w:rPr>
              <w:t>得10分；</w:t>
            </w:r>
          </w:p>
          <w:p w14:paraId="1488991B">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服务应急处置</w:t>
            </w:r>
            <w:r>
              <w:rPr>
                <w:rFonts w:hint="eastAsia" w:ascii="宋体" w:hAnsi="宋体" w:eastAsia="宋体" w:cs="宋体"/>
                <w:sz w:val="21"/>
                <w:szCs w:val="21"/>
                <w:lang w:eastAsia="zh-CN"/>
              </w:rPr>
              <w:t>制度</w:t>
            </w:r>
            <w:r>
              <w:rPr>
                <w:rFonts w:hint="eastAsia" w:ascii="宋体" w:hAnsi="宋体" w:eastAsia="宋体" w:cs="宋体"/>
                <w:sz w:val="21"/>
                <w:szCs w:val="21"/>
                <w:lang w:val="en-US" w:eastAsia="zh-CN"/>
              </w:rPr>
              <w:t>基本</w:t>
            </w:r>
            <w:r>
              <w:rPr>
                <w:rFonts w:hint="eastAsia" w:ascii="宋体" w:hAnsi="宋体" w:eastAsia="宋体" w:cs="宋体"/>
                <w:sz w:val="21"/>
                <w:szCs w:val="21"/>
                <w:lang w:eastAsia="zh-CN"/>
              </w:rPr>
              <w:t>健全、规范、具有可操作性的</w:t>
            </w:r>
            <w:r>
              <w:rPr>
                <w:rFonts w:hint="eastAsia" w:ascii="宋体" w:hAnsi="宋体" w:eastAsia="宋体" w:cs="宋体"/>
                <w:sz w:val="21"/>
                <w:szCs w:val="21"/>
                <w:lang w:val="en-US" w:eastAsia="zh-CN"/>
              </w:rPr>
              <w:t>得6分；</w:t>
            </w:r>
          </w:p>
          <w:p w14:paraId="7434A803">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lang w:val="en-US" w:eastAsia="zh-CN"/>
              </w:rPr>
              <w:t>服务应急处置</w:t>
            </w:r>
            <w:r>
              <w:rPr>
                <w:rFonts w:hint="eastAsia" w:ascii="宋体" w:hAnsi="宋体" w:eastAsia="宋体" w:cs="宋体"/>
                <w:sz w:val="21"/>
                <w:szCs w:val="21"/>
                <w:lang w:eastAsia="zh-CN"/>
              </w:rPr>
              <w:t>制度</w:t>
            </w:r>
            <w:r>
              <w:rPr>
                <w:rFonts w:hint="eastAsia" w:ascii="宋体" w:hAnsi="宋体" w:eastAsia="宋体" w:cs="宋体"/>
                <w:sz w:val="21"/>
                <w:szCs w:val="21"/>
                <w:lang w:val="en-US" w:eastAsia="zh-CN"/>
              </w:rPr>
              <w:t>基本</w:t>
            </w:r>
            <w:r>
              <w:rPr>
                <w:rFonts w:hint="eastAsia" w:ascii="宋体" w:hAnsi="宋体" w:eastAsia="宋体" w:cs="宋体"/>
                <w:sz w:val="21"/>
                <w:szCs w:val="21"/>
                <w:lang w:eastAsia="zh-CN"/>
              </w:rPr>
              <w:t>健全、规范、可操作性</w:t>
            </w:r>
            <w:r>
              <w:rPr>
                <w:rFonts w:hint="eastAsia" w:ascii="宋体" w:hAnsi="宋体" w:eastAsia="宋体" w:cs="宋体"/>
                <w:sz w:val="21"/>
                <w:szCs w:val="21"/>
                <w:lang w:val="en-US" w:eastAsia="zh-CN"/>
              </w:rPr>
              <w:t>存在欠缺</w:t>
            </w:r>
            <w:r>
              <w:rPr>
                <w:rFonts w:hint="eastAsia" w:ascii="宋体" w:hAnsi="宋体" w:eastAsia="宋体" w:cs="宋体"/>
                <w:sz w:val="21"/>
                <w:szCs w:val="21"/>
                <w:lang w:eastAsia="zh-CN"/>
              </w:rPr>
              <w:t>的</w:t>
            </w:r>
            <w:r>
              <w:rPr>
                <w:rFonts w:hint="eastAsia" w:ascii="宋体" w:hAnsi="宋体" w:eastAsia="宋体" w:cs="宋体"/>
                <w:sz w:val="21"/>
                <w:szCs w:val="21"/>
                <w:lang w:val="en-US" w:eastAsia="zh-CN"/>
              </w:rPr>
              <w:t>得2分；</w:t>
            </w:r>
          </w:p>
          <w:p w14:paraId="08B2D346">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bCs/>
                <w:sz w:val="21"/>
                <w:szCs w:val="21"/>
              </w:rPr>
            </w:pPr>
            <w:r>
              <w:rPr>
                <w:rFonts w:hint="eastAsia" w:ascii="宋体" w:hAnsi="宋体" w:eastAsia="宋体" w:cs="宋体"/>
                <w:sz w:val="21"/>
                <w:szCs w:val="21"/>
              </w:rPr>
              <w:t>缺项不得分。</w:t>
            </w:r>
          </w:p>
        </w:tc>
      </w:tr>
      <w:tr w14:paraId="03FFB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1E81EDA6">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color w:val="000000"/>
                <w:sz w:val="21"/>
                <w:szCs w:val="21"/>
                <w:lang w:bidi="ar"/>
              </w:rPr>
              <w:t>特殊案件处理方案</w:t>
            </w:r>
          </w:p>
        </w:tc>
        <w:tc>
          <w:tcPr>
            <w:tcW w:w="565" w:type="pct"/>
            <w:vAlign w:val="center"/>
          </w:tcPr>
          <w:p w14:paraId="3D95FB9E">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5</w:t>
            </w:r>
          </w:p>
        </w:tc>
        <w:tc>
          <w:tcPr>
            <w:tcW w:w="3541" w:type="pct"/>
            <w:gridSpan w:val="2"/>
            <w:vAlign w:val="center"/>
          </w:tcPr>
          <w:p w14:paraId="375BD086">
            <w:pPr>
              <w:spacing w:line="340" w:lineRule="exact"/>
              <w:rPr>
                <w:rFonts w:hint="eastAsia" w:ascii="宋体" w:hAnsi="宋体" w:eastAsia="宋体" w:cs="宋体"/>
                <w:sz w:val="21"/>
                <w:szCs w:val="21"/>
                <w:lang w:val="en-US"/>
              </w:rPr>
            </w:pPr>
            <w:r>
              <w:rPr>
                <w:rFonts w:hint="eastAsia" w:ascii="宋体" w:hAnsi="宋体" w:eastAsia="宋体" w:cs="宋体"/>
                <w:color w:val="000000"/>
                <w:sz w:val="21"/>
                <w:szCs w:val="21"/>
                <w:lang w:bidi="ar"/>
              </w:rPr>
              <w:t>特殊案件处理方案</w:t>
            </w:r>
            <w:r>
              <w:rPr>
                <w:rFonts w:hint="eastAsia" w:ascii="宋体" w:hAnsi="宋体" w:eastAsia="宋体" w:cs="宋体"/>
                <w:sz w:val="21"/>
                <w:szCs w:val="21"/>
              </w:rPr>
              <w:t>在</w:t>
            </w:r>
            <w:r>
              <w:rPr>
                <w:rFonts w:hint="eastAsia" w:ascii="宋体" w:hAnsi="宋体" w:eastAsia="宋体" w:cs="宋体"/>
                <w:sz w:val="21"/>
                <w:szCs w:val="21"/>
                <w:lang w:eastAsia="zh-CN"/>
              </w:rPr>
              <w:t>满足采购需求的基础上</w:t>
            </w:r>
            <w:r>
              <w:rPr>
                <w:rFonts w:hint="eastAsia" w:ascii="宋体" w:hAnsi="宋体" w:eastAsia="宋体" w:cs="宋体"/>
                <w:sz w:val="21"/>
                <w:szCs w:val="21"/>
              </w:rPr>
              <w:t>方案</w:t>
            </w:r>
            <w:r>
              <w:rPr>
                <w:rFonts w:hint="eastAsia" w:ascii="宋体" w:hAnsi="宋体" w:eastAsia="宋体" w:cs="宋体"/>
                <w:sz w:val="21"/>
                <w:szCs w:val="21"/>
                <w:lang w:eastAsia="zh-CN"/>
              </w:rPr>
              <w:t>详实可行、合理、实用</w:t>
            </w:r>
            <w:r>
              <w:rPr>
                <w:rFonts w:hint="eastAsia" w:ascii="宋体" w:hAnsi="宋体" w:eastAsia="宋体" w:cs="宋体"/>
                <w:sz w:val="21"/>
                <w:szCs w:val="21"/>
                <w:lang w:val="en-US" w:eastAsia="zh-CN"/>
              </w:rPr>
              <w:t>得5分；</w:t>
            </w:r>
          </w:p>
          <w:p w14:paraId="612506BD">
            <w:pPr>
              <w:spacing w:line="340" w:lineRule="exact"/>
              <w:rPr>
                <w:rFonts w:hint="eastAsia" w:ascii="宋体" w:hAnsi="宋体" w:eastAsia="宋体" w:cs="宋体"/>
                <w:sz w:val="21"/>
                <w:szCs w:val="21"/>
                <w:lang w:val="en-US"/>
              </w:rPr>
            </w:pPr>
            <w:r>
              <w:rPr>
                <w:rFonts w:hint="eastAsia" w:ascii="宋体" w:hAnsi="宋体" w:eastAsia="宋体" w:cs="宋体"/>
                <w:color w:val="000000"/>
                <w:sz w:val="21"/>
                <w:szCs w:val="21"/>
                <w:lang w:bidi="ar"/>
              </w:rPr>
              <w:t>特殊案件处理方案</w:t>
            </w:r>
            <w:r>
              <w:rPr>
                <w:rFonts w:hint="eastAsia" w:ascii="宋体" w:hAnsi="宋体" w:eastAsia="宋体" w:cs="宋体"/>
                <w:sz w:val="21"/>
                <w:szCs w:val="21"/>
              </w:rPr>
              <w:t>在</w:t>
            </w:r>
            <w:r>
              <w:rPr>
                <w:rFonts w:hint="eastAsia" w:ascii="宋体" w:hAnsi="宋体" w:eastAsia="宋体" w:cs="宋体"/>
                <w:sz w:val="21"/>
                <w:szCs w:val="21"/>
                <w:lang w:eastAsia="zh-CN"/>
              </w:rPr>
              <w:t>满足采购需求的基础上</w:t>
            </w:r>
            <w:r>
              <w:rPr>
                <w:rFonts w:hint="eastAsia" w:ascii="宋体" w:hAnsi="宋体" w:eastAsia="宋体" w:cs="宋体"/>
                <w:sz w:val="21"/>
                <w:szCs w:val="21"/>
              </w:rPr>
              <w:t>方案</w:t>
            </w:r>
            <w:r>
              <w:rPr>
                <w:rFonts w:hint="eastAsia" w:ascii="宋体" w:hAnsi="宋体" w:eastAsia="宋体" w:cs="宋体"/>
                <w:sz w:val="21"/>
                <w:szCs w:val="21"/>
                <w:lang w:val="en-US" w:eastAsia="zh-CN"/>
              </w:rPr>
              <w:t>基本</w:t>
            </w:r>
            <w:r>
              <w:rPr>
                <w:rFonts w:hint="eastAsia" w:ascii="宋体" w:hAnsi="宋体" w:eastAsia="宋体" w:cs="宋体"/>
                <w:sz w:val="21"/>
                <w:szCs w:val="21"/>
                <w:lang w:eastAsia="zh-CN"/>
              </w:rPr>
              <w:t>详实可行、合理、实用</w:t>
            </w:r>
            <w:r>
              <w:rPr>
                <w:rFonts w:hint="eastAsia" w:ascii="宋体" w:hAnsi="宋体" w:eastAsia="宋体" w:cs="宋体"/>
                <w:sz w:val="21"/>
                <w:szCs w:val="21"/>
                <w:lang w:val="en-US" w:eastAsia="zh-CN"/>
              </w:rPr>
              <w:t>得3分；</w:t>
            </w:r>
          </w:p>
          <w:p w14:paraId="0888911B">
            <w:pPr>
              <w:spacing w:line="340" w:lineRule="exact"/>
              <w:rPr>
                <w:rFonts w:hint="eastAsia" w:ascii="宋体" w:hAnsi="宋体" w:eastAsia="宋体" w:cs="宋体"/>
                <w:sz w:val="21"/>
                <w:szCs w:val="21"/>
                <w:lang w:val="en-US"/>
              </w:rPr>
            </w:pPr>
            <w:r>
              <w:rPr>
                <w:rFonts w:hint="eastAsia" w:ascii="宋体" w:hAnsi="宋体" w:eastAsia="宋体" w:cs="宋体"/>
                <w:color w:val="000000"/>
                <w:sz w:val="21"/>
                <w:szCs w:val="21"/>
                <w:lang w:bidi="ar"/>
              </w:rPr>
              <w:t>特殊案件处理方案</w:t>
            </w:r>
            <w:r>
              <w:rPr>
                <w:rFonts w:hint="eastAsia" w:ascii="宋体" w:hAnsi="宋体" w:eastAsia="宋体" w:cs="宋体"/>
                <w:sz w:val="21"/>
                <w:szCs w:val="21"/>
              </w:rPr>
              <w:t>在</w:t>
            </w:r>
            <w:r>
              <w:rPr>
                <w:rFonts w:hint="eastAsia" w:ascii="宋体" w:hAnsi="宋体" w:eastAsia="宋体" w:cs="宋体"/>
                <w:sz w:val="21"/>
                <w:szCs w:val="21"/>
                <w:lang w:eastAsia="zh-CN"/>
              </w:rPr>
              <w:t>满足采购需求的基础上</w:t>
            </w:r>
            <w:r>
              <w:rPr>
                <w:rFonts w:hint="eastAsia" w:ascii="宋体" w:hAnsi="宋体" w:eastAsia="宋体" w:cs="宋体"/>
                <w:sz w:val="21"/>
                <w:szCs w:val="21"/>
              </w:rPr>
              <w:t>方案</w:t>
            </w:r>
            <w:r>
              <w:rPr>
                <w:rFonts w:hint="eastAsia" w:ascii="宋体" w:hAnsi="宋体" w:eastAsia="宋体" w:cs="宋体"/>
                <w:sz w:val="21"/>
                <w:szCs w:val="21"/>
                <w:lang w:val="en-US" w:eastAsia="zh-CN"/>
              </w:rPr>
              <w:t>不</w:t>
            </w:r>
            <w:r>
              <w:rPr>
                <w:rFonts w:hint="eastAsia" w:ascii="宋体" w:hAnsi="宋体" w:eastAsia="宋体" w:cs="宋体"/>
                <w:sz w:val="21"/>
                <w:szCs w:val="21"/>
                <w:lang w:eastAsia="zh-CN"/>
              </w:rPr>
              <w:t>详实可行、合理、实用</w:t>
            </w:r>
            <w:r>
              <w:rPr>
                <w:rFonts w:hint="eastAsia" w:ascii="宋体" w:hAnsi="宋体" w:eastAsia="宋体" w:cs="宋体"/>
                <w:sz w:val="21"/>
                <w:szCs w:val="21"/>
                <w:lang w:val="en-US" w:eastAsia="zh-CN"/>
              </w:rPr>
              <w:t>得1分；</w:t>
            </w:r>
          </w:p>
          <w:p w14:paraId="6FA5AE82">
            <w:pPr>
              <w:spacing w:line="340" w:lineRule="exact"/>
              <w:rPr>
                <w:rFonts w:hint="eastAsia" w:ascii="宋体" w:hAnsi="宋体" w:eastAsia="宋体" w:cs="宋体"/>
                <w:sz w:val="21"/>
                <w:szCs w:val="21"/>
              </w:rPr>
            </w:pPr>
            <w:r>
              <w:rPr>
                <w:rFonts w:hint="eastAsia" w:ascii="宋体" w:hAnsi="宋体" w:eastAsia="宋体" w:cs="宋体"/>
                <w:sz w:val="21"/>
                <w:szCs w:val="21"/>
              </w:rPr>
              <w:t>缺项不得分。</w:t>
            </w:r>
          </w:p>
        </w:tc>
      </w:tr>
      <w:tr w14:paraId="511A7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2F3D97F6">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sz w:val="21"/>
                <w:szCs w:val="21"/>
              </w:rPr>
              <w:t>赔付时间</w:t>
            </w:r>
          </w:p>
        </w:tc>
        <w:tc>
          <w:tcPr>
            <w:tcW w:w="565" w:type="pct"/>
            <w:vAlign w:val="center"/>
          </w:tcPr>
          <w:p w14:paraId="5C776F69">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1" w:type="pct"/>
            <w:gridSpan w:val="2"/>
            <w:vAlign w:val="center"/>
          </w:tcPr>
          <w:p w14:paraId="51942DFE">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评委会根据各供应商所投报赔付到位时间进行综合比较：</w:t>
            </w:r>
          </w:p>
          <w:p w14:paraId="57BEAAE1">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检验完毕后 3 个工作日内赔付到位得10分；</w:t>
            </w:r>
          </w:p>
          <w:p w14:paraId="67CEC433">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5个工作日内赔付到位的得6分；</w:t>
            </w:r>
          </w:p>
          <w:p w14:paraId="0CE15B84">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10 个工作日内赔付到位的得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1F9F15C1">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bCs/>
                <w:sz w:val="21"/>
                <w:szCs w:val="21"/>
              </w:rPr>
            </w:pPr>
            <w:r>
              <w:rPr>
                <w:rFonts w:hint="eastAsia" w:ascii="宋体" w:hAnsi="宋体" w:eastAsia="宋体" w:cs="宋体"/>
                <w:sz w:val="21"/>
                <w:szCs w:val="21"/>
              </w:rPr>
              <w:t>缺项不得分。</w:t>
            </w:r>
            <w:r>
              <w:rPr>
                <w:rFonts w:hint="eastAsia" w:ascii="宋体" w:hAnsi="宋体" w:eastAsia="宋体" w:cs="宋体"/>
                <w:color w:val="000000"/>
                <w:sz w:val="21"/>
                <w:szCs w:val="21"/>
                <w:lang w:val="en-US" w:eastAsia="zh-CN" w:bidi="ar"/>
              </w:rPr>
              <w:t>（供应商自行承诺）</w:t>
            </w:r>
          </w:p>
        </w:tc>
      </w:tr>
      <w:tr w14:paraId="1D8C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2551DE36">
            <w:pPr>
              <w:keepNext w:val="0"/>
              <w:keepLines w:val="0"/>
              <w:pageBreakBefore w:val="0"/>
              <w:widowControl/>
              <w:kinsoku/>
              <w:wordWrap/>
              <w:overflowPunct/>
              <w:topLinePunct w:val="0"/>
              <w:autoSpaceDE/>
              <w:autoSpaceDN/>
              <w:bidi w:val="0"/>
              <w:adjustRightInd/>
              <w:spacing w:line="360" w:lineRule="auto"/>
              <w:jc w:val="center"/>
              <w:rPr>
                <w:rFonts w:hint="eastAsia" w:ascii="宋体" w:hAnsi="宋体" w:eastAsia="宋体" w:cs="宋体"/>
                <w:sz w:val="21"/>
                <w:szCs w:val="21"/>
              </w:rPr>
            </w:pPr>
            <w:r>
              <w:rPr>
                <w:rFonts w:hint="eastAsia" w:ascii="宋体" w:hAnsi="宋体" w:eastAsia="宋体" w:cs="宋体"/>
                <w:sz w:val="21"/>
                <w:szCs w:val="21"/>
              </w:rPr>
              <w:t>理赔程序</w:t>
            </w:r>
          </w:p>
        </w:tc>
        <w:tc>
          <w:tcPr>
            <w:tcW w:w="565" w:type="pct"/>
            <w:vAlign w:val="center"/>
          </w:tcPr>
          <w:p w14:paraId="1D58038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0-10</w:t>
            </w:r>
          </w:p>
        </w:tc>
        <w:tc>
          <w:tcPr>
            <w:tcW w:w="3541" w:type="pct"/>
            <w:gridSpan w:val="2"/>
            <w:vAlign w:val="center"/>
          </w:tcPr>
          <w:p w14:paraId="7488F122">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对</w:t>
            </w:r>
            <w:r>
              <w:rPr>
                <w:rFonts w:hint="eastAsia" w:ascii="宋体" w:hAnsi="宋体" w:eastAsia="宋体" w:cs="宋体"/>
                <w:sz w:val="21"/>
                <w:szCs w:val="21"/>
                <w:lang w:bidi="ar"/>
              </w:rPr>
              <w:t>供应商</w:t>
            </w:r>
            <w:r>
              <w:rPr>
                <w:rFonts w:hint="eastAsia" w:ascii="宋体" w:hAnsi="宋体" w:eastAsia="宋体" w:cs="宋体"/>
                <w:sz w:val="21"/>
                <w:szCs w:val="21"/>
              </w:rPr>
              <w:t>制定提供的理赔程序、理赔时效，考察理赔程序的保障方案及重点、难点分析，对理赔流程是否完整、理赔过程是否及时高效、理赔手续是否简化便捷等情况进行评审：</w:t>
            </w:r>
          </w:p>
          <w:p w14:paraId="2CA48F25">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能够提出针对本项目的理赔程序科学性、合理性、可行性进行综合评分。</w:t>
            </w:r>
          </w:p>
          <w:p w14:paraId="2F9B19F7">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理赔程序内容齐全、完整，科学、合理的得10分；</w:t>
            </w:r>
          </w:p>
          <w:p w14:paraId="4C5AAF8E">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理赔程序内容基本完整、合理性较为合理的得6分；</w:t>
            </w:r>
          </w:p>
          <w:p w14:paraId="20C50360">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sz w:val="21"/>
                <w:szCs w:val="21"/>
              </w:rPr>
            </w:pPr>
            <w:r>
              <w:rPr>
                <w:rFonts w:hint="eastAsia" w:ascii="宋体" w:hAnsi="宋体" w:eastAsia="宋体" w:cs="宋体"/>
                <w:sz w:val="21"/>
                <w:szCs w:val="21"/>
              </w:rPr>
              <w:t>理赔程序内容基本完整、合理性存在欠缺的得</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7F7FE67F">
            <w:pPr>
              <w:keepNext w:val="0"/>
              <w:keepLines w:val="0"/>
              <w:pageBreakBefore w:val="0"/>
              <w:widowControl/>
              <w:kinsoku/>
              <w:wordWrap/>
              <w:overflowPunct/>
              <w:topLinePunct w:val="0"/>
              <w:autoSpaceDE/>
              <w:autoSpaceDN/>
              <w:bidi w:val="0"/>
              <w:adjustRightInd/>
              <w:spacing w:line="360" w:lineRule="auto"/>
              <w:jc w:val="left"/>
              <w:rPr>
                <w:rFonts w:hint="eastAsia" w:ascii="宋体" w:hAnsi="宋体" w:eastAsia="宋体" w:cs="宋体"/>
                <w:bCs/>
                <w:sz w:val="21"/>
                <w:szCs w:val="21"/>
              </w:rPr>
            </w:pPr>
            <w:r>
              <w:rPr>
                <w:rFonts w:hint="eastAsia" w:ascii="宋体" w:hAnsi="宋体" w:eastAsia="宋体" w:cs="宋体"/>
                <w:sz w:val="21"/>
                <w:szCs w:val="21"/>
              </w:rPr>
              <w:t>缺项不得分。</w:t>
            </w:r>
          </w:p>
        </w:tc>
      </w:tr>
      <w:tr w14:paraId="4F4D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5"/>
            <w:vAlign w:val="center"/>
          </w:tcPr>
          <w:p w14:paraId="3547DCB9">
            <w:pPr>
              <w:spacing w:line="360" w:lineRule="auto"/>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2.2.4（3）综合标评分标准（1</w:t>
            </w: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分）</w:t>
            </w:r>
          </w:p>
        </w:tc>
      </w:tr>
      <w:tr w14:paraId="4265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93" w:type="pct"/>
            <w:gridSpan w:val="2"/>
            <w:vAlign w:val="center"/>
          </w:tcPr>
          <w:p w14:paraId="4FA4FDF0">
            <w:pPr>
              <w:spacing w:line="360" w:lineRule="auto"/>
              <w:jc w:val="center"/>
              <w:rPr>
                <w:rFonts w:hint="eastAsia" w:ascii="宋体" w:hAnsi="宋体" w:eastAsia="宋体" w:cs="宋体"/>
                <w:color w:val="auto"/>
                <w:sz w:val="21"/>
                <w:szCs w:val="21"/>
              </w:rPr>
            </w:pPr>
            <w:r>
              <w:rPr>
                <w:rFonts w:hint="eastAsia" w:ascii="宋体" w:hAnsi="宋体" w:eastAsia="宋体" w:cs="宋体"/>
                <w:bCs/>
                <w:color w:val="auto"/>
                <w:sz w:val="21"/>
                <w:szCs w:val="21"/>
              </w:rPr>
              <w:t>评审内容</w:t>
            </w:r>
          </w:p>
        </w:tc>
        <w:tc>
          <w:tcPr>
            <w:tcW w:w="565" w:type="pct"/>
            <w:vAlign w:val="center"/>
          </w:tcPr>
          <w:p w14:paraId="51BB8212">
            <w:pPr>
              <w:spacing w:line="360" w:lineRule="auto"/>
              <w:jc w:val="center"/>
              <w:rPr>
                <w:rFonts w:hint="eastAsia" w:ascii="宋体" w:hAnsi="宋体" w:eastAsia="宋体" w:cs="宋体"/>
                <w:color w:val="auto"/>
                <w:sz w:val="21"/>
                <w:szCs w:val="21"/>
              </w:rPr>
            </w:pPr>
            <w:r>
              <w:rPr>
                <w:rFonts w:hint="eastAsia" w:ascii="宋体" w:hAnsi="宋体" w:eastAsia="宋体" w:cs="宋体"/>
                <w:bCs/>
                <w:color w:val="auto"/>
                <w:sz w:val="21"/>
                <w:szCs w:val="21"/>
              </w:rPr>
              <w:t>分值</w:t>
            </w:r>
          </w:p>
        </w:tc>
        <w:tc>
          <w:tcPr>
            <w:tcW w:w="3541" w:type="pct"/>
            <w:gridSpan w:val="2"/>
            <w:vAlign w:val="center"/>
          </w:tcPr>
          <w:p w14:paraId="77ED16DD">
            <w:pPr>
              <w:spacing w:line="360" w:lineRule="auto"/>
              <w:jc w:val="center"/>
              <w:rPr>
                <w:rFonts w:hint="eastAsia" w:ascii="宋体" w:hAnsi="宋体" w:eastAsia="宋体" w:cs="宋体"/>
                <w:color w:val="auto"/>
                <w:sz w:val="21"/>
                <w:szCs w:val="21"/>
              </w:rPr>
            </w:pPr>
            <w:r>
              <w:rPr>
                <w:rFonts w:hint="eastAsia" w:ascii="宋体" w:hAnsi="宋体" w:eastAsia="宋体" w:cs="宋体"/>
                <w:bCs/>
                <w:color w:val="auto"/>
                <w:sz w:val="21"/>
                <w:szCs w:val="21"/>
              </w:rPr>
              <w:t>评审标准</w:t>
            </w:r>
          </w:p>
        </w:tc>
      </w:tr>
      <w:tr w14:paraId="146FC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93" w:type="pct"/>
            <w:gridSpan w:val="2"/>
            <w:vAlign w:val="center"/>
          </w:tcPr>
          <w:p w14:paraId="2472E555">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1.企业业绩</w:t>
            </w:r>
          </w:p>
        </w:tc>
        <w:tc>
          <w:tcPr>
            <w:tcW w:w="565" w:type="pct"/>
            <w:vAlign w:val="center"/>
          </w:tcPr>
          <w:p w14:paraId="6671B7B2">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0-</w:t>
            </w:r>
            <w:r>
              <w:rPr>
                <w:rFonts w:hint="eastAsia" w:ascii="宋体" w:hAnsi="宋体" w:eastAsia="宋体" w:cs="宋体"/>
                <w:color w:val="auto"/>
                <w:sz w:val="21"/>
                <w:szCs w:val="21"/>
                <w:lang w:val="en-US" w:eastAsia="zh-CN"/>
              </w:rPr>
              <w:t>8</w:t>
            </w:r>
          </w:p>
        </w:tc>
        <w:tc>
          <w:tcPr>
            <w:tcW w:w="3541" w:type="pct"/>
            <w:gridSpan w:val="2"/>
            <w:vAlign w:val="center"/>
          </w:tcPr>
          <w:p w14:paraId="19451FE8">
            <w:pPr>
              <w:spacing w:line="360" w:lineRule="auto"/>
              <w:rPr>
                <w:rFonts w:hint="eastAsia" w:ascii="宋体" w:hAnsi="宋体" w:eastAsia="宋体" w:cs="宋体"/>
                <w:color w:val="auto"/>
                <w:sz w:val="21"/>
                <w:szCs w:val="21"/>
              </w:rPr>
            </w:pPr>
            <w:r>
              <w:rPr>
                <w:rFonts w:hint="eastAsia" w:ascii="宋体" w:hAnsi="宋体" w:eastAsia="宋体" w:cs="宋体"/>
                <w:kern w:val="0"/>
                <w:sz w:val="21"/>
                <w:szCs w:val="21"/>
                <w:lang w:eastAsia="zh-CN"/>
              </w:rPr>
              <w:t>供应商</w:t>
            </w:r>
            <w:r>
              <w:rPr>
                <w:rFonts w:hint="eastAsia" w:ascii="宋体" w:hAnsi="宋体" w:eastAsia="宋体" w:cs="宋体"/>
                <w:kern w:val="0"/>
                <w:sz w:val="21"/>
                <w:szCs w:val="21"/>
                <w:lang w:val="en-US" w:eastAsia="zh-CN"/>
              </w:rPr>
              <w:t>可提供自2021年1月1日至今的类似项目业绩，每有一个得4分，最高得8分。（提供合同原件扫描件及中标通知书，时间以合同签订日期为准）。注：在同一县区承办多年的业务，按一个项目计算。总公司和分支机构的合同均认可。</w:t>
            </w:r>
          </w:p>
        </w:tc>
      </w:tr>
      <w:tr w14:paraId="175CA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93" w:type="pct"/>
            <w:gridSpan w:val="2"/>
            <w:vAlign w:val="center"/>
          </w:tcPr>
          <w:p w14:paraId="2D5B7182">
            <w:pPr>
              <w:keepNext w:val="0"/>
              <w:keepLines w:val="0"/>
              <w:pageBreakBefore w:val="0"/>
              <w:widowControl/>
              <w:kinsoku/>
              <w:wordWrap/>
              <w:overflowPunct/>
              <w:topLinePunct w:val="0"/>
              <w:autoSpaceDE w:val="0"/>
              <w:autoSpaceDN w:val="0"/>
              <w:bidi w:val="0"/>
              <w:adjustRightInd w:val="0"/>
              <w:snapToGrid/>
              <w:spacing w:line="360" w:lineRule="auto"/>
              <w:ind w:right="-25"/>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kern w:val="0"/>
                <w:sz w:val="21"/>
                <w:szCs w:val="21"/>
              </w:rPr>
              <w:t>综合评价</w:t>
            </w:r>
          </w:p>
        </w:tc>
        <w:tc>
          <w:tcPr>
            <w:tcW w:w="565" w:type="pct"/>
            <w:vAlign w:val="center"/>
          </w:tcPr>
          <w:p w14:paraId="193DDB97">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0-</w:t>
            </w:r>
            <w:r>
              <w:rPr>
                <w:rFonts w:hint="eastAsia" w:ascii="宋体" w:hAnsi="宋体" w:eastAsia="宋体" w:cs="宋体"/>
                <w:color w:val="auto"/>
                <w:sz w:val="21"/>
                <w:szCs w:val="21"/>
                <w:lang w:val="en-US" w:eastAsia="zh-CN"/>
              </w:rPr>
              <w:t>4</w:t>
            </w:r>
          </w:p>
        </w:tc>
        <w:tc>
          <w:tcPr>
            <w:tcW w:w="3541" w:type="pct"/>
            <w:gridSpan w:val="2"/>
            <w:vAlign w:val="center"/>
          </w:tcPr>
          <w:p w14:paraId="192D0490">
            <w:pPr>
              <w:spacing w:line="360" w:lineRule="auto"/>
              <w:rPr>
                <w:rFonts w:hint="eastAsia" w:ascii="宋体" w:hAnsi="宋体" w:eastAsia="宋体" w:cs="宋体"/>
                <w:color w:val="auto"/>
                <w:sz w:val="21"/>
                <w:szCs w:val="21"/>
              </w:rPr>
            </w:pPr>
            <w:r>
              <w:rPr>
                <w:rFonts w:hint="eastAsia" w:ascii="宋体" w:hAnsi="宋体" w:eastAsia="宋体" w:cs="宋体"/>
                <w:kern w:val="0"/>
                <w:sz w:val="21"/>
                <w:szCs w:val="21"/>
              </w:rPr>
              <w:t>对供应商的响应文件内容的详实程度、科学、合理、可行性进行综合评价，</w:t>
            </w:r>
            <w:r>
              <w:rPr>
                <w:rFonts w:hint="eastAsia" w:ascii="宋体" w:hAnsi="宋体" w:eastAsia="宋体" w:cs="宋体"/>
                <w:kern w:val="0"/>
                <w:sz w:val="21"/>
                <w:szCs w:val="21"/>
                <w:lang w:val="en-US" w:eastAsia="zh-CN"/>
              </w:rPr>
              <w:t>完整详实科学合理得4分，内容有一定欠缺得2分，文件内容简单不合理得1分。</w:t>
            </w:r>
          </w:p>
        </w:tc>
      </w:tr>
    </w:tbl>
    <w:p w14:paraId="7E024DDF">
      <w:pPr>
        <w:pStyle w:val="59"/>
        <w:spacing w:line="360" w:lineRule="auto"/>
        <w:rPr>
          <w:rFonts w:hint="eastAsia" w:ascii="宋体" w:hAnsi="宋体" w:eastAsia="宋体" w:cs="宋体"/>
          <w:sz w:val="21"/>
          <w:szCs w:val="21"/>
        </w:rPr>
      </w:pPr>
      <w:r>
        <w:rPr>
          <w:rFonts w:hint="eastAsia" w:ascii="宋体" w:hAnsi="宋体" w:eastAsia="宋体" w:cs="宋体"/>
          <w:sz w:val="21"/>
          <w:szCs w:val="21"/>
        </w:rPr>
        <w:t>1. 评标方法</w:t>
      </w:r>
      <w:bookmarkEnd w:id="316"/>
      <w:bookmarkEnd w:id="317"/>
      <w:bookmarkEnd w:id="318"/>
      <w:bookmarkEnd w:id="319"/>
      <w:bookmarkEnd w:id="320"/>
      <w:bookmarkEnd w:id="321"/>
      <w:bookmarkEnd w:id="322"/>
    </w:p>
    <w:p w14:paraId="2D6B3DB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次评标采用综合评估法。磋商小组对满足磋商文件实质性要求的响应文件，按照本章第2.2款规定的评分标准进行打分，并按得分由高到低顺序推荐中标候选人，但投标报价低于其成本的除外。综合评分相等时，以投标报价低的优先；投标报价也相等的，由采购人自行确定。</w:t>
      </w:r>
    </w:p>
    <w:p w14:paraId="4359F6BA">
      <w:pPr>
        <w:pStyle w:val="59"/>
        <w:spacing w:line="360" w:lineRule="auto"/>
        <w:rPr>
          <w:rFonts w:hint="eastAsia" w:ascii="宋体" w:hAnsi="宋体" w:eastAsia="宋体" w:cs="宋体"/>
          <w:sz w:val="21"/>
          <w:szCs w:val="21"/>
        </w:rPr>
      </w:pPr>
      <w:bookmarkStart w:id="323" w:name="_Toc16020"/>
      <w:bookmarkStart w:id="324" w:name="_Toc11820"/>
      <w:bookmarkStart w:id="325" w:name="_Toc45177854"/>
      <w:bookmarkStart w:id="326" w:name="_Toc152045601"/>
      <w:bookmarkStart w:id="327" w:name="_Toc179632619"/>
      <w:bookmarkStart w:id="328" w:name="_Toc152042378"/>
      <w:bookmarkStart w:id="329" w:name="_Toc144974568"/>
      <w:r>
        <w:rPr>
          <w:rFonts w:hint="eastAsia" w:ascii="宋体" w:hAnsi="宋体" w:eastAsia="宋体" w:cs="宋体"/>
          <w:sz w:val="21"/>
          <w:szCs w:val="21"/>
        </w:rPr>
        <w:t>2. 评审标准</w:t>
      </w:r>
      <w:bookmarkEnd w:id="323"/>
      <w:bookmarkEnd w:id="324"/>
      <w:bookmarkEnd w:id="325"/>
      <w:bookmarkEnd w:id="326"/>
      <w:bookmarkEnd w:id="327"/>
      <w:bookmarkEnd w:id="328"/>
      <w:bookmarkEnd w:id="329"/>
    </w:p>
    <w:p w14:paraId="045AE7E8">
      <w:pPr>
        <w:pStyle w:val="60"/>
        <w:spacing w:line="360" w:lineRule="auto"/>
        <w:rPr>
          <w:rFonts w:hint="eastAsia" w:ascii="宋体" w:hAnsi="宋体" w:eastAsia="宋体" w:cs="宋体"/>
          <w:sz w:val="21"/>
          <w:szCs w:val="21"/>
        </w:rPr>
      </w:pPr>
      <w:bookmarkStart w:id="330" w:name="_Toc144974569"/>
      <w:bookmarkStart w:id="331" w:name="_Toc179632620"/>
      <w:bookmarkStart w:id="332" w:name="_Toc152042379"/>
      <w:bookmarkStart w:id="333" w:name="_Toc45177855"/>
      <w:bookmarkStart w:id="334" w:name="_Toc19376"/>
      <w:bookmarkStart w:id="335" w:name="_Toc152045602"/>
      <w:r>
        <w:rPr>
          <w:rFonts w:hint="eastAsia" w:ascii="宋体" w:hAnsi="宋体" w:eastAsia="宋体" w:cs="宋体"/>
          <w:sz w:val="21"/>
          <w:szCs w:val="21"/>
        </w:rPr>
        <w:t>2.1 初步评审标准</w:t>
      </w:r>
      <w:bookmarkEnd w:id="330"/>
      <w:bookmarkEnd w:id="331"/>
      <w:bookmarkEnd w:id="332"/>
      <w:bookmarkEnd w:id="333"/>
      <w:bookmarkEnd w:id="334"/>
      <w:bookmarkEnd w:id="335"/>
    </w:p>
    <w:p w14:paraId="0FA55C6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2.1.1 形式评审标准：见评标办法前附表。</w:t>
      </w:r>
    </w:p>
    <w:p w14:paraId="72295EA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2.1.2资格评审标准：见评标办法前附表。</w:t>
      </w:r>
    </w:p>
    <w:p w14:paraId="77F8133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2.1.3响应性评审标准：见评标办法前附表。</w:t>
      </w:r>
    </w:p>
    <w:p w14:paraId="0C6C0F1A">
      <w:pPr>
        <w:pStyle w:val="60"/>
        <w:spacing w:line="360" w:lineRule="auto"/>
        <w:rPr>
          <w:rFonts w:hint="eastAsia" w:ascii="宋体" w:hAnsi="宋体" w:eastAsia="宋体" w:cs="宋体"/>
          <w:sz w:val="21"/>
          <w:szCs w:val="21"/>
        </w:rPr>
      </w:pPr>
      <w:bookmarkStart w:id="336" w:name="_Toc179632621"/>
      <w:bookmarkStart w:id="337" w:name="_Toc152045603"/>
      <w:bookmarkStart w:id="338" w:name="_Toc29065"/>
      <w:bookmarkStart w:id="339" w:name="_Toc45177856"/>
      <w:bookmarkStart w:id="340" w:name="_Toc152042380"/>
      <w:bookmarkStart w:id="341" w:name="_Toc144974570"/>
      <w:r>
        <w:rPr>
          <w:rFonts w:hint="eastAsia" w:ascii="宋体" w:hAnsi="宋体" w:eastAsia="宋体" w:cs="宋体"/>
          <w:sz w:val="21"/>
          <w:szCs w:val="21"/>
        </w:rPr>
        <w:t>2.2 分值构成与评分标准</w:t>
      </w:r>
      <w:bookmarkEnd w:id="336"/>
      <w:bookmarkEnd w:id="337"/>
      <w:bookmarkEnd w:id="338"/>
      <w:bookmarkEnd w:id="339"/>
      <w:bookmarkEnd w:id="340"/>
      <w:bookmarkEnd w:id="341"/>
    </w:p>
    <w:p w14:paraId="499FDCF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 分值构成</w:t>
      </w:r>
    </w:p>
    <w:p w14:paraId="7108F59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（1）商务标：见评标办法前附表； </w:t>
      </w:r>
    </w:p>
    <w:p w14:paraId="754B78F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（2）技术标：见评标办法前附表；</w:t>
      </w:r>
    </w:p>
    <w:p w14:paraId="6E0D776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（3）综合标：见评标办法前附表。 </w:t>
      </w:r>
    </w:p>
    <w:p w14:paraId="621490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 评标基准价计算</w:t>
      </w:r>
    </w:p>
    <w:p w14:paraId="1170031A">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评标基准价计算方法：见评标办法前附表。</w:t>
      </w:r>
    </w:p>
    <w:p w14:paraId="59442AE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 投标报价的偏差率计算（本项目不适用）</w:t>
      </w:r>
    </w:p>
    <w:p w14:paraId="6B262D51">
      <w:pPr>
        <w:spacing w:line="360" w:lineRule="auto"/>
        <w:ind w:firstLine="840" w:firstLineChars="400"/>
        <w:rPr>
          <w:rFonts w:hint="eastAsia" w:ascii="宋体" w:hAnsi="宋体" w:eastAsia="宋体" w:cs="宋体"/>
          <w:sz w:val="21"/>
          <w:szCs w:val="21"/>
        </w:rPr>
      </w:pPr>
      <w:r>
        <w:rPr>
          <w:rFonts w:hint="eastAsia" w:ascii="宋体" w:hAnsi="宋体" w:eastAsia="宋体" w:cs="宋体"/>
          <w:sz w:val="21"/>
          <w:szCs w:val="21"/>
        </w:rPr>
        <w:t>投标报价的偏差率计算公式：见评标办法前附表。</w:t>
      </w:r>
    </w:p>
    <w:p w14:paraId="391057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 评分标准</w:t>
      </w:r>
    </w:p>
    <w:p w14:paraId="4FD28B9E">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（1）商务标评分标准：见评标办法前附表；</w:t>
      </w:r>
    </w:p>
    <w:p w14:paraId="58900719">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（2）技术标评分标准：见评标办法前附表；</w:t>
      </w:r>
    </w:p>
    <w:p w14:paraId="2D5AD69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（3）综合标评分标准：见评标办法前附表。</w:t>
      </w:r>
    </w:p>
    <w:p w14:paraId="5D58CE12">
      <w:pPr>
        <w:pStyle w:val="60"/>
        <w:spacing w:line="360" w:lineRule="auto"/>
        <w:rPr>
          <w:rFonts w:hint="eastAsia" w:ascii="宋体" w:hAnsi="宋体" w:eastAsia="宋体" w:cs="宋体"/>
          <w:sz w:val="21"/>
          <w:szCs w:val="21"/>
        </w:rPr>
      </w:pPr>
      <w:bookmarkStart w:id="342" w:name="_Toc152045605"/>
      <w:bookmarkStart w:id="343" w:name="_Toc45177857"/>
      <w:bookmarkStart w:id="344" w:name="_Toc179632623"/>
      <w:bookmarkStart w:id="345" w:name="_Toc20036"/>
      <w:bookmarkStart w:id="346" w:name="_Toc152042382"/>
      <w:bookmarkStart w:id="347" w:name="_Toc144974572"/>
      <w:r>
        <w:rPr>
          <w:rFonts w:hint="eastAsia" w:ascii="宋体" w:hAnsi="宋体" w:eastAsia="宋体" w:cs="宋体"/>
          <w:sz w:val="21"/>
          <w:szCs w:val="21"/>
        </w:rPr>
        <w:t>3.1 初步评审</w:t>
      </w:r>
      <w:bookmarkEnd w:id="342"/>
      <w:bookmarkEnd w:id="343"/>
      <w:bookmarkEnd w:id="344"/>
      <w:bookmarkEnd w:id="345"/>
      <w:bookmarkEnd w:id="346"/>
      <w:bookmarkEnd w:id="347"/>
    </w:p>
    <w:p w14:paraId="03B0AD1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3.1.1磋商小组依据本章第2.1款规定的标准对响应文件进行初步评审。有一项不符合评审标准的，否决其投标。</w:t>
      </w:r>
    </w:p>
    <w:p w14:paraId="75C2AFA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3.1.2 供应商有以下情形之一的，否决其投标：</w:t>
      </w:r>
    </w:p>
    <w:p w14:paraId="6C227A22">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（1）第二章“供应商须知”第1.4.3项规定的任何一种情形的；</w:t>
      </w:r>
    </w:p>
    <w:p w14:paraId="1D890FBB">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（2）串通投标或弄虚作假或有其他违法行为的；</w:t>
      </w:r>
    </w:p>
    <w:p w14:paraId="1D22BCD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（3）不按磋商小组要求澄清、说明或补正的。</w:t>
      </w:r>
    </w:p>
    <w:p w14:paraId="4F4F791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3.1.3投标报价有算术错误的，磋商小组按以下原则对投标报价进行修正，修正的价格经供应商书面确认后具有约束力。供应商不接受修正价格的，否决其投标。</w:t>
      </w:r>
    </w:p>
    <w:p w14:paraId="14F2F25B">
      <w:pPr>
        <w:spacing w:line="360" w:lineRule="auto"/>
        <w:ind w:firstLine="718" w:firstLineChars="342"/>
        <w:rPr>
          <w:rFonts w:hint="eastAsia" w:ascii="宋体" w:hAnsi="宋体" w:eastAsia="宋体" w:cs="宋体"/>
          <w:sz w:val="21"/>
          <w:szCs w:val="21"/>
        </w:rPr>
      </w:pPr>
      <w:bookmarkStart w:id="348" w:name="_Toc152042383"/>
      <w:r>
        <w:rPr>
          <w:rFonts w:hint="eastAsia" w:ascii="宋体" w:hAnsi="宋体" w:eastAsia="宋体" w:cs="宋体"/>
          <w:sz w:val="21"/>
          <w:szCs w:val="21"/>
        </w:rPr>
        <w:t>（1）响应文件中的大写金额与小写金额不一致的，以大写金额为准；</w:t>
      </w:r>
      <w:bookmarkEnd w:id="348"/>
    </w:p>
    <w:p w14:paraId="41AD111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（2）总价金额与依据单价计算出的结果不一致的，以单价金额为准修正总价，但单价金额小数点有明显错误的除外。</w:t>
      </w:r>
    </w:p>
    <w:p w14:paraId="6D49DA4B">
      <w:pPr>
        <w:pStyle w:val="60"/>
        <w:spacing w:line="360" w:lineRule="auto"/>
        <w:rPr>
          <w:rFonts w:hint="eastAsia" w:ascii="宋体" w:hAnsi="宋体" w:eastAsia="宋体" w:cs="宋体"/>
          <w:sz w:val="21"/>
          <w:szCs w:val="21"/>
        </w:rPr>
      </w:pPr>
      <w:bookmarkStart w:id="349" w:name="_Toc152042384"/>
      <w:bookmarkStart w:id="350" w:name="_Toc152045606"/>
      <w:bookmarkStart w:id="351" w:name="_Toc179632624"/>
      <w:bookmarkStart w:id="352" w:name="_Toc45177858"/>
      <w:bookmarkStart w:id="353" w:name="_Toc144974573"/>
      <w:bookmarkStart w:id="354" w:name="_Toc12530"/>
      <w:r>
        <w:rPr>
          <w:rFonts w:hint="eastAsia" w:ascii="宋体" w:hAnsi="宋体" w:eastAsia="宋体" w:cs="宋体"/>
          <w:sz w:val="21"/>
          <w:szCs w:val="21"/>
        </w:rPr>
        <w:t>3.2 详细评审</w:t>
      </w:r>
      <w:bookmarkEnd w:id="349"/>
      <w:bookmarkEnd w:id="350"/>
      <w:bookmarkEnd w:id="351"/>
      <w:bookmarkEnd w:id="352"/>
      <w:bookmarkEnd w:id="353"/>
      <w:bookmarkEnd w:id="354"/>
    </w:p>
    <w:p w14:paraId="2C0685A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3.2.1 磋商小组按本章第2.2款规定的量化因素和分值进行打分，并计算出综合评估得分。</w:t>
      </w:r>
    </w:p>
    <w:p w14:paraId="49E80821">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（1）按本章第2.2.4（1）目规定的评审因素和分值对商务标计算出得分A；</w:t>
      </w:r>
    </w:p>
    <w:p w14:paraId="0B9A4B8D">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（2）按本章第2.2.4（2）目规定的评审因素和分值对技术标计算出得分B；</w:t>
      </w:r>
    </w:p>
    <w:p w14:paraId="71235083">
      <w:pPr>
        <w:spacing w:line="360" w:lineRule="auto"/>
        <w:ind w:firstLine="718" w:firstLineChars="342"/>
        <w:rPr>
          <w:rFonts w:hint="eastAsia" w:ascii="宋体" w:hAnsi="宋体" w:eastAsia="宋体" w:cs="宋体"/>
          <w:sz w:val="21"/>
          <w:szCs w:val="21"/>
        </w:rPr>
      </w:pPr>
      <w:r>
        <w:rPr>
          <w:rFonts w:hint="eastAsia" w:ascii="宋体" w:hAnsi="宋体" w:eastAsia="宋体" w:cs="宋体"/>
          <w:sz w:val="21"/>
          <w:szCs w:val="21"/>
        </w:rPr>
        <w:t>（3）按本章第2.2.4（3）目规定的评审因素和分值对综合标计算出得分C。</w:t>
      </w:r>
    </w:p>
    <w:p w14:paraId="4D5D8ED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3.2.2 评分分值计算保留小数点后两位，小数点后第三位“四舍五入”。</w:t>
      </w:r>
    </w:p>
    <w:p w14:paraId="2C6010A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3.2.3 供应商得分=技术标得分+商务标得分+综合标得分。</w:t>
      </w:r>
    </w:p>
    <w:p w14:paraId="49294E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供应商最终得分=各磋商小组打分之和的算数平均值。</w:t>
      </w:r>
    </w:p>
    <w:p w14:paraId="7AE1EF5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3.2.4 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否决其投标。</w:t>
      </w:r>
    </w:p>
    <w:p w14:paraId="6854D1B8">
      <w:pPr>
        <w:pStyle w:val="60"/>
        <w:spacing w:line="360" w:lineRule="auto"/>
        <w:rPr>
          <w:rFonts w:hint="eastAsia" w:ascii="宋体" w:hAnsi="宋体" w:eastAsia="宋体" w:cs="宋体"/>
          <w:sz w:val="21"/>
          <w:szCs w:val="21"/>
        </w:rPr>
      </w:pPr>
      <w:bookmarkStart w:id="355" w:name="_Toc144974575"/>
      <w:bookmarkStart w:id="356" w:name="_Toc13110"/>
      <w:bookmarkStart w:id="357" w:name="_Toc152045607"/>
      <w:bookmarkStart w:id="358" w:name="_Toc152042385"/>
      <w:bookmarkStart w:id="359" w:name="_Toc45177859"/>
      <w:bookmarkStart w:id="360" w:name="_Toc179632625"/>
      <w:r>
        <w:rPr>
          <w:rFonts w:hint="eastAsia" w:ascii="宋体" w:hAnsi="宋体" w:eastAsia="宋体" w:cs="宋体"/>
          <w:sz w:val="21"/>
          <w:szCs w:val="21"/>
        </w:rPr>
        <w:t>3.3 响应文件的澄清</w:t>
      </w:r>
      <w:bookmarkEnd w:id="355"/>
      <w:r>
        <w:rPr>
          <w:rFonts w:hint="eastAsia" w:ascii="宋体" w:hAnsi="宋体" w:eastAsia="宋体" w:cs="宋体"/>
          <w:sz w:val="21"/>
          <w:szCs w:val="21"/>
        </w:rPr>
        <w:t>和补正</w:t>
      </w:r>
      <w:bookmarkEnd w:id="356"/>
      <w:bookmarkEnd w:id="357"/>
      <w:bookmarkEnd w:id="358"/>
      <w:bookmarkEnd w:id="359"/>
      <w:bookmarkEnd w:id="360"/>
    </w:p>
    <w:p w14:paraId="17C46D7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3.3.1在评标过程中，磋商小组可以书面形式要求供应商对所提交响应文件中不明确的内容进行书面澄清或说明，或者对细微偏差进行补正。磋商小组不接受供应商主动提出的澄清、说明或补正。</w:t>
      </w:r>
    </w:p>
    <w:p w14:paraId="560D923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3.3.2 澄清、说明和补正不得改变响应文件的实质性内容（算术性错误修正的除外）。供应商的书面澄清、说明和补正属于响应文件的组成部分。</w:t>
      </w:r>
    </w:p>
    <w:p w14:paraId="1767583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3.3.3 磋商小组对供应商提交的澄清、说明或补正有疑问的，可以要求供应商进一步澄清、说明或补正，直至满足磋商小组的要求。</w:t>
      </w:r>
    </w:p>
    <w:p w14:paraId="565DBDBC">
      <w:pPr>
        <w:pStyle w:val="60"/>
        <w:spacing w:line="360" w:lineRule="auto"/>
        <w:rPr>
          <w:rFonts w:hint="eastAsia" w:ascii="宋体" w:hAnsi="宋体" w:eastAsia="宋体" w:cs="宋体"/>
          <w:sz w:val="21"/>
          <w:szCs w:val="21"/>
        </w:rPr>
      </w:pPr>
      <w:bookmarkStart w:id="361" w:name="_Toc179632626"/>
      <w:bookmarkStart w:id="362" w:name="_Toc152042386"/>
      <w:bookmarkStart w:id="363" w:name="_Toc144974576"/>
      <w:bookmarkStart w:id="364" w:name="_Toc45177860"/>
      <w:bookmarkStart w:id="365" w:name="_Toc152045608"/>
      <w:bookmarkStart w:id="366" w:name="_Toc11951"/>
      <w:r>
        <w:rPr>
          <w:rFonts w:hint="eastAsia" w:ascii="宋体" w:hAnsi="宋体" w:eastAsia="宋体" w:cs="宋体"/>
          <w:sz w:val="21"/>
          <w:szCs w:val="21"/>
        </w:rPr>
        <w:t>3.4 评标结果</w:t>
      </w:r>
      <w:bookmarkEnd w:id="361"/>
      <w:bookmarkEnd w:id="362"/>
      <w:bookmarkEnd w:id="363"/>
      <w:bookmarkEnd w:id="364"/>
      <w:bookmarkEnd w:id="365"/>
      <w:bookmarkEnd w:id="366"/>
    </w:p>
    <w:p w14:paraId="5C46213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3.4.1除第二章“供应商须知”前附表授权直接确定成交人外，磋商小组按照得分由高到低的顺序推荐中标候选人。</w:t>
      </w:r>
    </w:p>
    <w:p w14:paraId="09FD6F6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3.4.2 磋商小组完成评标后，应当向采购人提交书面评标报告。</w:t>
      </w:r>
    </w:p>
    <w:p w14:paraId="7B39A269">
      <w:pPr>
        <w:pStyle w:val="59"/>
        <w:spacing w:line="360" w:lineRule="auto"/>
        <w:rPr>
          <w:rFonts w:hint="eastAsia" w:ascii="宋体" w:hAnsi="宋体" w:eastAsia="宋体" w:cs="宋体"/>
          <w:sz w:val="21"/>
          <w:szCs w:val="21"/>
        </w:rPr>
      </w:pPr>
      <w:bookmarkStart w:id="367" w:name="_Toc45177861"/>
      <w:bookmarkStart w:id="368" w:name="_Toc1825"/>
      <w:bookmarkStart w:id="369" w:name="_Toc29158"/>
      <w:r>
        <w:rPr>
          <w:rFonts w:hint="eastAsia" w:ascii="宋体" w:hAnsi="宋体" w:eastAsia="宋体" w:cs="宋体"/>
          <w:sz w:val="21"/>
          <w:szCs w:val="21"/>
        </w:rPr>
        <w:t>4. 无效标条件</w:t>
      </w:r>
      <w:bookmarkEnd w:id="367"/>
      <w:bookmarkEnd w:id="368"/>
      <w:bookmarkEnd w:id="369"/>
    </w:p>
    <w:p w14:paraId="1F170B89">
      <w:pPr>
        <w:pStyle w:val="32"/>
        <w:spacing w:line="360" w:lineRule="auto"/>
        <w:ind w:firstLine="210"/>
        <w:rPr>
          <w:rFonts w:hint="eastAsia" w:ascii="宋体" w:hAnsi="宋体" w:eastAsia="宋体" w:cs="宋体"/>
          <w:szCs w:val="21"/>
        </w:rPr>
      </w:pPr>
      <w:r>
        <w:rPr>
          <w:rFonts w:hint="eastAsia" w:ascii="宋体" w:hAnsi="宋体" w:eastAsia="宋体" w:cs="宋体"/>
          <w:szCs w:val="21"/>
        </w:rPr>
        <w:t>供应商或其响应文件有下列情形之一的，其投标作无效标处理：</w:t>
      </w:r>
    </w:p>
    <w:p w14:paraId="1B5D83FD">
      <w:pPr>
        <w:pStyle w:val="32"/>
        <w:spacing w:line="360" w:lineRule="auto"/>
        <w:ind w:firstLine="210"/>
        <w:rPr>
          <w:rFonts w:hint="eastAsia" w:ascii="宋体" w:hAnsi="宋体" w:eastAsia="宋体" w:cs="宋体"/>
          <w:szCs w:val="21"/>
        </w:rPr>
      </w:pPr>
      <w:r>
        <w:rPr>
          <w:rFonts w:hint="eastAsia" w:ascii="宋体" w:hAnsi="宋体" w:eastAsia="宋体" w:cs="宋体"/>
          <w:szCs w:val="21"/>
        </w:rPr>
        <w:t>4.1 有第二章“供应商须知”第1.4.3项规定的任何一种情形的。</w:t>
      </w:r>
    </w:p>
    <w:p w14:paraId="4AD640DF">
      <w:pPr>
        <w:pStyle w:val="32"/>
        <w:spacing w:line="360" w:lineRule="auto"/>
        <w:ind w:firstLine="210"/>
        <w:rPr>
          <w:rFonts w:hint="eastAsia" w:ascii="宋体" w:hAnsi="宋体" w:eastAsia="宋体" w:cs="宋体"/>
          <w:szCs w:val="21"/>
        </w:rPr>
      </w:pPr>
      <w:r>
        <w:rPr>
          <w:rFonts w:hint="eastAsia" w:ascii="宋体" w:hAnsi="宋体" w:eastAsia="宋体" w:cs="宋体"/>
          <w:szCs w:val="21"/>
        </w:rPr>
        <w:t>4.2 有串通投标或弄虚作假或有其他违法行为的。</w:t>
      </w:r>
    </w:p>
    <w:p w14:paraId="75C2B428">
      <w:pPr>
        <w:pStyle w:val="32"/>
        <w:spacing w:line="360" w:lineRule="auto"/>
        <w:ind w:firstLine="210"/>
        <w:rPr>
          <w:rFonts w:hint="eastAsia" w:ascii="宋体" w:hAnsi="宋体" w:eastAsia="宋体" w:cs="宋体"/>
          <w:szCs w:val="21"/>
        </w:rPr>
      </w:pPr>
      <w:r>
        <w:rPr>
          <w:rFonts w:hint="eastAsia" w:ascii="宋体" w:hAnsi="宋体" w:eastAsia="宋体" w:cs="宋体"/>
          <w:szCs w:val="21"/>
        </w:rPr>
        <w:t>4.3 不按磋商小组要求澄清、说明或补正的。</w:t>
      </w:r>
    </w:p>
    <w:p w14:paraId="67D4CC05">
      <w:pPr>
        <w:pStyle w:val="32"/>
        <w:spacing w:line="360" w:lineRule="auto"/>
        <w:ind w:firstLine="210"/>
        <w:rPr>
          <w:rFonts w:hint="eastAsia" w:ascii="宋体" w:hAnsi="宋体" w:eastAsia="宋体" w:cs="宋体"/>
          <w:szCs w:val="21"/>
        </w:rPr>
      </w:pPr>
      <w:r>
        <w:rPr>
          <w:rFonts w:hint="eastAsia" w:ascii="宋体" w:hAnsi="宋体" w:eastAsia="宋体" w:cs="宋体"/>
          <w:szCs w:val="21"/>
        </w:rPr>
        <w:t>4.4 在形式评审、资格评审、响应性评审中，磋商小组认定供应商的响应文件不符合评标办法前附表中规定的任何一项评审标准的。</w:t>
      </w:r>
    </w:p>
    <w:p w14:paraId="38547F65">
      <w:pPr>
        <w:pStyle w:val="32"/>
        <w:spacing w:line="360" w:lineRule="auto"/>
        <w:ind w:firstLine="210"/>
        <w:rPr>
          <w:rFonts w:hint="eastAsia" w:ascii="宋体" w:hAnsi="宋体" w:eastAsia="宋体" w:cs="宋体"/>
          <w:szCs w:val="21"/>
        </w:rPr>
      </w:pPr>
      <w:r>
        <w:rPr>
          <w:rFonts w:hint="eastAsia" w:ascii="宋体" w:hAnsi="宋体" w:eastAsia="宋体" w:cs="宋体"/>
          <w:szCs w:val="21"/>
        </w:rPr>
        <w:t>4.5 磋商小组认定供应商以低于成本报价竞标的。</w:t>
      </w:r>
    </w:p>
    <w:p w14:paraId="1FB5C98D">
      <w:pPr>
        <w:rPr>
          <w:rFonts w:hint="eastAsia" w:ascii="宋体" w:hAnsi="宋体" w:eastAsia="宋体" w:cs="宋体"/>
          <w:b/>
          <w:sz w:val="32"/>
        </w:rPr>
      </w:pPr>
      <w:bookmarkStart w:id="370" w:name="_Toc31883"/>
      <w:bookmarkStart w:id="371" w:name="_Toc45177862"/>
      <w:r>
        <w:rPr>
          <w:rFonts w:hint="eastAsia" w:ascii="宋体" w:hAnsi="宋体" w:eastAsia="宋体" w:cs="宋体"/>
          <w:b/>
          <w:sz w:val="32"/>
        </w:rPr>
        <w:br w:type="page"/>
      </w:r>
    </w:p>
    <w:p w14:paraId="77761206">
      <w:pPr>
        <w:jc w:val="center"/>
        <w:outlineLvl w:val="0"/>
        <w:rPr>
          <w:rFonts w:hint="eastAsia" w:ascii="宋体" w:hAnsi="宋体" w:eastAsia="宋体" w:cs="宋体"/>
          <w:b/>
          <w:sz w:val="32"/>
        </w:rPr>
      </w:pPr>
      <w:bookmarkStart w:id="372" w:name="_Toc5180"/>
      <w:r>
        <w:rPr>
          <w:rFonts w:hint="eastAsia" w:ascii="宋体" w:hAnsi="宋体" w:eastAsia="宋体" w:cs="宋体"/>
          <w:b/>
          <w:sz w:val="32"/>
        </w:rPr>
        <w:t>第四章  合同条款及格式</w:t>
      </w:r>
      <w:bookmarkEnd w:id="370"/>
      <w:bookmarkEnd w:id="371"/>
      <w:bookmarkEnd w:id="372"/>
    </w:p>
    <w:p w14:paraId="72AAD793">
      <w:pPr>
        <w:adjustRightInd w:val="0"/>
        <w:snapToGrid w:val="0"/>
        <w:spacing w:line="420" w:lineRule="exact"/>
        <w:ind w:firstLine="485" w:firstLineChars="230"/>
        <w:jc w:val="center"/>
        <w:rPr>
          <w:rFonts w:hint="eastAsia" w:ascii="宋体" w:hAnsi="宋体" w:eastAsia="宋体" w:cs="宋体"/>
          <w:b/>
          <w:sz w:val="21"/>
          <w:szCs w:val="21"/>
        </w:rPr>
      </w:pPr>
      <w:bookmarkStart w:id="373" w:name="_Toc6896247"/>
      <w:r>
        <w:rPr>
          <w:rFonts w:hint="eastAsia" w:ascii="宋体" w:hAnsi="宋体" w:eastAsia="宋体" w:cs="宋体"/>
          <w:b/>
          <w:sz w:val="21"/>
          <w:szCs w:val="21"/>
        </w:rPr>
        <w:t>（仅供参考，以实际签订为准）</w:t>
      </w:r>
    </w:p>
    <w:p w14:paraId="6F8CEBC9">
      <w:pPr>
        <w:pStyle w:val="33"/>
        <w:ind w:left="480"/>
        <w:rPr>
          <w:rFonts w:hint="eastAsia" w:ascii="宋体" w:hAnsi="宋体" w:eastAsia="宋体" w:cs="宋体"/>
        </w:rPr>
      </w:pPr>
    </w:p>
    <w:p w14:paraId="78819AA7">
      <w:pPr>
        <w:adjustRightInd w:val="0"/>
        <w:snapToGrid w:val="0"/>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lang w:eastAsia="zh-CN"/>
        </w:rPr>
        <w:t>甲方</w:t>
      </w:r>
      <w:r>
        <w:rPr>
          <w:rFonts w:hint="eastAsia" w:ascii="宋体" w:hAnsi="宋体" w:eastAsia="宋体" w:cs="宋体"/>
          <w:b/>
          <w:sz w:val="21"/>
          <w:szCs w:val="21"/>
        </w:rPr>
        <w:t>（全称）：</w:t>
      </w:r>
      <w:r>
        <w:rPr>
          <w:rFonts w:hint="eastAsia" w:ascii="宋体" w:hAnsi="宋体" w:eastAsia="宋体" w:cs="宋体"/>
          <w:b/>
          <w:bCs/>
          <w:sz w:val="21"/>
          <w:szCs w:val="21"/>
          <w:u w:val="single"/>
          <w:lang w:val="en-US" w:eastAsia="zh-CN"/>
        </w:rPr>
        <w:t xml:space="preserve">中共平顶山市新华区委政法委员会 </w:t>
      </w:r>
    </w:p>
    <w:p w14:paraId="465905FC">
      <w:pPr>
        <w:adjustRightInd w:val="0"/>
        <w:snapToGrid w:val="0"/>
        <w:spacing w:line="360" w:lineRule="auto"/>
        <w:ind w:firstLine="422" w:firstLineChars="200"/>
        <w:rPr>
          <w:rFonts w:hint="default" w:ascii="宋体" w:hAnsi="宋体" w:eastAsia="宋体" w:cs="宋体"/>
          <w:sz w:val="21"/>
          <w:szCs w:val="21"/>
          <w:u w:val="single"/>
          <w:lang w:val="en-US"/>
        </w:rPr>
      </w:pPr>
      <w:r>
        <w:rPr>
          <w:rFonts w:hint="eastAsia" w:ascii="宋体" w:hAnsi="宋体" w:eastAsia="宋体" w:cs="宋体"/>
          <w:b/>
          <w:sz w:val="21"/>
          <w:szCs w:val="21"/>
          <w:lang w:eastAsia="zh-CN"/>
        </w:rPr>
        <w:t>乙方</w:t>
      </w:r>
      <w:r>
        <w:rPr>
          <w:rFonts w:hint="eastAsia" w:ascii="宋体" w:hAnsi="宋体" w:eastAsia="宋体" w:cs="宋体"/>
          <w:b/>
          <w:sz w:val="21"/>
          <w:szCs w:val="21"/>
        </w:rPr>
        <w:t>（全称）：</w:t>
      </w:r>
      <w:r>
        <w:rPr>
          <w:rFonts w:hint="eastAsia" w:ascii="宋体" w:hAnsi="宋体" w:eastAsia="宋体" w:cs="宋体"/>
          <w:b/>
          <w:sz w:val="21"/>
          <w:szCs w:val="21"/>
          <w:u w:val="single"/>
          <w:lang w:val="en-US" w:eastAsia="zh-CN"/>
        </w:rPr>
        <w:t xml:space="preserve">                               </w:t>
      </w:r>
    </w:p>
    <w:p w14:paraId="303BD4B9">
      <w:pPr>
        <w:spacing w:line="360" w:lineRule="auto"/>
        <w:ind w:left="271" w:leftChars="113" w:firstLine="405" w:firstLineChars="193"/>
        <w:jc w:val="lef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进一步深化平安新华区建设，推进社会治安综合保险工作，切实维护社会和广大人民群众根本利益，不断提高公众安全感和执法满意度，根据《中国人民共和国民法典》、《中国人民共和国保险法》及其他法律法规的规定，遵循平等、自愿、公平和诚信的原则，双方就下述项目与相关服务事项协商一致，订立本保险合同。</w:t>
      </w:r>
    </w:p>
    <w:p w14:paraId="3E6D8E25">
      <w:pPr>
        <w:spacing w:line="360" w:lineRule="auto"/>
        <w:jc w:val="left"/>
        <w:outlineLvl w:val="1"/>
        <w:rPr>
          <w:rFonts w:hint="eastAsia" w:ascii="宋体" w:hAnsi="宋体" w:eastAsia="宋体" w:cs="宋体"/>
          <w:b/>
          <w:bCs/>
          <w:sz w:val="21"/>
          <w:szCs w:val="21"/>
          <w:u w:val="none"/>
          <w:lang w:val="en-US" w:eastAsia="zh-CN"/>
        </w:rPr>
      </w:pPr>
      <w:bookmarkStart w:id="374" w:name="_Toc26472_WPSOffice_Level1"/>
      <w:bookmarkStart w:id="375" w:name="_Toc19989_WPSOffice_Level1"/>
      <w:r>
        <w:rPr>
          <w:rFonts w:hint="eastAsia" w:ascii="宋体" w:hAnsi="宋体" w:eastAsia="宋体" w:cs="宋体"/>
          <w:b/>
          <w:bCs/>
          <w:sz w:val="21"/>
          <w:szCs w:val="21"/>
          <w:u w:val="none"/>
          <w:lang w:val="en-US" w:eastAsia="zh-CN"/>
        </w:rPr>
        <w:t>一、项目概况</w:t>
      </w:r>
      <w:bookmarkEnd w:id="374"/>
      <w:bookmarkEnd w:id="375"/>
    </w:p>
    <w:p w14:paraId="113EDDAE">
      <w:pPr>
        <w:spacing w:line="360" w:lineRule="auto"/>
        <w:ind w:left="271" w:leftChars="113" w:firstLine="405" w:firstLineChars="193"/>
        <w:jc w:val="left"/>
        <w:rPr>
          <w:rFonts w:hint="eastAsia" w:ascii="宋体" w:hAnsi="宋体" w:eastAsia="宋体" w:cs="宋体"/>
          <w:sz w:val="21"/>
          <w:szCs w:val="21"/>
          <w:u w:val="single"/>
          <w:lang w:val="en-US" w:eastAsia="zh-CN"/>
        </w:rPr>
      </w:pPr>
      <w:bookmarkStart w:id="376" w:name="_Toc3769_WPSOffice_Level2"/>
      <w:r>
        <w:rPr>
          <w:rFonts w:hint="eastAsia" w:ascii="宋体" w:hAnsi="宋体" w:eastAsia="宋体" w:cs="宋体"/>
          <w:sz w:val="21"/>
          <w:szCs w:val="21"/>
          <w:u w:val="none"/>
          <w:lang w:val="en-US" w:eastAsia="zh-CN"/>
        </w:rPr>
        <w:t>1.项目名称</w:t>
      </w:r>
      <w:r>
        <w:rPr>
          <w:rFonts w:hint="eastAsia" w:ascii="宋体" w:hAnsi="宋体" w:eastAsia="宋体" w:cs="宋体"/>
          <w:sz w:val="21"/>
          <w:szCs w:val="21"/>
        </w:rPr>
        <w:t>：</w:t>
      </w:r>
      <w:bookmarkEnd w:id="376"/>
      <w:r>
        <w:rPr>
          <w:rFonts w:hint="eastAsia" w:ascii="宋体" w:hAnsi="宋体" w:eastAsia="宋体" w:cs="宋体"/>
          <w:sz w:val="21"/>
          <w:szCs w:val="21"/>
          <w:u w:val="single"/>
          <w:lang w:val="en-US" w:eastAsia="zh-CN"/>
        </w:rPr>
        <w:t xml:space="preserve">中共平顶山市新华区委政法委员会新华区平安家园民生综合保险项目                                                </w:t>
      </w:r>
    </w:p>
    <w:p w14:paraId="77F76257">
      <w:pPr>
        <w:spacing w:line="360" w:lineRule="auto"/>
        <w:ind w:left="271" w:leftChars="113" w:firstLine="405" w:firstLineChars="193"/>
        <w:jc w:val="left"/>
        <w:rPr>
          <w:rFonts w:hint="eastAsia" w:ascii="宋体" w:hAnsi="宋体" w:eastAsia="宋体" w:cs="宋体"/>
          <w:sz w:val="21"/>
          <w:szCs w:val="21"/>
          <w:u w:val="single"/>
          <w:lang w:val="en-US" w:eastAsia="zh-CN"/>
        </w:rPr>
      </w:pPr>
      <w:bookmarkStart w:id="377" w:name="_Toc5209_WPSOffice_Level2"/>
      <w:r>
        <w:rPr>
          <w:rFonts w:hint="eastAsia" w:ascii="宋体" w:hAnsi="宋体" w:eastAsia="宋体" w:cs="宋体"/>
          <w:sz w:val="21"/>
          <w:szCs w:val="21"/>
        </w:rPr>
        <w:t>2.</w:t>
      </w:r>
      <w:r>
        <w:rPr>
          <w:rFonts w:hint="eastAsia" w:ascii="宋体" w:hAnsi="宋体" w:eastAsia="宋体" w:cs="宋体"/>
          <w:sz w:val="21"/>
          <w:szCs w:val="21"/>
          <w:lang w:eastAsia="zh-CN"/>
        </w:rPr>
        <w:t>标段名称：</w:t>
      </w:r>
      <w:bookmarkEnd w:id="377"/>
      <w:r>
        <w:rPr>
          <w:rFonts w:hint="eastAsia" w:ascii="宋体" w:hAnsi="宋体" w:eastAsia="宋体" w:cs="宋体"/>
          <w:sz w:val="21"/>
          <w:szCs w:val="21"/>
          <w:u w:val="single"/>
          <w:lang w:val="en-US" w:eastAsia="zh-CN"/>
        </w:rPr>
        <w:t xml:space="preserve">                                                            </w:t>
      </w:r>
    </w:p>
    <w:p w14:paraId="3B089975">
      <w:pPr>
        <w:spacing w:line="360" w:lineRule="auto"/>
        <w:ind w:left="271" w:leftChars="113" w:firstLine="405" w:firstLineChars="193"/>
        <w:jc w:val="left"/>
        <w:rPr>
          <w:rFonts w:hint="eastAsia" w:ascii="宋体" w:hAnsi="宋体" w:eastAsia="宋体" w:cs="宋体"/>
          <w:sz w:val="21"/>
          <w:szCs w:val="21"/>
          <w:u w:val="single"/>
          <w:lang w:val="en-US" w:eastAsia="zh-CN"/>
        </w:rPr>
      </w:pPr>
      <w:bookmarkStart w:id="378" w:name="_Toc12950_WPSOffice_Level2"/>
      <w:r>
        <w:rPr>
          <w:rFonts w:hint="eastAsia" w:ascii="宋体" w:hAnsi="宋体" w:eastAsia="宋体" w:cs="宋体"/>
          <w:sz w:val="21"/>
          <w:szCs w:val="21"/>
          <w:lang w:val="en-US" w:eastAsia="zh-CN"/>
        </w:rPr>
        <w:t>3.投保主体</w:t>
      </w:r>
      <w:r>
        <w:rPr>
          <w:rFonts w:hint="eastAsia" w:ascii="宋体" w:hAnsi="宋体" w:eastAsia="宋体" w:cs="宋体"/>
          <w:sz w:val="21"/>
          <w:szCs w:val="21"/>
          <w:lang w:eastAsia="zh-CN"/>
        </w:rPr>
        <w:t>：</w:t>
      </w:r>
      <w:r>
        <w:rPr>
          <w:rFonts w:hint="eastAsia" w:ascii="宋体" w:hAnsi="宋体" w:eastAsia="宋体" w:cs="宋体"/>
          <w:sz w:val="21"/>
          <w:szCs w:val="21"/>
          <w:u w:val="single"/>
          <w:lang w:eastAsia="zh-CN"/>
        </w:rPr>
        <w:t>中共平顶山市新华区委政法委员会</w:t>
      </w:r>
      <w:bookmarkEnd w:id="378"/>
      <w:r>
        <w:rPr>
          <w:rFonts w:hint="eastAsia" w:ascii="宋体" w:hAnsi="宋体" w:eastAsia="宋体" w:cs="宋体"/>
          <w:sz w:val="21"/>
          <w:szCs w:val="21"/>
          <w:u w:val="single"/>
          <w:lang w:val="en-US" w:eastAsia="zh-CN"/>
        </w:rPr>
        <w:t xml:space="preserve">                           </w:t>
      </w:r>
    </w:p>
    <w:p w14:paraId="6083E49D">
      <w:pPr>
        <w:spacing w:line="360" w:lineRule="auto"/>
        <w:ind w:left="271" w:leftChars="113" w:firstLine="405" w:firstLineChars="193"/>
        <w:jc w:val="left"/>
        <w:rPr>
          <w:rFonts w:hint="eastAsia" w:ascii="宋体" w:hAnsi="宋体" w:eastAsia="宋体" w:cs="宋体"/>
          <w:sz w:val="21"/>
          <w:szCs w:val="21"/>
          <w:u w:val="single"/>
          <w:lang w:val="en-US" w:eastAsia="zh-CN"/>
        </w:rPr>
      </w:pPr>
      <w:bookmarkStart w:id="379" w:name="_Toc27705_WPSOffice_Level2"/>
      <w:r>
        <w:rPr>
          <w:rFonts w:hint="eastAsia" w:ascii="宋体" w:hAnsi="宋体" w:eastAsia="宋体" w:cs="宋体"/>
          <w:sz w:val="21"/>
          <w:szCs w:val="21"/>
          <w:u w:val="none"/>
          <w:lang w:val="en-US" w:eastAsia="zh-CN"/>
        </w:rPr>
        <w:t>4.保险类别：</w:t>
      </w:r>
      <w:bookmarkEnd w:id="379"/>
      <w:r>
        <w:rPr>
          <w:rFonts w:hint="eastAsia" w:ascii="宋体" w:hAnsi="宋体" w:eastAsia="宋体" w:cs="宋体"/>
          <w:sz w:val="21"/>
          <w:szCs w:val="21"/>
          <w:u w:val="single"/>
          <w:lang w:val="en-US" w:eastAsia="zh-CN"/>
        </w:rPr>
        <w:t xml:space="preserve">新华区平安家园民生综合保险                              </w:t>
      </w:r>
    </w:p>
    <w:p w14:paraId="03160237">
      <w:pPr>
        <w:spacing w:line="360" w:lineRule="auto"/>
        <w:ind w:left="271" w:leftChars="113" w:firstLine="405" w:firstLineChars="193"/>
        <w:jc w:val="left"/>
        <w:rPr>
          <w:rFonts w:hint="eastAsia" w:ascii="宋体" w:hAnsi="宋体" w:eastAsia="宋体" w:cs="宋体"/>
          <w:sz w:val="21"/>
          <w:szCs w:val="21"/>
          <w:u w:val="none"/>
          <w:lang w:val="en-US" w:eastAsia="zh-CN"/>
        </w:rPr>
      </w:pPr>
      <w:bookmarkStart w:id="380" w:name="_Toc23857_WPSOffice_Level2"/>
      <w:r>
        <w:rPr>
          <w:rFonts w:hint="eastAsia" w:ascii="宋体" w:hAnsi="宋体" w:eastAsia="宋体" w:cs="宋体"/>
          <w:sz w:val="21"/>
          <w:szCs w:val="21"/>
          <w:u w:val="none"/>
          <w:lang w:val="en-US" w:eastAsia="zh-CN"/>
        </w:rPr>
        <w:t>5.保险责任范围:</w:t>
      </w:r>
      <w:bookmarkEnd w:id="380"/>
      <w:r>
        <w:rPr>
          <w:rFonts w:hint="eastAsia" w:ascii="宋体" w:hAnsi="宋体" w:eastAsia="宋体" w:cs="宋体"/>
          <w:sz w:val="21"/>
          <w:szCs w:val="21"/>
          <w:u w:val="none"/>
          <w:lang w:val="en-US" w:eastAsia="zh-CN"/>
        </w:rPr>
        <w:t xml:space="preserve"> </w:t>
      </w:r>
    </w:p>
    <w:p w14:paraId="63FCEEBB">
      <w:pPr>
        <w:spacing w:line="360" w:lineRule="auto"/>
        <w:ind w:left="271" w:leftChars="113" w:firstLine="405" w:firstLineChars="193"/>
        <w:jc w:val="left"/>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一标段：以光明路为界，以东为第一标段，矿工路街道、中兴路街道、光明路街道、湛北路街道4个街道辖区境内的平安家园民生综合保险业务。</w:t>
      </w:r>
    </w:p>
    <w:p w14:paraId="2164F229">
      <w:pPr>
        <w:spacing w:line="360" w:lineRule="auto"/>
        <w:ind w:left="271" w:leftChars="113" w:firstLine="405" w:firstLineChars="193"/>
        <w:jc w:val="left"/>
        <w:rPr>
          <w:rFonts w:hint="eastAsia" w:ascii="宋体" w:hAnsi="宋体" w:eastAsia="宋体" w:cs="宋体"/>
          <w:sz w:val="21"/>
          <w:szCs w:val="21"/>
          <w:u w:val="single"/>
          <w:lang w:val="en-US" w:eastAsia="zh-CN"/>
        </w:rPr>
      </w:pPr>
      <w:r>
        <w:rPr>
          <w:rFonts w:hint="eastAsia" w:ascii="宋体" w:hAnsi="宋体" w:eastAsia="宋体" w:cs="宋体"/>
          <w:sz w:val="21"/>
          <w:szCs w:val="21"/>
          <w:highlight w:val="none"/>
          <w:u w:val="single"/>
          <w:lang w:val="en-US" w:eastAsia="zh-CN"/>
        </w:rPr>
        <w:t>二标段：以光明路为界，以西为第二标段，曙光街、西市场、西高皇、焦店、新新街、青石山、香山7个镇街道辖区境内</w:t>
      </w:r>
      <w:r>
        <w:rPr>
          <w:rFonts w:hint="eastAsia" w:ascii="宋体" w:hAnsi="宋体" w:eastAsia="宋体" w:cs="宋体"/>
          <w:sz w:val="21"/>
          <w:szCs w:val="21"/>
          <w:u w:val="single"/>
          <w:lang w:val="en-US" w:eastAsia="zh-CN"/>
        </w:rPr>
        <w:t>的平安家园民生综合保险业务</w:t>
      </w:r>
      <w:r>
        <w:rPr>
          <w:rFonts w:hint="eastAsia" w:ascii="宋体" w:hAnsi="宋体" w:eastAsia="宋体" w:cs="宋体"/>
          <w:sz w:val="21"/>
          <w:szCs w:val="21"/>
          <w:highlight w:val="none"/>
          <w:u w:val="single"/>
          <w:lang w:val="en-US" w:eastAsia="zh-CN"/>
        </w:rPr>
        <w:t>。</w:t>
      </w:r>
    </w:p>
    <w:p w14:paraId="68BE462F">
      <w:pPr>
        <w:adjustRightInd w:val="0"/>
        <w:snapToGrid w:val="0"/>
        <w:spacing w:line="360" w:lineRule="auto"/>
        <w:outlineLvl w:val="1"/>
        <w:rPr>
          <w:rFonts w:hint="eastAsia" w:ascii="宋体" w:hAnsi="宋体" w:eastAsia="宋体" w:cs="宋体"/>
          <w:b/>
          <w:bCs/>
          <w:sz w:val="21"/>
          <w:szCs w:val="21"/>
        </w:rPr>
      </w:pPr>
      <w:bookmarkStart w:id="381" w:name="_Toc27127_WPSOffice_Level1"/>
      <w:bookmarkStart w:id="382" w:name="_Toc3769_WPSOffice_Level1"/>
      <w:r>
        <w:rPr>
          <w:rFonts w:hint="eastAsia" w:ascii="宋体" w:hAnsi="宋体" w:eastAsia="宋体" w:cs="宋体"/>
          <w:b/>
          <w:bCs/>
          <w:sz w:val="21"/>
          <w:szCs w:val="21"/>
          <w:lang w:eastAsia="zh-CN"/>
        </w:rPr>
        <w:t>二</w:t>
      </w:r>
      <w:r>
        <w:rPr>
          <w:rFonts w:hint="eastAsia" w:ascii="宋体" w:hAnsi="宋体" w:eastAsia="宋体" w:cs="宋体"/>
          <w:b/>
          <w:bCs/>
          <w:sz w:val="21"/>
          <w:szCs w:val="21"/>
        </w:rPr>
        <w:t>、组成本合同的文件</w:t>
      </w:r>
      <w:bookmarkEnd w:id="381"/>
      <w:bookmarkEnd w:id="382"/>
    </w:p>
    <w:p w14:paraId="0E85A8A7">
      <w:pPr>
        <w:adjustRightInd w:val="0"/>
        <w:snapToGrid w:val="0"/>
        <w:spacing w:line="360" w:lineRule="auto"/>
        <w:ind w:firstLine="415" w:firstLineChars="198"/>
        <w:rPr>
          <w:rFonts w:hint="eastAsia" w:ascii="宋体" w:hAnsi="宋体" w:eastAsia="宋体" w:cs="宋体"/>
          <w:sz w:val="21"/>
          <w:szCs w:val="21"/>
        </w:rPr>
      </w:pPr>
      <w:bookmarkStart w:id="383" w:name="_Toc24529_WPSOffice_Level2"/>
      <w:r>
        <w:rPr>
          <w:rFonts w:hint="eastAsia" w:ascii="宋体" w:hAnsi="宋体" w:eastAsia="宋体" w:cs="宋体"/>
          <w:sz w:val="21"/>
          <w:szCs w:val="21"/>
        </w:rPr>
        <w:t>1.协议书；</w:t>
      </w:r>
      <w:bookmarkEnd w:id="383"/>
    </w:p>
    <w:p w14:paraId="4A0979A6">
      <w:pPr>
        <w:adjustRightInd w:val="0"/>
        <w:snapToGrid w:val="0"/>
        <w:spacing w:line="360" w:lineRule="auto"/>
        <w:ind w:firstLine="415" w:firstLineChars="198"/>
        <w:rPr>
          <w:rFonts w:hint="eastAsia" w:ascii="宋体" w:hAnsi="宋体" w:eastAsia="宋体" w:cs="宋体"/>
          <w:sz w:val="21"/>
          <w:szCs w:val="21"/>
        </w:rPr>
      </w:pPr>
      <w:bookmarkStart w:id="384" w:name="_Toc2501_WPSOffice_Level2"/>
      <w:r>
        <w:rPr>
          <w:rFonts w:hint="eastAsia" w:ascii="宋体" w:hAnsi="宋体" w:eastAsia="宋体" w:cs="宋体"/>
          <w:sz w:val="21"/>
          <w:szCs w:val="21"/>
        </w:rPr>
        <w:t>2.中标通知书；</w:t>
      </w:r>
      <w:bookmarkEnd w:id="384"/>
    </w:p>
    <w:p w14:paraId="7DF978A5">
      <w:pPr>
        <w:adjustRightInd w:val="0"/>
        <w:snapToGrid w:val="0"/>
        <w:spacing w:line="360" w:lineRule="auto"/>
        <w:ind w:firstLine="415" w:firstLineChars="198"/>
        <w:rPr>
          <w:rFonts w:hint="eastAsia" w:ascii="宋体" w:hAnsi="宋体" w:eastAsia="宋体" w:cs="宋体"/>
          <w:sz w:val="21"/>
          <w:szCs w:val="21"/>
        </w:rPr>
      </w:pPr>
      <w:bookmarkStart w:id="385" w:name="_Toc7970_WPSOffice_Level2"/>
      <w:r>
        <w:rPr>
          <w:rFonts w:hint="eastAsia" w:ascii="宋体" w:hAnsi="宋体" w:eastAsia="宋体" w:cs="宋体"/>
          <w:sz w:val="21"/>
          <w:szCs w:val="21"/>
        </w:rPr>
        <w:t>3.投标文件；</w:t>
      </w:r>
      <w:bookmarkEnd w:id="385"/>
    </w:p>
    <w:p w14:paraId="2F898A1E">
      <w:pPr>
        <w:adjustRightInd w:val="0"/>
        <w:snapToGrid w:val="0"/>
        <w:spacing w:line="360" w:lineRule="auto"/>
        <w:ind w:firstLine="415" w:firstLineChars="198"/>
        <w:rPr>
          <w:rFonts w:hint="eastAsia" w:ascii="宋体" w:hAnsi="宋体" w:eastAsia="宋体" w:cs="宋体"/>
          <w:sz w:val="21"/>
          <w:szCs w:val="21"/>
        </w:rPr>
      </w:pPr>
      <w:bookmarkStart w:id="386" w:name="_Toc27471_WPSOffice_Level2"/>
      <w:r>
        <w:rPr>
          <w:rFonts w:hint="eastAsia" w:ascii="宋体" w:hAnsi="宋体" w:eastAsia="宋体" w:cs="宋体"/>
          <w:sz w:val="21"/>
          <w:szCs w:val="21"/>
        </w:rPr>
        <w:t>4.</w:t>
      </w:r>
      <w:r>
        <w:rPr>
          <w:rFonts w:hint="eastAsia" w:ascii="宋体" w:hAnsi="宋体" w:eastAsia="宋体" w:cs="宋体"/>
          <w:sz w:val="21"/>
          <w:szCs w:val="21"/>
          <w:lang w:eastAsia="zh-CN"/>
        </w:rPr>
        <w:t>招标文件</w:t>
      </w:r>
      <w:r>
        <w:rPr>
          <w:rFonts w:hint="eastAsia" w:ascii="宋体" w:hAnsi="宋体" w:eastAsia="宋体" w:cs="宋体"/>
          <w:sz w:val="21"/>
          <w:szCs w:val="21"/>
        </w:rPr>
        <w:t>；</w:t>
      </w:r>
      <w:bookmarkEnd w:id="386"/>
    </w:p>
    <w:p w14:paraId="2321A97D">
      <w:pPr>
        <w:adjustRightInd w:val="0"/>
        <w:snapToGrid w:val="0"/>
        <w:spacing w:line="360" w:lineRule="auto"/>
        <w:ind w:firstLine="415" w:firstLineChars="198"/>
        <w:rPr>
          <w:rFonts w:hint="eastAsia" w:ascii="宋体" w:hAnsi="宋体" w:eastAsia="宋体" w:cs="宋体"/>
          <w:sz w:val="21"/>
          <w:szCs w:val="21"/>
          <w:lang w:eastAsia="zh-CN"/>
        </w:rPr>
      </w:pPr>
      <w:bookmarkStart w:id="387" w:name="_Toc20521_WPSOffice_Level2"/>
      <w:r>
        <w:rPr>
          <w:rFonts w:hint="eastAsia" w:ascii="宋体" w:hAnsi="宋体" w:eastAsia="宋体" w:cs="宋体"/>
          <w:sz w:val="21"/>
          <w:szCs w:val="21"/>
          <w:lang w:val="en-US" w:eastAsia="zh-CN"/>
        </w:rPr>
        <w:t>5.</w:t>
      </w:r>
      <w:r>
        <w:rPr>
          <w:rFonts w:hint="eastAsia" w:ascii="宋体" w:hAnsi="宋体" w:eastAsia="宋体" w:cs="宋体"/>
          <w:sz w:val="21"/>
          <w:szCs w:val="21"/>
        </w:rPr>
        <w:t>本合同签订后，双方依法签订的补充协议也是本合同文件的组成部分</w:t>
      </w:r>
      <w:r>
        <w:rPr>
          <w:rFonts w:hint="eastAsia" w:ascii="宋体" w:hAnsi="宋体" w:eastAsia="宋体" w:cs="宋体"/>
          <w:sz w:val="21"/>
          <w:szCs w:val="21"/>
          <w:lang w:eastAsia="zh-CN"/>
        </w:rPr>
        <w:t>；</w:t>
      </w:r>
      <w:bookmarkEnd w:id="387"/>
    </w:p>
    <w:p w14:paraId="2FE0F6B0">
      <w:pPr>
        <w:adjustRightInd w:val="0"/>
        <w:snapToGrid w:val="0"/>
        <w:spacing w:line="360" w:lineRule="auto"/>
        <w:ind w:firstLine="415" w:firstLineChars="198"/>
        <w:rPr>
          <w:rFonts w:hint="eastAsia" w:ascii="宋体" w:hAnsi="宋体" w:eastAsia="宋体" w:cs="宋体"/>
          <w:sz w:val="21"/>
          <w:szCs w:val="21"/>
          <w:lang w:eastAsia="zh-CN"/>
        </w:rPr>
      </w:pPr>
      <w:r>
        <w:rPr>
          <w:rFonts w:hint="eastAsia" w:ascii="宋体" w:hAnsi="宋体" w:eastAsia="宋体" w:cs="宋体"/>
          <w:sz w:val="21"/>
          <w:szCs w:val="21"/>
          <w:lang w:eastAsia="zh-CN"/>
        </w:rPr>
        <w:t>合同的解释顺序按上述排序解释。</w:t>
      </w:r>
      <w:bookmarkStart w:id="388" w:name="_Toc19602_WPSOffice_Level1"/>
      <w:bookmarkStart w:id="389" w:name="_Toc14517_WPSOffice_Level1"/>
    </w:p>
    <w:p w14:paraId="4AA1D67B">
      <w:pPr>
        <w:adjustRightInd w:val="0"/>
        <w:snapToGrid w:val="0"/>
        <w:spacing w:line="360" w:lineRule="auto"/>
        <w:outlineLvl w:val="1"/>
        <w:rPr>
          <w:rFonts w:hint="eastAsia" w:ascii="宋体" w:hAnsi="宋体" w:eastAsia="宋体" w:cs="宋体"/>
          <w:b/>
          <w:sz w:val="21"/>
          <w:szCs w:val="21"/>
          <w:lang w:eastAsia="zh-CN"/>
        </w:rPr>
      </w:pPr>
      <w:r>
        <w:rPr>
          <w:rFonts w:hint="eastAsia" w:ascii="宋体" w:hAnsi="宋体" w:eastAsia="宋体" w:cs="宋体"/>
          <w:b/>
          <w:sz w:val="21"/>
          <w:szCs w:val="21"/>
          <w:lang w:eastAsia="zh-CN"/>
        </w:rPr>
        <w:t>三、合同价格</w:t>
      </w:r>
      <w:bookmarkEnd w:id="388"/>
      <w:bookmarkEnd w:id="389"/>
    </w:p>
    <w:p w14:paraId="1D7DA2EB">
      <w:pPr>
        <w:adjustRightInd w:val="0"/>
        <w:snapToGrid w:val="0"/>
        <w:spacing w:line="360" w:lineRule="auto"/>
        <w:ind w:firstLine="415" w:firstLineChars="198"/>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eastAsia="zh-CN"/>
        </w:rPr>
        <w:t>合同价格</w:t>
      </w:r>
      <w:r>
        <w:rPr>
          <w:rFonts w:hint="eastAsia" w:ascii="宋体" w:hAnsi="宋体" w:eastAsia="宋体" w:cs="宋体"/>
          <w:kern w:val="0"/>
          <w:sz w:val="21"/>
          <w:szCs w:val="21"/>
        </w:rPr>
        <w:t>（大写）：</w:t>
      </w:r>
      <w:r>
        <w:rPr>
          <w:rFonts w:hint="eastAsia" w:ascii="宋体" w:hAnsi="宋体" w:eastAsia="宋体" w:cs="宋体"/>
          <w:sz w:val="21"/>
          <w:szCs w:val="21"/>
          <w:u w:val="single"/>
          <w:lang w:val="en-US" w:eastAsia="zh-CN"/>
        </w:rPr>
        <w:t xml:space="preserve">             </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小</w:t>
      </w:r>
      <w:r>
        <w:rPr>
          <w:rFonts w:hint="eastAsia" w:ascii="宋体" w:hAnsi="宋体" w:eastAsia="宋体" w:cs="宋体"/>
          <w:kern w:val="0"/>
          <w:sz w:val="21"/>
          <w:szCs w:val="21"/>
        </w:rPr>
        <w:t>写）</w:t>
      </w:r>
      <w:r>
        <w:rPr>
          <w:rFonts w:hint="eastAsia" w:ascii="宋体" w:hAnsi="宋体" w:eastAsia="宋体" w:cs="宋体"/>
          <w:kern w:val="0"/>
          <w:sz w:val="21"/>
          <w:szCs w:val="21"/>
          <w:lang w:eastAsia="zh-CN"/>
        </w:rPr>
        <w:t>：</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元</w:t>
      </w:r>
      <w:r>
        <w:rPr>
          <w:rFonts w:hint="eastAsia" w:ascii="宋体" w:hAnsi="宋体" w:eastAsia="宋体" w:cs="宋体"/>
          <w:sz w:val="21"/>
          <w:szCs w:val="21"/>
          <w:u w:val="single"/>
          <w:lang w:val="en-US" w:eastAsia="zh-CN"/>
        </w:rPr>
        <w:t xml:space="preserve">  </w:t>
      </w:r>
    </w:p>
    <w:p w14:paraId="3ADCBDE9">
      <w:pPr>
        <w:pStyle w:val="3"/>
        <w:bidi w:val="0"/>
        <w:spacing w:line="240" w:lineRule="auto"/>
        <w:jc w:val="both"/>
        <w:outlineLvl w:val="1"/>
        <w:rPr>
          <w:rFonts w:hint="eastAsia" w:ascii="宋体" w:hAnsi="宋体" w:eastAsia="宋体" w:cs="宋体"/>
          <w:b/>
          <w:color w:val="auto"/>
          <w:sz w:val="21"/>
          <w:szCs w:val="21"/>
          <w:lang w:eastAsia="zh-CN"/>
        </w:rPr>
      </w:pPr>
      <w:bookmarkStart w:id="390" w:name="_Toc1648_WPSOffice_Level1"/>
      <w:bookmarkStart w:id="391" w:name="_Toc23073_WPSOffice_Level1"/>
      <w:r>
        <w:rPr>
          <w:rFonts w:hint="eastAsia" w:ascii="宋体" w:hAnsi="宋体" w:eastAsia="宋体" w:cs="宋体"/>
          <w:b/>
          <w:sz w:val="21"/>
          <w:szCs w:val="21"/>
          <w:lang w:eastAsia="zh-CN"/>
        </w:rPr>
        <w:t>四、付款</w:t>
      </w:r>
      <w:r>
        <w:rPr>
          <w:rFonts w:hint="eastAsia" w:ascii="宋体" w:hAnsi="宋体" w:eastAsia="宋体" w:cs="宋体"/>
          <w:b/>
          <w:color w:val="auto"/>
          <w:sz w:val="21"/>
          <w:szCs w:val="21"/>
          <w:lang w:eastAsia="zh-CN"/>
        </w:rPr>
        <w:t>办法</w:t>
      </w:r>
      <w:bookmarkEnd w:id="390"/>
      <w:bookmarkEnd w:id="391"/>
    </w:p>
    <w:p w14:paraId="653334AB">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20" w:firstLineChars="200"/>
        <w:jc w:val="both"/>
        <w:textAlignment w:val="auto"/>
        <w:outlineLvl w:val="9"/>
        <w:rPr>
          <w:rFonts w:hint="eastAsia" w:ascii="宋体" w:hAnsi="宋体" w:eastAsia="宋体" w:cs="宋体"/>
          <w:color w:val="auto"/>
          <w:sz w:val="21"/>
          <w:szCs w:val="21"/>
          <w:lang w:val="en-US" w:eastAsia="zh-CN"/>
        </w:rPr>
      </w:pPr>
      <w:bookmarkStart w:id="392" w:name="_Toc4245_WPSOffice_Level1"/>
      <w:bookmarkStart w:id="393" w:name="_Toc27636_WPSOffice_Level1"/>
      <w:r>
        <w:rPr>
          <w:rFonts w:hint="eastAsia" w:ascii="宋体" w:hAnsi="宋体" w:eastAsia="宋体" w:cs="宋体"/>
          <w:color w:val="auto"/>
          <w:sz w:val="21"/>
          <w:szCs w:val="21"/>
          <w:lang w:val="en-US" w:eastAsia="zh-CN"/>
        </w:rPr>
        <w:t>保险费用按照国家金融监督管理总局金发《2025》36号文件要求，由甲方在签订合同后一次性向乙方支付，见费出单，保险人履行保险义务以正式保单生效时间为准。</w:t>
      </w:r>
    </w:p>
    <w:p w14:paraId="55A1C301">
      <w:pPr>
        <w:pStyle w:val="3"/>
        <w:bidi w:val="0"/>
        <w:spacing w:line="240" w:lineRule="auto"/>
        <w:jc w:val="both"/>
        <w:outlineLvl w:val="1"/>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color w:val="auto"/>
          <w:sz w:val="21"/>
          <w:szCs w:val="21"/>
          <w:lang w:eastAsia="zh-CN"/>
        </w:rPr>
        <w:t>五、保险有效期</w:t>
      </w:r>
      <w:bookmarkEnd w:id="392"/>
      <w:bookmarkEnd w:id="393"/>
    </w:p>
    <w:p w14:paraId="1A82DF11">
      <w:pPr>
        <w:bidi w:val="0"/>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自保险生效之日起1年</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eastAsia="zh-CN"/>
        </w:rPr>
        <w:t xml:space="preserve">   </w:t>
      </w:r>
    </w:p>
    <w:p w14:paraId="68D5A164">
      <w:pPr>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highlight w:val="none"/>
          <w:lang w:val="en-US" w:eastAsia="zh-CN"/>
        </w:rPr>
        <w:t>保险期限</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eastAsia="zh-CN"/>
        </w:rPr>
        <w:t xml:space="preserve">  年  月  日至  年  月  日</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lang w:eastAsia="zh-CN"/>
        </w:rPr>
        <w:t xml:space="preserve">   </w:t>
      </w:r>
      <w:r>
        <w:rPr>
          <w:rFonts w:hint="eastAsia" w:ascii="宋体" w:hAnsi="宋体" w:eastAsia="宋体" w:cs="宋体"/>
          <w:sz w:val="21"/>
          <w:szCs w:val="21"/>
        </w:rPr>
        <w:t xml:space="preserve">   </w:t>
      </w:r>
    </w:p>
    <w:p w14:paraId="40F77DB7">
      <w:pPr>
        <w:pStyle w:val="3"/>
        <w:bidi w:val="0"/>
        <w:spacing w:line="240" w:lineRule="auto"/>
        <w:jc w:val="both"/>
        <w:outlineLvl w:val="1"/>
        <w:rPr>
          <w:rFonts w:hint="eastAsia" w:ascii="宋体" w:hAnsi="宋体" w:eastAsia="宋体" w:cs="宋体"/>
          <w:b/>
          <w:sz w:val="21"/>
          <w:szCs w:val="21"/>
          <w:lang w:eastAsia="zh-CN"/>
        </w:rPr>
      </w:pPr>
      <w:bookmarkStart w:id="394" w:name="_Toc5251_WPSOffice_Level1"/>
      <w:bookmarkStart w:id="395" w:name="_Toc6525_WPSOffice_Level1"/>
      <w:r>
        <w:rPr>
          <w:rFonts w:hint="eastAsia" w:ascii="宋体" w:hAnsi="宋体" w:eastAsia="宋体" w:cs="宋体"/>
          <w:b/>
          <w:sz w:val="21"/>
          <w:szCs w:val="21"/>
          <w:lang w:eastAsia="zh-CN"/>
        </w:rPr>
        <w:t>六、具体保险内容</w:t>
      </w:r>
      <w:bookmarkEnd w:id="394"/>
      <w:bookmarkEnd w:id="395"/>
    </w:p>
    <w:p w14:paraId="118337CB">
      <w:pPr>
        <w:pStyle w:val="3"/>
        <w:bidi w:val="0"/>
        <w:rPr>
          <w:rFonts w:hint="eastAsia" w:ascii="宋体" w:hAnsi="宋体" w:eastAsia="宋体" w:cs="宋体"/>
          <w:sz w:val="21"/>
          <w:szCs w:val="21"/>
          <w:lang w:val="en-US" w:eastAsia="zh-CN"/>
        </w:rPr>
      </w:pPr>
      <w:bookmarkStart w:id="396" w:name="_Toc14517_WPSOffice_Level2"/>
      <w:r>
        <w:rPr>
          <w:rFonts w:hint="eastAsia" w:ascii="宋体" w:hAnsi="宋体" w:eastAsia="宋体" w:cs="宋体"/>
          <w:sz w:val="21"/>
          <w:szCs w:val="21"/>
          <w:lang w:val="en-US" w:eastAsia="zh-CN"/>
        </w:rPr>
        <w:t>1.平安家园保险</w:t>
      </w:r>
      <w:bookmarkEnd w:id="396"/>
    </w:p>
    <w:p w14:paraId="5D1EBC8A">
      <w:pPr>
        <w:pStyle w:val="4"/>
        <w:bidi w:val="0"/>
        <w:spacing w:line="240" w:lineRule="auto"/>
        <w:ind w:firstLine="211" w:firstLineChars="100"/>
        <w:rPr>
          <w:rFonts w:hint="eastAsia" w:ascii="宋体" w:hAnsi="宋体" w:eastAsia="宋体" w:cs="宋体"/>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保险范围</w:t>
      </w:r>
    </w:p>
    <w:p w14:paraId="06AA89D2">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人员范围：</w:t>
      </w:r>
      <w:r>
        <w:rPr>
          <w:rFonts w:hint="eastAsia" w:ascii="宋体" w:hAnsi="宋体" w:eastAsia="宋体" w:cs="宋体"/>
          <w:sz w:val="21"/>
          <w:szCs w:val="21"/>
          <w:lang w:eastAsia="zh-CN"/>
        </w:rPr>
        <w:t>平顶山新华区户籍在册人员</w:t>
      </w:r>
      <w:r>
        <w:rPr>
          <w:rFonts w:hint="eastAsia" w:ascii="宋体" w:hAnsi="宋体" w:eastAsia="宋体" w:cs="宋体"/>
          <w:sz w:val="21"/>
          <w:szCs w:val="21"/>
        </w:rPr>
        <w:t>（含农</w:t>
      </w:r>
      <w:r>
        <w:rPr>
          <w:rFonts w:hint="eastAsia" w:ascii="宋体" w:hAnsi="宋体" w:eastAsia="宋体" w:cs="宋体"/>
          <w:sz w:val="21"/>
          <w:szCs w:val="21"/>
          <w:lang w:eastAsia="zh-CN"/>
        </w:rPr>
        <w:t>业和非农业人口），具有平顶山市新华区户籍的自然人；本辖区务工人员；与本辖区居住户籍居民结婚后，但未取得本辖区户籍的人员；</w:t>
      </w:r>
      <w:r>
        <w:rPr>
          <w:rFonts w:hint="eastAsia" w:ascii="宋体" w:hAnsi="宋体" w:eastAsia="宋体" w:cs="宋体"/>
          <w:sz w:val="21"/>
          <w:szCs w:val="21"/>
          <w:lang w:val="en-US" w:eastAsia="zh-CN"/>
        </w:rPr>
        <w:t>与</w:t>
      </w:r>
      <w:r>
        <w:rPr>
          <w:rFonts w:hint="eastAsia" w:ascii="宋体" w:hAnsi="宋体" w:eastAsia="宋体" w:cs="宋体"/>
          <w:sz w:val="21"/>
          <w:szCs w:val="21"/>
          <w:lang w:eastAsia="zh-CN"/>
        </w:rPr>
        <w:t>本辖区户籍居民结婚后，生育的子女尚未取得户籍的；户籍不在本辖区，但在本辖区内党政机关、社会团体、企事业单位上班的人员；本辖区内的未成年在校学生；</w:t>
      </w:r>
      <w:r>
        <w:rPr>
          <w:rFonts w:hint="eastAsia" w:ascii="宋体" w:hAnsi="宋体" w:eastAsia="宋体" w:cs="宋体"/>
          <w:sz w:val="21"/>
          <w:szCs w:val="21"/>
          <w:highlight w:val="none"/>
          <w:lang w:val="en-US" w:eastAsia="zh-CN"/>
        </w:rPr>
        <w:t>户籍不在本辖区，但在承包区域范围的所有人员</w:t>
      </w:r>
      <w:r>
        <w:rPr>
          <w:rFonts w:hint="eastAsia" w:ascii="宋体" w:hAnsi="宋体" w:eastAsia="宋体" w:cs="宋体"/>
          <w:sz w:val="21"/>
          <w:szCs w:val="21"/>
          <w:lang w:eastAsia="zh-CN"/>
        </w:rPr>
        <w:t>。</w:t>
      </w:r>
    </w:p>
    <w:p w14:paraId="75771042">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rPr>
        <w:t>财产范</w:t>
      </w:r>
      <w:r>
        <w:rPr>
          <w:rFonts w:hint="eastAsia" w:ascii="宋体" w:hAnsi="宋体" w:eastAsia="宋体" w:cs="宋体"/>
          <w:sz w:val="21"/>
          <w:szCs w:val="21"/>
          <w:lang w:eastAsia="zh-CN"/>
        </w:rPr>
        <w:t>围：辖区内全部常住人口所有且有人长期居住的居民房屋、室内相关财产、电动（两轮、三轮）车等</w:t>
      </w:r>
      <w:r>
        <w:rPr>
          <w:rFonts w:hint="eastAsia" w:ascii="宋体" w:hAnsi="宋体" w:eastAsia="宋体" w:cs="宋体"/>
          <w:sz w:val="21"/>
          <w:szCs w:val="21"/>
          <w:lang w:val="en-US" w:eastAsia="zh-CN"/>
        </w:rPr>
        <w:t>包括</w:t>
      </w:r>
      <w:r>
        <w:rPr>
          <w:rFonts w:hint="eastAsia" w:ascii="宋体" w:hAnsi="宋体" w:eastAsia="宋体" w:cs="宋体"/>
          <w:sz w:val="21"/>
          <w:szCs w:val="21"/>
          <w:highlight w:val="none"/>
          <w:lang w:val="en-US" w:eastAsia="zh-CN"/>
        </w:rPr>
        <w:t>户籍不在本辖区，但在承包区域范围的所有人员财产</w:t>
      </w:r>
      <w:r>
        <w:rPr>
          <w:rFonts w:hint="eastAsia" w:ascii="宋体" w:hAnsi="宋体" w:eastAsia="宋体" w:cs="宋体"/>
          <w:sz w:val="21"/>
          <w:szCs w:val="21"/>
          <w:lang w:eastAsia="zh-CN"/>
        </w:rPr>
        <w:t>；</w:t>
      </w:r>
    </w:p>
    <w:p w14:paraId="59A0B356">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sz w:val="21"/>
          <w:szCs w:val="21"/>
        </w:rPr>
      </w:pPr>
      <w:r>
        <w:rPr>
          <w:rFonts w:hint="eastAsia" w:ascii="宋体" w:hAnsi="宋体" w:eastAsia="宋体" w:cs="宋体"/>
          <w:sz w:val="21"/>
          <w:szCs w:val="21"/>
          <w:lang w:eastAsia="zh-CN"/>
        </w:rPr>
        <w:t>承保</w:t>
      </w:r>
      <w:r>
        <w:rPr>
          <w:rFonts w:hint="eastAsia" w:ascii="宋体" w:hAnsi="宋体" w:eastAsia="宋体" w:cs="宋体"/>
          <w:sz w:val="21"/>
          <w:szCs w:val="21"/>
        </w:rPr>
        <w:t>区域范围：</w:t>
      </w:r>
      <w:r>
        <w:rPr>
          <w:rFonts w:hint="eastAsia" w:ascii="宋体" w:hAnsi="宋体" w:eastAsia="宋体" w:cs="宋体"/>
          <w:sz w:val="21"/>
          <w:szCs w:val="21"/>
          <w:lang w:eastAsia="zh-CN"/>
        </w:rPr>
        <w:t>平顶山市新华区区域内</w:t>
      </w:r>
      <w:r>
        <w:rPr>
          <w:rFonts w:hint="eastAsia" w:ascii="宋体" w:hAnsi="宋体" w:eastAsia="宋体" w:cs="宋体"/>
          <w:sz w:val="21"/>
          <w:szCs w:val="21"/>
        </w:rPr>
        <w:t>。</w:t>
      </w:r>
    </w:p>
    <w:p w14:paraId="3B282FA4">
      <w:pPr>
        <w:pStyle w:val="4"/>
        <w:bidi w:val="0"/>
        <w:spacing w:line="240" w:lineRule="auto"/>
        <w:ind w:firstLine="211" w:firstLineChars="100"/>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1.2社会治安综合保险保险责任</w:t>
      </w:r>
    </w:p>
    <w:p w14:paraId="78B31EA9">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1.2.1</w:t>
      </w:r>
      <w:r>
        <w:rPr>
          <w:rFonts w:hint="eastAsia" w:ascii="宋体" w:hAnsi="宋体" w:eastAsia="宋体" w:cs="宋体"/>
          <w:b w:val="0"/>
          <w:bCs/>
          <w:sz w:val="21"/>
          <w:szCs w:val="21"/>
        </w:rPr>
        <w:t>因火灾、爆炸、雷电、台风、龙卷风、暴风、暴雨、洪水、雪灾、雹灾、冰凌、地面突然下陷，飞行物体及其他空中运行物体坠落，外来不属于被保险人所有或使用的建筑物和其他固定物体的倒塌，造成被保险标的损失的，保险人负责负责赔偿责任。</w:t>
      </w:r>
    </w:p>
    <w:p w14:paraId="73B6F837">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1.2.2</w:t>
      </w:r>
      <w:r>
        <w:rPr>
          <w:rFonts w:hint="eastAsia" w:ascii="宋体" w:hAnsi="宋体" w:eastAsia="宋体" w:cs="宋体"/>
          <w:b w:val="0"/>
          <w:bCs/>
          <w:sz w:val="21"/>
          <w:szCs w:val="21"/>
        </w:rPr>
        <w:t>保险期间内，</w:t>
      </w:r>
      <w:r>
        <w:rPr>
          <w:rFonts w:hint="eastAsia" w:ascii="宋体" w:hAnsi="宋体" w:eastAsia="宋体" w:cs="宋体"/>
          <w:b w:val="0"/>
          <w:bCs/>
          <w:sz w:val="21"/>
          <w:szCs w:val="21"/>
          <w:lang w:eastAsia="zh-CN"/>
        </w:rPr>
        <w:t>因发生盗抢事件导致被保险财产损失的</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辖区少儿或老人走失、贫困家庭子女升学救助的</w:t>
      </w:r>
      <w:r>
        <w:rPr>
          <w:rFonts w:hint="eastAsia" w:ascii="宋体" w:hAnsi="宋体" w:eastAsia="宋体" w:cs="宋体"/>
          <w:b w:val="0"/>
          <w:bCs/>
          <w:sz w:val="21"/>
          <w:szCs w:val="21"/>
        </w:rPr>
        <w:t>保险人按照保险合同的约定负责赔偿。</w:t>
      </w:r>
    </w:p>
    <w:p w14:paraId="6DB2EB1A">
      <w:pPr>
        <w:pStyle w:val="4"/>
        <w:bidi w:val="0"/>
        <w:spacing w:line="240" w:lineRule="auto"/>
        <w:ind w:firstLine="211" w:firstLineChars="100"/>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1.3治安保险承保方案</w:t>
      </w:r>
    </w:p>
    <w:p w14:paraId="6B9173CA">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jc w:val="both"/>
        <w:textAlignment w:val="auto"/>
        <w:outlineLvl w:val="9"/>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1.3.1保险方案：</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6"/>
        <w:gridCol w:w="1660"/>
        <w:gridCol w:w="1203"/>
        <w:gridCol w:w="5109"/>
      </w:tblGrid>
      <w:tr w14:paraId="735C0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noWrap w:val="0"/>
            <w:vAlign w:val="top"/>
          </w:tcPr>
          <w:p w14:paraId="77F7BD64">
            <w:pPr>
              <w:rPr>
                <w:rFonts w:hint="eastAsia" w:ascii="宋体" w:hAnsi="宋体" w:eastAsia="宋体" w:cs="宋体"/>
                <w:b w:val="0"/>
                <w:bCs/>
                <w:sz w:val="21"/>
                <w:szCs w:val="21"/>
              </w:rPr>
            </w:pPr>
            <w:r>
              <w:rPr>
                <w:rFonts w:hint="eastAsia" w:ascii="宋体" w:hAnsi="宋体" w:eastAsia="宋体" w:cs="宋体"/>
                <w:b w:val="0"/>
                <w:bCs/>
                <w:sz w:val="21"/>
                <w:szCs w:val="21"/>
              </w:rPr>
              <w:t>险种</w:t>
            </w:r>
          </w:p>
        </w:tc>
        <w:tc>
          <w:tcPr>
            <w:tcW w:w="833" w:type="pct"/>
            <w:noWrap w:val="0"/>
            <w:vAlign w:val="top"/>
          </w:tcPr>
          <w:p w14:paraId="6B2A9295">
            <w:pPr>
              <w:rPr>
                <w:rFonts w:hint="eastAsia" w:ascii="宋体" w:hAnsi="宋体" w:eastAsia="宋体" w:cs="宋体"/>
                <w:b w:val="0"/>
                <w:bCs/>
                <w:sz w:val="21"/>
                <w:szCs w:val="21"/>
              </w:rPr>
            </w:pPr>
            <w:r>
              <w:rPr>
                <w:rFonts w:hint="eastAsia" w:ascii="宋体" w:hAnsi="宋体" w:eastAsia="宋体" w:cs="宋体"/>
                <w:b w:val="0"/>
                <w:bCs/>
                <w:sz w:val="21"/>
                <w:szCs w:val="21"/>
              </w:rPr>
              <w:t>保障内容</w:t>
            </w:r>
          </w:p>
        </w:tc>
        <w:tc>
          <w:tcPr>
            <w:tcW w:w="604" w:type="pct"/>
            <w:noWrap w:val="0"/>
            <w:vAlign w:val="top"/>
          </w:tcPr>
          <w:p w14:paraId="61950A3C">
            <w:pPr>
              <w:rPr>
                <w:rFonts w:hint="eastAsia" w:ascii="宋体" w:hAnsi="宋体" w:eastAsia="宋体" w:cs="宋体"/>
                <w:b w:val="0"/>
                <w:bCs/>
                <w:sz w:val="21"/>
                <w:szCs w:val="21"/>
              </w:rPr>
            </w:pPr>
            <w:r>
              <w:rPr>
                <w:rFonts w:hint="eastAsia" w:ascii="宋体" w:hAnsi="宋体" w:eastAsia="宋体" w:cs="宋体"/>
                <w:b w:val="0"/>
                <w:bCs/>
                <w:sz w:val="21"/>
                <w:szCs w:val="21"/>
              </w:rPr>
              <w:t>保险金额</w:t>
            </w:r>
          </w:p>
        </w:tc>
        <w:tc>
          <w:tcPr>
            <w:tcW w:w="2564" w:type="pct"/>
            <w:noWrap w:val="0"/>
            <w:vAlign w:val="top"/>
          </w:tcPr>
          <w:p w14:paraId="1F805755">
            <w:pPr>
              <w:rPr>
                <w:rFonts w:hint="eastAsia" w:ascii="宋体" w:hAnsi="宋体" w:eastAsia="宋体" w:cs="宋体"/>
                <w:b w:val="0"/>
                <w:bCs/>
                <w:sz w:val="21"/>
                <w:szCs w:val="21"/>
              </w:rPr>
            </w:pPr>
            <w:r>
              <w:rPr>
                <w:rFonts w:hint="eastAsia" w:ascii="宋体" w:hAnsi="宋体" w:eastAsia="宋体" w:cs="宋体"/>
                <w:b w:val="0"/>
                <w:bCs/>
                <w:sz w:val="21"/>
                <w:szCs w:val="21"/>
              </w:rPr>
              <w:t>保险责任</w:t>
            </w:r>
          </w:p>
        </w:tc>
      </w:tr>
      <w:tr w14:paraId="7DB7F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restart"/>
            <w:noWrap w:val="0"/>
            <w:vAlign w:val="top"/>
          </w:tcPr>
          <w:p w14:paraId="79901763">
            <w:pPr>
              <w:rPr>
                <w:rFonts w:hint="eastAsia" w:ascii="宋体" w:hAnsi="宋体" w:eastAsia="宋体" w:cs="宋体"/>
                <w:b w:val="0"/>
                <w:bCs/>
                <w:sz w:val="21"/>
                <w:szCs w:val="21"/>
              </w:rPr>
            </w:pPr>
            <w:r>
              <w:rPr>
                <w:rFonts w:hint="eastAsia" w:ascii="宋体" w:hAnsi="宋体" w:eastAsia="宋体" w:cs="宋体"/>
                <w:b w:val="0"/>
                <w:bCs/>
                <w:sz w:val="21"/>
                <w:szCs w:val="21"/>
              </w:rPr>
              <w:t>非农业户口/农业户口</w:t>
            </w:r>
          </w:p>
        </w:tc>
        <w:tc>
          <w:tcPr>
            <w:tcW w:w="833" w:type="pct"/>
            <w:noWrap w:val="0"/>
            <w:vAlign w:val="top"/>
          </w:tcPr>
          <w:p w14:paraId="3EA4451D">
            <w:pPr>
              <w:rPr>
                <w:rFonts w:hint="eastAsia" w:ascii="宋体" w:hAnsi="宋体" w:eastAsia="宋体" w:cs="宋体"/>
                <w:b w:val="0"/>
                <w:bCs/>
                <w:sz w:val="21"/>
                <w:szCs w:val="21"/>
              </w:rPr>
            </w:pPr>
            <w:r>
              <w:rPr>
                <w:rFonts w:hint="eastAsia" w:ascii="宋体" w:hAnsi="宋体" w:eastAsia="宋体" w:cs="宋体"/>
                <w:b w:val="0"/>
                <w:bCs/>
                <w:sz w:val="21"/>
                <w:szCs w:val="21"/>
              </w:rPr>
              <w:t>室内财产(含:家用电器及主体娱乐用品，衣物和床上用品、家具及其他生活用品）</w:t>
            </w:r>
          </w:p>
        </w:tc>
        <w:tc>
          <w:tcPr>
            <w:tcW w:w="604" w:type="pct"/>
            <w:noWrap w:val="0"/>
            <w:vAlign w:val="top"/>
          </w:tcPr>
          <w:p w14:paraId="1B22C8FF">
            <w:pPr>
              <w:rPr>
                <w:rFonts w:hint="eastAsia" w:ascii="宋体" w:hAnsi="宋体" w:eastAsia="宋体" w:cs="宋体"/>
                <w:b w:val="0"/>
                <w:bCs/>
                <w:sz w:val="21"/>
                <w:szCs w:val="21"/>
              </w:rPr>
            </w:pPr>
            <w:r>
              <w:rPr>
                <w:rFonts w:hint="eastAsia" w:ascii="宋体" w:hAnsi="宋体" w:eastAsia="宋体" w:cs="宋体"/>
                <w:b w:val="0"/>
                <w:bCs/>
                <w:sz w:val="21"/>
                <w:szCs w:val="21"/>
              </w:rPr>
              <w:t>5000元</w:t>
            </w:r>
          </w:p>
        </w:tc>
        <w:tc>
          <w:tcPr>
            <w:tcW w:w="2564" w:type="pct"/>
            <w:noWrap w:val="0"/>
            <w:vAlign w:val="top"/>
          </w:tcPr>
          <w:p w14:paraId="15865702">
            <w:pPr>
              <w:rPr>
                <w:rFonts w:hint="eastAsia" w:ascii="宋体" w:hAnsi="宋体" w:eastAsia="宋体" w:cs="宋体"/>
                <w:b w:val="0"/>
                <w:bCs/>
                <w:sz w:val="21"/>
                <w:szCs w:val="21"/>
              </w:rPr>
            </w:pPr>
            <w:r>
              <w:rPr>
                <w:rFonts w:hint="eastAsia" w:ascii="宋体" w:hAnsi="宋体" w:eastAsia="宋体" w:cs="宋体"/>
                <w:b w:val="0"/>
                <w:bCs/>
                <w:sz w:val="21"/>
                <w:szCs w:val="21"/>
              </w:rPr>
              <w:t>本险种主要保障居民所有且有人长期居住的房屋，因自然灾害(包括暴雨、洪水、泥石流、山体滑坡;台风、暴风、龙卷风;雷击、冰雹、雪灾、崖崩;自然灾害引起的地陷或下沉)和意外事故(包括火灾、爆炸;空中运行物体坠落;外来不属于被保险人所有或使用的建筑和其他固定物体倒塌等)造成的损失，及合理的施救费用。</w:t>
            </w:r>
          </w:p>
        </w:tc>
      </w:tr>
      <w:tr w14:paraId="7A2A0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4DEC0913">
            <w:pPr>
              <w:rPr>
                <w:rFonts w:hint="eastAsia" w:ascii="宋体" w:hAnsi="宋体" w:eastAsia="宋体" w:cs="宋体"/>
                <w:b w:val="0"/>
                <w:bCs/>
                <w:sz w:val="21"/>
                <w:szCs w:val="21"/>
              </w:rPr>
            </w:pPr>
          </w:p>
        </w:tc>
        <w:tc>
          <w:tcPr>
            <w:tcW w:w="833" w:type="pct"/>
            <w:noWrap w:val="0"/>
            <w:vAlign w:val="top"/>
          </w:tcPr>
          <w:p w14:paraId="2905A03C">
            <w:pPr>
              <w:rPr>
                <w:rFonts w:hint="eastAsia" w:ascii="宋体" w:hAnsi="宋体" w:eastAsia="宋体" w:cs="宋体"/>
                <w:b w:val="0"/>
                <w:bCs/>
                <w:sz w:val="21"/>
                <w:szCs w:val="21"/>
              </w:rPr>
            </w:pPr>
            <w:r>
              <w:rPr>
                <w:rFonts w:hint="eastAsia" w:ascii="宋体" w:hAnsi="宋体" w:eastAsia="宋体" w:cs="宋体"/>
                <w:b w:val="0"/>
                <w:bCs/>
                <w:sz w:val="21"/>
                <w:szCs w:val="21"/>
              </w:rPr>
              <w:t>附加电动车盗抢保险（两轮、三轮）</w:t>
            </w:r>
          </w:p>
        </w:tc>
        <w:tc>
          <w:tcPr>
            <w:tcW w:w="604" w:type="pct"/>
            <w:noWrap w:val="0"/>
            <w:vAlign w:val="top"/>
          </w:tcPr>
          <w:p w14:paraId="74D50CBE">
            <w:pPr>
              <w:rPr>
                <w:rFonts w:hint="eastAsia" w:ascii="宋体" w:hAnsi="宋体" w:eastAsia="宋体" w:cs="宋体"/>
                <w:b w:val="0"/>
                <w:bCs/>
                <w:sz w:val="21"/>
                <w:szCs w:val="21"/>
              </w:rPr>
            </w:pPr>
            <w:r>
              <w:rPr>
                <w:rFonts w:hint="eastAsia" w:ascii="宋体" w:hAnsi="宋体" w:eastAsia="宋体" w:cs="宋体"/>
                <w:b w:val="0"/>
                <w:bCs/>
                <w:sz w:val="21"/>
                <w:szCs w:val="21"/>
              </w:rPr>
              <w:t>1800元</w:t>
            </w:r>
          </w:p>
        </w:tc>
        <w:tc>
          <w:tcPr>
            <w:tcW w:w="2564" w:type="pct"/>
            <w:noWrap w:val="0"/>
            <w:vAlign w:val="top"/>
          </w:tcPr>
          <w:p w14:paraId="0402B506">
            <w:pPr>
              <w:rPr>
                <w:rFonts w:hint="eastAsia" w:ascii="宋体" w:hAnsi="宋体" w:eastAsia="宋体" w:cs="宋体"/>
                <w:b w:val="0"/>
                <w:bCs/>
                <w:sz w:val="21"/>
                <w:szCs w:val="21"/>
              </w:rPr>
            </w:pPr>
            <w:r>
              <w:rPr>
                <w:rFonts w:hint="eastAsia" w:ascii="宋体" w:hAnsi="宋体" w:eastAsia="宋体" w:cs="宋体"/>
                <w:b w:val="0"/>
                <w:bCs/>
                <w:sz w:val="21"/>
                <w:szCs w:val="21"/>
              </w:rPr>
              <w:t>遭受盗抢，经公安部门确认，有明显现场痕迹的盗窃、抢劫行为所致丢失的直接损失。赔偿标准:(1)电动车限整车丢失，电池等零部件丢失不负责赔偿;(2)3个月以内1800元;一年以上(含一年)1000元;(3)既无购车发票或收据，也无合格证或保修卡的，最高赔偿500元;</w:t>
            </w:r>
          </w:p>
        </w:tc>
      </w:tr>
      <w:tr w14:paraId="43423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0FF17E4B">
            <w:pPr>
              <w:rPr>
                <w:rFonts w:hint="eastAsia" w:ascii="宋体" w:hAnsi="宋体" w:eastAsia="宋体" w:cs="宋体"/>
                <w:b w:val="0"/>
                <w:bCs/>
                <w:sz w:val="21"/>
                <w:szCs w:val="21"/>
              </w:rPr>
            </w:pPr>
          </w:p>
        </w:tc>
        <w:tc>
          <w:tcPr>
            <w:tcW w:w="833" w:type="pct"/>
            <w:noWrap w:val="0"/>
            <w:vAlign w:val="top"/>
          </w:tcPr>
          <w:p w14:paraId="5F60EED5">
            <w:pPr>
              <w:rPr>
                <w:rFonts w:hint="eastAsia" w:ascii="宋体" w:hAnsi="宋体" w:eastAsia="宋体" w:cs="宋体"/>
                <w:b w:val="0"/>
                <w:bCs/>
                <w:sz w:val="21"/>
                <w:szCs w:val="21"/>
              </w:rPr>
            </w:pPr>
            <w:r>
              <w:rPr>
                <w:rFonts w:hint="eastAsia" w:ascii="宋体" w:hAnsi="宋体" w:eastAsia="宋体" w:cs="宋体"/>
                <w:b w:val="0"/>
                <w:bCs/>
                <w:sz w:val="21"/>
                <w:szCs w:val="21"/>
              </w:rPr>
              <w:t>附加盗抢保险（室内财产）</w:t>
            </w:r>
          </w:p>
        </w:tc>
        <w:tc>
          <w:tcPr>
            <w:tcW w:w="604" w:type="pct"/>
            <w:noWrap w:val="0"/>
            <w:vAlign w:val="top"/>
          </w:tcPr>
          <w:p w14:paraId="5AA4DC98">
            <w:pPr>
              <w:rPr>
                <w:rFonts w:hint="eastAsia" w:ascii="宋体" w:hAnsi="宋体" w:eastAsia="宋体" w:cs="宋体"/>
                <w:b w:val="0"/>
                <w:bCs/>
                <w:sz w:val="21"/>
                <w:szCs w:val="21"/>
              </w:rPr>
            </w:pPr>
            <w:r>
              <w:rPr>
                <w:rFonts w:hint="eastAsia" w:ascii="宋体" w:hAnsi="宋体" w:eastAsia="宋体" w:cs="宋体"/>
                <w:b w:val="0"/>
                <w:bCs/>
                <w:sz w:val="21"/>
                <w:szCs w:val="21"/>
              </w:rPr>
              <w:t>5000元</w:t>
            </w:r>
          </w:p>
        </w:tc>
        <w:tc>
          <w:tcPr>
            <w:tcW w:w="2564" w:type="pct"/>
            <w:noWrap w:val="0"/>
            <w:vAlign w:val="top"/>
          </w:tcPr>
          <w:p w14:paraId="3D2E15F8">
            <w:pPr>
              <w:rPr>
                <w:rFonts w:hint="eastAsia" w:ascii="宋体" w:hAnsi="宋体" w:eastAsia="宋体" w:cs="宋体"/>
                <w:b w:val="0"/>
                <w:bCs/>
                <w:sz w:val="21"/>
                <w:szCs w:val="21"/>
              </w:rPr>
            </w:pPr>
            <w:r>
              <w:rPr>
                <w:rFonts w:hint="eastAsia" w:ascii="宋体" w:hAnsi="宋体" w:eastAsia="宋体" w:cs="宋体"/>
                <w:b w:val="0"/>
                <w:bCs/>
                <w:sz w:val="21"/>
                <w:szCs w:val="21"/>
              </w:rPr>
              <w:t>遭受外来人员盗抢或抢劫，并经公安部门确认为盗抢行为所致的直接损失。</w:t>
            </w:r>
          </w:p>
        </w:tc>
      </w:tr>
      <w:tr w14:paraId="380A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restart"/>
            <w:noWrap w:val="0"/>
            <w:vAlign w:val="top"/>
          </w:tcPr>
          <w:p w14:paraId="41411963">
            <w:pPr>
              <w:rPr>
                <w:rFonts w:hint="eastAsia" w:ascii="宋体" w:hAnsi="宋体" w:eastAsia="宋体" w:cs="宋体"/>
                <w:b w:val="0"/>
                <w:bCs/>
                <w:sz w:val="21"/>
                <w:szCs w:val="21"/>
              </w:rPr>
            </w:pPr>
            <w:r>
              <w:rPr>
                <w:rFonts w:hint="eastAsia" w:ascii="宋体" w:hAnsi="宋体" w:eastAsia="宋体" w:cs="宋体"/>
                <w:b w:val="0"/>
                <w:bCs/>
                <w:sz w:val="21"/>
                <w:szCs w:val="21"/>
              </w:rPr>
              <w:t>保险服务</w:t>
            </w:r>
          </w:p>
        </w:tc>
        <w:tc>
          <w:tcPr>
            <w:tcW w:w="833" w:type="pct"/>
            <w:noWrap w:val="0"/>
            <w:vAlign w:val="top"/>
          </w:tcPr>
          <w:p w14:paraId="4AC0A48F">
            <w:pPr>
              <w:rPr>
                <w:rFonts w:hint="eastAsia" w:ascii="宋体" w:hAnsi="宋体" w:eastAsia="宋体" w:cs="宋体"/>
                <w:b w:val="0"/>
                <w:bCs/>
                <w:sz w:val="21"/>
                <w:szCs w:val="21"/>
              </w:rPr>
            </w:pPr>
            <w:r>
              <w:rPr>
                <w:rFonts w:hint="eastAsia" w:ascii="宋体" w:hAnsi="宋体" w:eastAsia="宋体" w:cs="宋体"/>
                <w:b w:val="0"/>
                <w:bCs/>
                <w:sz w:val="21"/>
                <w:szCs w:val="21"/>
              </w:rPr>
              <w:t>户外抢夺抢劫、盗窃保险</w:t>
            </w:r>
          </w:p>
        </w:tc>
        <w:tc>
          <w:tcPr>
            <w:tcW w:w="604" w:type="pct"/>
            <w:noWrap w:val="0"/>
            <w:vAlign w:val="top"/>
          </w:tcPr>
          <w:p w14:paraId="69D1B359">
            <w:pPr>
              <w:rPr>
                <w:rFonts w:hint="eastAsia" w:ascii="宋体" w:hAnsi="宋体" w:eastAsia="宋体" w:cs="宋体"/>
                <w:b w:val="0"/>
                <w:bCs/>
                <w:sz w:val="21"/>
                <w:szCs w:val="21"/>
              </w:rPr>
            </w:pPr>
            <w:r>
              <w:rPr>
                <w:rFonts w:hint="eastAsia" w:ascii="宋体" w:hAnsi="宋体" w:eastAsia="宋体" w:cs="宋体"/>
                <w:b w:val="0"/>
                <w:bCs/>
                <w:sz w:val="21"/>
                <w:szCs w:val="21"/>
              </w:rPr>
              <w:t>3000元</w:t>
            </w:r>
          </w:p>
        </w:tc>
        <w:tc>
          <w:tcPr>
            <w:tcW w:w="2564" w:type="pct"/>
            <w:noWrap w:val="0"/>
            <w:vAlign w:val="top"/>
          </w:tcPr>
          <w:p w14:paraId="5B73447D">
            <w:pPr>
              <w:rPr>
                <w:rFonts w:hint="eastAsia" w:ascii="宋体" w:hAnsi="宋体" w:eastAsia="宋体" w:cs="宋体"/>
                <w:b w:val="0"/>
                <w:bCs/>
                <w:sz w:val="21"/>
                <w:szCs w:val="21"/>
              </w:rPr>
            </w:pPr>
            <w:r>
              <w:rPr>
                <w:rFonts w:hint="eastAsia" w:ascii="宋体" w:hAnsi="宋体" w:eastAsia="宋体" w:cs="宋体"/>
                <w:b w:val="0"/>
                <w:bCs/>
                <w:sz w:val="21"/>
                <w:szCs w:val="21"/>
              </w:rPr>
              <w:t>被保险人在户外活动时遭受第三者抢夺、抢劫或盗窃而导致随身携带的现金、手机等财产的损失。</w:t>
            </w:r>
          </w:p>
        </w:tc>
      </w:tr>
      <w:tr w14:paraId="247EA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707C8E5A">
            <w:pPr>
              <w:rPr>
                <w:rFonts w:hint="eastAsia" w:ascii="宋体" w:hAnsi="宋体" w:eastAsia="宋体" w:cs="宋体"/>
                <w:b w:val="0"/>
                <w:bCs/>
                <w:sz w:val="21"/>
                <w:szCs w:val="21"/>
              </w:rPr>
            </w:pPr>
          </w:p>
        </w:tc>
        <w:tc>
          <w:tcPr>
            <w:tcW w:w="833" w:type="pct"/>
            <w:noWrap w:val="0"/>
            <w:vAlign w:val="top"/>
          </w:tcPr>
          <w:p w14:paraId="6627DEBA">
            <w:pPr>
              <w:rPr>
                <w:rFonts w:hint="eastAsia" w:ascii="宋体" w:hAnsi="宋体" w:eastAsia="宋体" w:cs="宋体"/>
                <w:b w:val="0"/>
                <w:bCs/>
                <w:sz w:val="21"/>
                <w:szCs w:val="21"/>
              </w:rPr>
            </w:pPr>
            <w:r>
              <w:rPr>
                <w:rFonts w:hint="eastAsia" w:ascii="宋体" w:hAnsi="宋体" w:eastAsia="宋体" w:cs="宋体"/>
                <w:b w:val="0"/>
                <w:bCs/>
                <w:sz w:val="21"/>
                <w:szCs w:val="21"/>
              </w:rPr>
              <w:t>少儿走失保险</w:t>
            </w:r>
          </w:p>
        </w:tc>
        <w:tc>
          <w:tcPr>
            <w:tcW w:w="604" w:type="pct"/>
            <w:noWrap w:val="0"/>
            <w:vAlign w:val="top"/>
          </w:tcPr>
          <w:p w14:paraId="4C35BF73">
            <w:pPr>
              <w:rPr>
                <w:rFonts w:hint="eastAsia" w:ascii="宋体" w:hAnsi="宋体" w:eastAsia="宋体" w:cs="宋体"/>
                <w:b w:val="0"/>
                <w:bCs/>
                <w:sz w:val="21"/>
                <w:szCs w:val="21"/>
              </w:rPr>
            </w:pPr>
            <w:r>
              <w:rPr>
                <w:rFonts w:hint="eastAsia" w:ascii="宋体" w:hAnsi="宋体" w:eastAsia="宋体" w:cs="宋体"/>
                <w:b w:val="0"/>
                <w:bCs/>
                <w:sz w:val="21"/>
                <w:szCs w:val="21"/>
              </w:rPr>
              <w:t>10000元</w:t>
            </w:r>
          </w:p>
        </w:tc>
        <w:tc>
          <w:tcPr>
            <w:tcW w:w="2564" w:type="pct"/>
            <w:noWrap w:val="0"/>
            <w:vAlign w:val="top"/>
          </w:tcPr>
          <w:p w14:paraId="2558818A">
            <w:pPr>
              <w:rPr>
                <w:rFonts w:hint="eastAsia" w:ascii="宋体" w:hAnsi="宋体" w:eastAsia="宋体" w:cs="宋体"/>
                <w:b w:val="0"/>
                <w:bCs/>
                <w:sz w:val="21"/>
                <w:szCs w:val="21"/>
              </w:rPr>
            </w:pPr>
            <w:r>
              <w:rPr>
                <w:rFonts w:hint="eastAsia" w:ascii="宋体" w:hAnsi="宋体" w:eastAsia="宋体" w:cs="宋体"/>
                <w:b w:val="0"/>
                <w:bCs/>
                <w:sz w:val="21"/>
                <w:szCs w:val="21"/>
              </w:rPr>
              <w:t>年龄在12周岁(含)以下的子女在国内(不含港澳台地区)走丢后自公安立案起，下落不明超过30日，用于找寻过程中发生的食宿、交通费、及在广告媒体上刊登附照片寻人广告后，对被保险人因此而实际发生的找寻费用。</w:t>
            </w:r>
          </w:p>
        </w:tc>
      </w:tr>
      <w:tr w14:paraId="3C1F9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7F8D1BFA">
            <w:pPr>
              <w:rPr>
                <w:rFonts w:hint="eastAsia" w:ascii="宋体" w:hAnsi="宋体" w:eastAsia="宋体" w:cs="宋体"/>
                <w:b w:val="0"/>
                <w:bCs/>
                <w:sz w:val="21"/>
                <w:szCs w:val="21"/>
              </w:rPr>
            </w:pPr>
          </w:p>
        </w:tc>
        <w:tc>
          <w:tcPr>
            <w:tcW w:w="833" w:type="pct"/>
            <w:noWrap w:val="0"/>
            <w:vAlign w:val="top"/>
          </w:tcPr>
          <w:p w14:paraId="387EA173">
            <w:pPr>
              <w:rPr>
                <w:rFonts w:hint="eastAsia" w:ascii="宋体" w:hAnsi="宋体" w:eastAsia="宋体" w:cs="宋体"/>
                <w:b w:val="0"/>
                <w:bCs/>
                <w:sz w:val="21"/>
                <w:szCs w:val="21"/>
              </w:rPr>
            </w:pPr>
            <w:r>
              <w:rPr>
                <w:rFonts w:hint="eastAsia" w:ascii="宋体" w:hAnsi="宋体" w:eastAsia="宋体" w:cs="宋体"/>
                <w:b w:val="0"/>
                <w:bCs/>
                <w:sz w:val="21"/>
                <w:szCs w:val="21"/>
              </w:rPr>
              <w:t>老人寻找费用保险</w:t>
            </w:r>
          </w:p>
        </w:tc>
        <w:tc>
          <w:tcPr>
            <w:tcW w:w="604" w:type="pct"/>
            <w:noWrap w:val="0"/>
            <w:vAlign w:val="top"/>
          </w:tcPr>
          <w:p w14:paraId="3F2B94D4">
            <w:pPr>
              <w:rPr>
                <w:rFonts w:hint="eastAsia" w:ascii="宋体" w:hAnsi="宋体" w:eastAsia="宋体" w:cs="宋体"/>
                <w:b w:val="0"/>
                <w:bCs/>
                <w:sz w:val="21"/>
                <w:szCs w:val="21"/>
              </w:rPr>
            </w:pPr>
            <w:r>
              <w:rPr>
                <w:rFonts w:hint="eastAsia" w:ascii="宋体" w:hAnsi="宋体" w:eastAsia="宋体" w:cs="宋体"/>
                <w:b w:val="0"/>
                <w:bCs/>
                <w:sz w:val="21"/>
                <w:szCs w:val="21"/>
              </w:rPr>
              <w:t>10000元</w:t>
            </w:r>
          </w:p>
        </w:tc>
        <w:tc>
          <w:tcPr>
            <w:tcW w:w="2564" w:type="pct"/>
            <w:noWrap w:val="0"/>
            <w:vAlign w:val="top"/>
          </w:tcPr>
          <w:p w14:paraId="3CD262D5">
            <w:pPr>
              <w:rPr>
                <w:rFonts w:hint="eastAsia" w:ascii="宋体" w:hAnsi="宋体" w:eastAsia="宋体" w:cs="宋体"/>
                <w:b w:val="0"/>
                <w:bCs/>
                <w:sz w:val="21"/>
                <w:szCs w:val="21"/>
              </w:rPr>
            </w:pPr>
            <w:r>
              <w:rPr>
                <w:rFonts w:hint="eastAsia" w:ascii="宋体" w:hAnsi="宋体" w:eastAsia="宋体" w:cs="宋体"/>
                <w:b w:val="0"/>
                <w:bCs/>
                <w:sz w:val="21"/>
                <w:szCs w:val="21"/>
              </w:rPr>
              <w:t>被保险人所赡养的年龄在50周岁及以上的的老人发生丢失，用于找寻过程中发生的食宿、交通费及在广告媒体上刊登附照片寻人广告后，对被保险人因此而实际发生的找寻费用。</w:t>
            </w:r>
          </w:p>
        </w:tc>
      </w:tr>
      <w:tr w14:paraId="4C713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2B563F26">
            <w:pPr>
              <w:rPr>
                <w:rFonts w:hint="eastAsia" w:ascii="宋体" w:hAnsi="宋体" w:eastAsia="宋体" w:cs="宋体"/>
                <w:b w:val="0"/>
                <w:bCs/>
                <w:sz w:val="21"/>
                <w:szCs w:val="21"/>
              </w:rPr>
            </w:pPr>
          </w:p>
        </w:tc>
        <w:tc>
          <w:tcPr>
            <w:tcW w:w="833" w:type="pct"/>
            <w:noWrap w:val="0"/>
            <w:vAlign w:val="top"/>
          </w:tcPr>
          <w:p w14:paraId="4FF548E3">
            <w:pP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贫困家庭子女升学补助金保险</w:t>
            </w:r>
          </w:p>
        </w:tc>
        <w:tc>
          <w:tcPr>
            <w:tcW w:w="604" w:type="pct"/>
            <w:noWrap w:val="0"/>
            <w:vAlign w:val="top"/>
          </w:tcPr>
          <w:p w14:paraId="754E94BF">
            <w:pPr>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3000</w:t>
            </w:r>
            <w:r>
              <w:rPr>
                <w:rFonts w:hint="eastAsia" w:ascii="宋体" w:hAnsi="宋体" w:eastAsia="宋体" w:cs="宋体"/>
                <w:b w:val="0"/>
                <w:bCs/>
                <w:color w:val="auto"/>
                <w:sz w:val="21"/>
                <w:szCs w:val="21"/>
                <w:highlight w:val="none"/>
              </w:rPr>
              <w:t>元</w:t>
            </w:r>
          </w:p>
        </w:tc>
        <w:tc>
          <w:tcPr>
            <w:tcW w:w="2564" w:type="pct"/>
            <w:noWrap w:val="0"/>
            <w:vAlign w:val="top"/>
          </w:tcPr>
          <w:p w14:paraId="2AD58154">
            <w:pP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 政府认定的贫困家庭中，被保险人在当年参加高考被全日制大专以上高等院校录取入学给予一次性补助金。</w:t>
            </w:r>
          </w:p>
        </w:tc>
      </w:tr>
    </w:tbl>
    <w:p w14:paraId="09D66A0E">
      <w:pPr>
        <w:spacing w:line="360" w:lineRule="auto"/>
        <w:ind w:firstLine="422" w:firstLineChars="200"/>
        <w:rPr>
          <w:rStyle w:val="147"/>
          <w:rFonts w:hint="eastAsia" w:ascii="宋体" w:hAnsi="宋体" w:eastAsia="宋体" w:cs="宋体"/>
          <w:b/>
          <w:bCs w:val="0"/>
          <w:sz w:val="21"/>
          <w:szCs w:val="21"/>
        </w:rPr>
      </w:pPr>
      <w:r>
        <w:rPr>
          <w:rStyle w:val="147"/>
          <w:rFonts w:hint="eastAsia" w:ascii="宋体" w:hAnsi="宋体" w:eastAsia="宋体" w:cs="宋体"/>
          <w:b/>
          <w:bCs w:val="0"/>
          <w:sz w:val="21"/>
          <w:szCs w:val="21"/>
        </w:rPr>
        <w:t>附加：按采购人要求参加全年平安建设宣传活动，印制宣传册，提供小礼品。</w:t>
      </w:r>
    </w:p>
    <w:p w14:paraId="5FBD24E1">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1.3.2</w:t>
      </w:r>
      <w:r>
        <w:rPr>
          <w:rFonts w:hint="eastAsia" w:ascii="宋体" w:hAnsi="宋体" w:eastAsia="宋体" w:cs="宋体"/>
          <w:b w:val="0"/>
          <w:bCs/>
          <w:sz w:val="21"/>
          <w:szCs w:val="21"/>
        </w:rPr>
        <w:t>理赔服务</w:t>
      </w:r>
      <w:r>
        <w:rPr>
          <w:rFonts w:hint="eastAsia" w:ascii="宋体" w:hAnsi="宋体" w:eastAsia="宋体" w:cs="宋体"/>
          <w:b w:val="0"/>
          <w:bCs/>
          <w:sz w:val="21"/>
          <w:szCs w:val="21"/>
          <w:lang w:eastAsia="zh-CN"/>
        </w:rPr>
        <w:t>：</w:t>
      </w:r>
      <w:r>
        <w:rPr>
          <w:rFonts w:hint="eastAsia" w:ascii="宋体" w:hAnsi="宋体" w:eastAsia="宋体" w:cs="宋体"/>
          <w:b w:val="0"/>
          <w:bCs/>
          <w:sz w:val="21"/>
          <w:szCs w:val="21"/>
        </w:rPr>
        <w:t>发案后当事人在报警的同时向承保保险公司报案，经公安部门确认后即可履行赔付程序。</w:t>
      </w:r>
    </w:p>
    <w:p w14:paraId="09BD25E8">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textAlignment w:val="auto"/>
        <w:outlineLvl w:val="9"/>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1.3.3</w:t>
      </w:r>
      <w:r>
        <w:rPr>
          <w:rFonts w:hint="eastAsia" w:ascii="宋体" w:hAnsi="宋体" w:eastAsia="宋体" w:cs="宋体"/>
          <w:b w:val="0"/>
          <w:bCs/>
          <w:sz w:val="21"/>
          <w:szCs w:val="21"/>
        </w:rPr>
        <w:t>理赔所需资料。</w:t>
      </w:r>
      <w:r>
        <w:rPr>
          <w:rFonts w:hint="eastAsia" w:ascii="宋体" w:hAnsi="宋体" w:eastAsia="宋体" w:cs="宋体"/>
          <w:b w:val="0"/>
          <w:bCs/>
          <w:sz w:val="21"/>
          <w:szCs w:val="21"/>
          <w:lang w:eastAsia="zh-CN"/>
        </w:rPr>
        <w:t>平顶山新华区</w:t>
      </w:r>
      <w:r>
        <w:rPr>
          <w:rFonts w:hint="eastAsia" w:ascii="宋体" w:hAnsi="宋体" w:eastAsia="宋体" w:cs="宋体"/>
          <w:b w:val="0"/>
          <w:bCs/>
          <w:sz w:val="21"/>
          <w:szCs w:val="21"/>
        </w:rPr>
        <w:t>社会治安综合保险理赔申请（申请</w:t>
      </w:r>
      <w:r>
        <w:rPr>
          <w:rFonts w:hint="eastAsia" w:ascii="宋体" w:hAnsi="宋体" w:eastAsia="宋体" w:cs="宋体"/>
          <w:b w:val="0"/>
          <w:bCs/>
          <w:sz w:val="21"/>
          <w:szCs w:val="21"/>
          <w:lang w:eastAsia="zh-CN"/>
        </w:rPr>
        <w:t>书</w:t>
      </w:r>
      <w:r>
        <w:rPr>
          <w:rFonts w:hint="eastAsia" w:ascii="宋体" w:hAnsi="宋体" w:eastAsia="宋体" w:cs="宋体"/>
          <w:b w:val="0"/>
          <w:bCs/>
          <w:sz w:val="21"/>
          <w:szCs w:val="21"/>
        </w:rPr>
        <w:t>）、被保险人身份证、户口簿、房屋所有权证明；投保人、被保险人所能提供的与确认保险事故的性质、原因、损失程度</w:t>
      </w:r>
      <w:r>
        <w:rPr>
          <w:rFonts w:hint="eastAsia" w:ascii="宋体" w:hAnsi="宋体" w:eastAsia="宋体" w:cs="宋体"/>
          <w:b w:val="0"/>
          <w:bCs/>
          <w:sz w:val="21"/>
          <w:szCs w:val="21"/>
          <w:lang w:eastAsia="zh-CN"/>
        </w:rPr>
        <w:t>、医疗清单</w:t>
      </w:r>
      <w:r>
        <w:rPr>
          <w:rFonts w:hint="eastAsia" w:ascii="宋体" w:hAnsi="宋体" w:eastAsia="宋体" w:cs="宋体"/>
          <w:b w:val="0"/>
          <w:bCs/>
          <w:sz w:val="21"/>
          <w:szCs w:val="21"/>
        </w:rPr>
        <w:t>和损失金额等相关的其他证明和资料。</w:t>
      </w:r>
    </w:p>
    <w:p w14:paraId="7993F8E1">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514" w:firstLineChars="245"/>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1.3.4</w:t>
      </w:r>
      <w:r>
        <w:rPr>
          <w:rFonts w:hint="eastAsia" w:ascii="宋体" w:hAnsi="宋体" w:eastAsia="宋体" w:cs="宋体"/>
          <w:b w:val="0"/>
          <w:bCs/>
          <w:sz w:val="21"/>
          <w:szCs w:val="21"/>
        </w:rPr>
        <w:t>适用条款。</w:t>
      </w:r>
      <w:r>
        <w:rPr>
          <w:rFonts w:hint="eastAsia" w:ascii="宋体" w:hAnsi="宋体" w:cs="宋体"/>
          <w:b w:val="0"/>
          <w:bCs/>
          <w:sz w:val="21"/>
          <w:szCs w:val="21"/>
          <w:u w:val="single"/>
          <w:lang w:val="en-US" w:eastAsia="zh-CN"/>
        </w:rPr>
        <w:t xml:space="preserve">          </w:t>
      </w:r>
      <w:r>
        <w:rPr>
          <w:rFonts w:hint="eastAsia" w:ascii="宋体" w:hAnsi="宋体" w:eastAsia="宋体" w:cs="宋体"/>
          <w:b w:val="0"/>
          <w:bCs/>
          <w:sz w:val="21"/>
          <w:szCs w:val="21"/>
        </w:rPr>
        <w:t>。</w:t>
      </w:r>
    </w:p>
    <w:p w14:paraId="572FAD63">
      <w:pPr>
        <w:pStyle w:val="4"/>
        <w:bidi w:val="0"/>
        <w:spacing w:line="360" w:lineRule="auto"/>
        <w:ind w:firstLine="211" w:firstLineChars="100"/>
        <w:rPr>
          <w:rFonts w:hint="default" w:ascii="宋体" w:hAnsi="宋体" w:eastAsia="宋体" w:cs="宋体"/>
          <w:b w:val="0"/>
          <w:bCs/>
          <w:sz w:val="21"/>
          <w:szCs w:val="21"/>
          <w:highlight w:val="none"/>
          <w:lang w:val="en-US" w:eastAsia="zh-CN"/>
        </w:rPr>
      </w:pPr>
      <w:r>
        <w:rPr>
          <w:rFonts w:hint="eastAsia" w:ascii="宋体" w:hAnsi="宋体" w:eastAsia="宋体" w:cs="宋体"/>
          <w:b/>
          <w:kern w:val="2"/>
          <w:sz w:val="21"/>
          <w:szCs w:val="21"/>
          <w:lang w:val="en-US" w:eastAsia="zh-CN" w:bidi="ar-SA"/>
        </w:rPr>
        <w:t>1.4乙方应在理赔材料收集齐全后10个工作日内按要求的赔偿标准进行赔付</w:t>
      </w:r>
      <w:r>
        <w:rPr>
          <w:rFonts w:hint="eastAsia" w:ascii="宋体" w:hAnsi="宋体" w:eastAsia="宋体" w:cs="宋体"/>
          <w:b w:val="0"/>
          <w:bCs/>
          <w:sz w:val="21"/>
          <w:szCs w:val="21"/>
        </w:rPr>
        <w:t>，如因乙方</w:t>
      </w:r>
      <w:r>
        <w:rPr>
          <w:rFonts w:hint="eastAsia" w:ascii="宋体" w:hAnsi="宋体" w:eastAsia="宋体" w:cs="宋体"/>
          <w:b w:val="0"/>
          <w:bCs/>
          <w:sz w:val="21"/>
          <w:szCs w:val="21"/>
          <w:highlight w:val="none"/>
        </w:rPr>
        <w:t>自身原因未进行及时赔付，甲方有权监督乙方在规定时间内及时进行整改赔付，如未及时整改，导致受损居民进行投诉等恶劣影响，</w:t>
      </w:r>
      <w:r>
        <w:rPr>
          <w:rFonts w:hint="eastAsia" w:ascii="宋体" w:hAnsi="宋体" w:eastAsia="宋体" w:cs="宋体"/>
          <w:b w:val="0"/>
          <w:bCs/>
          <w:sz w:val="21"/>
          <w:szCs w:val="21"/>
          <w:highlight w:val="none"/>
          <w:lang w:eastAsia="zh-CN"/>
        </w:rPr>
        <w:t>乙方除支付赔款之外另按违约时间支付不少于</w:t>
      </w:r>
      <w:r>
        <w:rPr>
          <w:rFonts w:hint="eastAsia" w:ascii="宋体" w:hAnsi="宋体" w:eastAsia="宋体" w:cs="宋体"/>
          <w:b w:val="0"/>
          <w:bCs/>
          <w:sz w:val="21"/>
          <w:szCs w:val="21"/>
          <w:highlight w:val="none"/>
          <w:lang w:val="en-US" w:eastAsia="zh-CN"/>
        </w:rPr>
        <w:t>3倍</w:t>
      </w:r>
      <w:r>
        <w:rPr>
          <w:rFonts w:hint="eastAsia" w:ascii="宋体" w:hAnsi="宋体" w:eastAsia="宋体" w:cs="宋体"/>
          <w:b w:val="0"/>
          <w:bCs/>
          <w:sz w:val="21"/>
          <w:szCs w:val="21"/>
          <w:highlight w:val="none"/>
          <w:lang w:eastAsia="zh-CN"/>
        </w:rPr>
        <w:t>利息费用</w:t>
      </w: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保险费未拨付至乙方账户的除外。</w:t>
      </w:r>
    </w:p>
    <w:p w14:paraId="0B314EB2">
      <w:pPr>
        <w:pStyle w:val="4"/>
        <w:bidi w:val="0"/>
        <w:spacing w:line="360" w:lineRule="auto"/>
        <w:ind w:firstLine="211" w:firstLineChars="100"/>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1.5乙方有要求甲方提供相应理赔手续的权利，且手续齐全、真实。</w:t>
      </w:r>
    </w:p>
    <w:p w14:paraId="443ECAB8">
      <w:pPr>
        <w:pStyle w:val="3"/>
        <w:bidi w:val="0"/>
        <w:spacing w:line="240" w:lineRule="auto"/>
        <w:rPr>
          <w:rFonts w:hint="eastAsia" w:ascii="宋体" w:hAnsi="宋体" w:eastAsia="宋体" w:cs="宋体"/>
          <w:b/>
          <w:sz w:val="21"/>
          <w:szCs w:val="21"/>
          <w:lang w:val="en-US" w:eastAsia="zh-CN"/>
        </w:rPr>
      </w:pPr>
      <w:bookmarkStart w:id="397" w:name="_Toc23073_WPSOffice_Level2"/>
      <w:r>
        <w:rPr>
          <w:rFonts w:hint="eastAsia" w:ascii="宋体" w:hAnsi="宋体" w:eastAsia="宋体" w:cs="宋体"/>
          <w:b/>
          <w:sz w:val="21"/>
          <w:szCs w:val="21"/>
          <w:lang w:val="en-US" w:eastAsia="zh-CN"/>
        </w:rPr>
        <w:t>2.民生综合保险</w:t>
      </w:r>
      <w:bookmarkEnd w:id="397"/>
    </w:p>
    <w:p w14:paraId="6E51FAD0">
      <w:pPr>
        <w:pStyle w:val="4"/>
        <w:bidi w:val="0"/>
        <w:spacing w:line="240" w:lineRule="auto"/>
        <w:ind w:firstLine="211" w:firstLineChars="1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2.1保障对象：</w:t>
      </w:r>
    </w:p>
    <w:p w14:paraId="0326A4A4">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lang w:val="en-US" w:eastAsia="zh-CN"/>
        </w:rPr>
        <w:t>为</w:t>
      </w:r>
      <w:r>
        <w:rPr>
          <w:rFonts w:hint="eastAsia" w:ascii="宋体" w:hAnsi="宋体" w:eastAsia="宋体" w:cs="宋体"/>
          <w:sz w:val="21"/>
          <w:szCs w:val="21"/>
          <w:highlight w:val="none"/>
        </w:rPr>
        <w:t>具有平顶山市新华区户籍的自然人；本辖区务工人员；与本辖区居住户籍居民结婚后，但未取得本辖区户籍的人员；</w:t>
      </w:r>
      <w:r>
        <w:rPr>
          <w:rFonts w:hint="eastAsia" w:ascii="宋体" w:hAnsi="宋体" w:eastAsia="宋体" w:cs="宋体"/>
          <w:sz w:val="21"/>
          <w:szCs w:val="21"/>
          <w:highlight w:val="none"/>
          <w:lang w:val="en-US" w:eastAsia="zh-CN"/>
        </w:rPr>
        <w:t>与</w:t>
      </w:r>
      <w:r>
        <w:rPr>
          <w:rFonts w:hint="eastAsia" w:ascii="宋体" w:hAnsi="宋体" w:eastAsia="宋体" w:cs="宋体"/>
          <w:sz w:val="21"/>
          <w:szCs w:val="21"/>
          <w:highlight w:val="none"/>
        </w:rPr>
        <w:t>本辖区户籍居民结婚后，生育的子女尚未取得户籍的；户籍不在本辖区，但在本辖区内党政机关、社会团体、企事业单位上班的人员；本辖区内的未成年在校学生</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户籍不在本辖区，但在承包区域范围的所有人员。</w:t>
      </w:r>
    </w:p>
    <w:p w14:paraId="40BAB0EC">
      <w:pPr>
        <w:pStyle w:val="4"/>
        <w:bidi w:val="0"/>
        <w:spacing w:line="240" w:lineRule="auto"/>
        <w:ind w:firstLine="211" w:firstLineChars="100"/>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2.2保险责任范围：</w:t>
      </w:r>
    </w:p>
    <w:p w14:paraId="370FEAA9">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为平顶山市新华区行政区域内。</w:t>
      </w:r>
    </w:p>
    <w:p w14:paraId="7D31E53D">
      <w:pPr>
        <w:pStyle w:val="4"/>
        <w:bidi w:val="0"/>
        <w:spacing w:line="240" w:lineRule="auto"/>
        <w:ind w:firstLine="211" w:firstLineChars="100"/>
        <w:rPr>
          <w:rFonts w:hint="eastAsia" w:ascii="宋体" w:hAnsi="宋体" w:eastAsia="宋体" w:cs="宋体"/>
          <w:sz w:val="21"/>
          <w:szCs w:val="21"/>
        </w:rPr>
      </w:pPr>
      <w:r>
        <w:rPr>
          <w:rFonts w:hint="eastAsia" w:ascii="宋体" w:hAnsi="宋体" w:eastAsia="宋体" w:cs="宋体"/>
          <w:sz w:val="21"/>
          <w:szCs w:val="21"/>
          <w:lang w:val="en-US" w:eastAsia="zh-CN"/>
        </w:rPr>
        <w:t>2.3</w:t>
      </w:r>
      <w:r>
        <w:rPr>
          <w:rFonts w:hint="eastAsia" w:ascii="宋体" w:hAnsi="宋体" w:eastAsia="宋体" w:cs="宋体"/>
          <w:sz w:val="21"/>
          <w:szCs w:val="21"/>
        </w:rPr>
        <w:t>凡涉及本保险</w:t>
      </w:r>
      <w:r>
        <w:rPr>
          <w:rFonts w:hint="eastAsia" w:ascii="宋体" w:hAnsi="宋体" w:eastAsia="宋体" w:cs="宋体"/>
          <w:sz w:val="21"/>
          <w:szCs w:val="21"/>
          <w:lang w:val="en-US" w:eastAsia="zh-CN"/>
        </w:rPr>
        <w:t>协议</w:t>
      </w:r>
      <w:r>
        <w:rPr>
          <w:rFonts w:hint="eastAsia" w:ascii="宋体" w:hAnsi="宋体" w:eastAsia="宋体" w:cs="宋体"/>
          <w:sz w:val="21"/>
          <w:szCs w:val="21"/>
        </w:rPr>
        <w:t>的约定，均应采用书面形式。</w:t>
      </w:r>
    </w:p>
    <w:p w14:paraId="7AE43C33">
      <w:pPr>
        <w:pStyle w:val="4"/>
        <w:bidi w:val="0"/>
        <w:spacing w:line="240" w:lineRule="auto"/>
        <w:ind w:firstLine="211" w:firstLineChars="100"/>
        <w:rPr>
          <w:rFonts w:hint="eastAsia" w:ascii="宋体" w:hAnsi="宋体" w:eastAsia="宋体" w:cs="宋体"/>
          <w:b/>
          <w:bCs/>
          <w:sz w:val="21"/>
          <w:szCs w:val="21"/>
        </w:rPr>
      </w:pPr>
      <w:r>
        <w:rPr>
          <w:rFonts w:hint="eastAsia" w:ascii="宋体" w:hAnsi="宋体" w:eastAsia="宋体" w:cs="宋体"/>
          <w:b/>
          <w:bCs/>
          <w:sz w:val="21"/>
          <w:szCs w:val="21"/>
          <w:lang w:val="en-US" w:eastAsia="zh-CN"/>
        </w:rPr>
        <w:t>2.4</w:t>
      </w:r>
      <w:r>
        <w:rPr>
          <w:rFonts w:hint="eastAsia" w:ascii="宋体" w:hAnsi="宋体" w:eastAsia="宋体" w:cs="宋体"/>
          <w:b/>
          <w:bCs/>
          <w:sz w:val="21"/>
          <w:szCs w:val="21"/>
        </w:rPr>
        <w:t>合同</w:t>
      </w:r>
      <w:r>
        <w:rPr>
          <w:rFonts w:hint="eastAsia" w:ascii="宋体" w:hAnsi="宋体" w:eastAsia="宋体" w:cs="宋体"/>
          <w:b/>
          <w:bCs/>
          <w:sz w:val="21"/>
          <w:szCs w:val="21"/>
          <w:lang w:val="en-US" w:eastAsia="zh-CN"/>
        </w:rPr>
        <w:t>双</w:t>
      </w:r>
      <w:r>
        <w:rPr>
          <w:rFonts w:hint="eastAsia" w:ascii="宋体" w:hAnsi="宋体" w:eastAsia="宋体" w:cs="宋体"/>
          <w:b/>
          <w:bCs/>
          <w:sz w:val="21"/>
          <w:szCs w:val="21"/>
        </w:rPr>
        <w:t>方的权利及义务</w:t>
      </w:r>
    </w:p>
    <w:p w14:paraId="0B9FBB9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1、投保人（以下简称甲方）的权利和义务</w:t>
      </w:r>
    </w:p>
    <w:p w14:paraId="03C971B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）甲方有向乙方进行保险事故索赔的权利。</w:t>
      </w:r>
    </w:p>
    <w:p w14:paraId="40FAEEC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w:t>
      </w:r>
      <w:r>
        <w:rPr>
          <w:rFonts w:hint="eastAsia" w:ascii="宋体" w:hAnsi="宋体" w:eastAsia="宋体" w:cs="宋体"/>
          <w:sz w:val="21"/>
          <w:szCs w:val="21"/>
        </w:rPr>
        <w:t>）在保险责任事故发生后，甲方应该按要求提供其所能提供的与确认保险事故的性质 、原因、损失程度等有关的证明和资料。</w:t>
      </w:r>
    </w:p>
    <w:p w14:paraId="3843D5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）甲方有权对保险合同变更、修改和解除等做出申请。</w:t>
      </w:r>
    </w:p>
    <w:p w14:paraId="2AF2340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）甲方有权对保险索赔进行监督。</w:t>
      </w:r>
    </w:p>
    <w:p w14:paraId="35B77F1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）甲方负责提供</w:t>
      </w:r>
      <w:r>
        <w:rPr>
          <w:rFonts w:hint="eastAsia" w:ascii="宋体" w:hAnsi="宋体" w:eastAsia="宋体" w:cs="宋体"/>
          <w:sz w:val="21"/>
          <w:szCs w:val="21"/>
          <w:lang w:val="en-US" w:eastAsia="zh-CN"/>
        </w:rPr>
        <w:t>乙</w:t>
      </w:r>
      <w:r>
        <w:rPr>
          <w:rFonts w:hint="eastAsia" w:ascii="宋体" w:hAnsi="宋体" w:eastAsia="宋体" w:cs="宋体"/>
          <w:sz w:val="21"/>
          <w:szCs w:val="21"/>
        </w:rPr>
        <w:t>方所需的相关资料和数据，有如实告知的义务。</w:t>
      </w:r>
    </w:p>
    <w:p w14:paraId="7372B2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甲方有按照保险合同的约定支付保险费的义务。若甲方未按约定支付保险费，乙方有权不承担自保险合同生效之日起至未按约定支付保费期间发生的一切保险赔偿责任，保险合同效力自动中止，直至甲方按约定支付保险费之日起，保险合同才能自动复效。</w:t>
      </w:r>
    </w:p>
    <w:p w14:paraId="4EF39F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7</w:t>
      </w:r>
      <w:r>
        <w:rPr>
          <w:rFonts w:hint="eastAsia" w:ascii="宋体" w:hAnsi="宋体" w:eastAsia="宋体" w:cs="宋体"/>
          <w:sz w:val="21"/>
          <w:szCs w:val="21"/>
        </w:rPr>
        <w:t>）相关法律、法规赋予甲方的其他权利和义务。</w:t>
      </w:r>
    </w:p>
    <w:p w14:paraId="26E6AC7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2、保险人（以下简称乙方）的权利和义务</w:t>
      </w:r>
    </w:p>
    <w:p w14:paraId="778A403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（1）乙方有按保险合同的相关约定收取保险费的权利。</w:t>
      </w:r>
    </w:p>
    <w:p w14:paraId="7BD28BE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（2）乙方应该提供有关险种的格式条款，并按事先协商好的保险条件为甲方出据正式的保险单和增值税普通发票（保费中已经包含发票税金）。</w:t>
      </w:r>
    </w:p>
    <w:p w14:paraId="5A3BCD2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（3）乙方按保险合同约定，负责保险事故的处理查勘、理赔等有关事宜，并对发生的保险事故所造成的经济损失承担赔偿责任。</w:t>
      </w:r>
    </w:p>
    <w:p w14:paraId="2B28F50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）乙方有对甲方所提供的所有文件、资料或信息保密的义务。</w:t>
      </w:r>
    </w:p>
    <w:p w14:paraId="3F9C8F5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）相关法律、法规赋予保险人的其他权利和义务。</w:t>
      </w:r>
    </w:p>
    <w:p w14:paraId="104B56F1">
      <w:pPr>
        <w:pStyle w:val="4"/>
        <w:bidi w:val="0"/>
        <w:spacing w:line="240" w:lineRule="auto"/>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2.5保险保障方案</w:t>
      </w:r>
    </w:p>
    <w:p w14:paraId="0A1E73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保险金额由投保人、被保险人双方约定，并在保险单中载明。甲方</w:t>
      </w:r>
      <w:r>
        <w:rPr>
          <w:rFonts w:hint="eastAsia" w:ascii="宋体" w:hAnsi="宋体" w:eastAsia="宋体" w:cs="宋体"/>
          <w:sz w:val="21"/>
          <w:szCs w:val="21"/>
          <w:lang w:val="en-US" w:eastAsia="zh-CN"/>
        </w:rPr>
        <w:t>应</w:t>
      </w:r>
      <w:r>
        <w:rPr>
          <w:rFonts w:hint="eastAsia" w:ascii="宋体" w:hAnsi="宋体" w:eastAsia="宋体" w:cs="宋体"/>
          <w:sz w:val="21"/>
          <w:szCs w:val="21"/>
        </w:rPr>
        <w:t>于</w:t>
      </w:r>
      <w:r>
        <w:rPr>
          <w:rFonts w:hint="eastAsia" w:ascii="宋体" w:hAnsi="宋体" w:eastAsia="宋体" w:cs="宋体"/>
          <w:sz w:val="21"/>
          <w:szCs w:val="21"/>
          <w:lang w:val="en-US" w:eastAsia="zh-CN"/>
        </w:rPr>
        <w:t>投保后保单生效前向乙方缴纳足额的</w:t>
      </w:r>
      <w:r>
        <w:rPr>
          <w:rFonts w:hint="eastAsia" w:ascii="宋体" w:hAnsi="宋体" w:eastAsia="宋体" w:cs="宋体"/>
          <w:sz w:val="21"/>
          <w:szCs w:val="21"/>
        </w:rPr>
        <w:t>的保险费。保险金额是保险人承担给付保险金责任的最高限额，保险金一经确定，中途不得变更。甲方在付清保险费后，乙方</w:t>
      </w:r>
      <w:r>
        <w:rPr>
          <w:rFonts w:hint="eastAsia" w:ascii="宋体" w:hAnsi="宋体" w:eastAsia="宋体" w:cs="宋体"/>
          <w:sz w:val="21"/>
          <w:szCs w:val="21"/>
          <w:lang w:val="en-US" w:eastAsia="zh-CN"/>
        </w:rPr>
        <w:t>按照保单载明时间</w:t>
      </w:r>
      <w:r>
        <w:rPr>
          <w:rFonts w:hint="eastAsia" w:ascii="宋体" w:hAnsi="宋体" w:eastAsia="宋体" w:cs="宋体"/>
          <w:sz w:val="21"/>
          <w:szCs w:val="21"/>
        </w:rPr>
        <w:t>开始履行保险责任。</w:t>
      </w:r>
    </w:p>
    <w:p w14:paraId="7979C6A8">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保险保障方案如下：</w:t>
      </w:r>
    </w:p>
    <w:tbl>
      <w:tblPr>
        <w:tblStyle w:val="34"/>
        <w:tblW w:w="4999" w:type="pct"/>
        <w:jc w:val="center"/>
        <w:tblLayout w:type="autofit"/>
        <w:tblCellMar>
          <w:top w:w="0" w:type="dxa"/>
          <w:left w:w="0" w:type="dxa"/>
          <w:bottom w:w="0" w:type="dxa"/>
          <w:right w:w="0" w:type="dxa"/>
        </w:tblCellMar>
      </w:tblPr>
      <w:tblGrid>
        <w:gridCol w:w="1830"/>
        <w:gridCol w:w="1609"/>
        <w:gridCol w:w="6335"/>
      </w:tblGrid>
      <w:tr w14:paraId="55F6E612">
        <w:tblPrEx>
          <w:tblCellMar>
            <w:top w:w="0" w:type="dxa"/>
            <w:left w:w="0" w:type="dxa"/>
            <w:bottom w:w="0" w:type="dxa"/>
            <w:right w:w="0" w:type="dxa"/>
          </w:tblCellMar>
        </w:tblPrEx>
        <w:trPr>
          <w:trHeight w:val="270" w:hRule="atLeast"/>
          <w:jc w:val="center"/>
        </w:trPr>
        <w:tc>
          <w:tcPr>
            <w:tcW w:w="6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010CB4">
            <w:pPr>
              <w:keepNext w:val="0"/>
              <w:keepLines w:val="0"/>
              <w:widowControl/>
              <w:suppressLineNumbers w:val="0"/>
              <w:spacing w:line="360" w:lineRule="auto"/>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保险名称</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D6E9A1">
            <w:pPr>
              <w:keepNext w:val="0"/>
              <w:keepLines w:val="0"/>
              <w:widowControl/>
              <w:suppressLineNumbers w:val="0"/>
              <w:spacing w:line="360" w:lineRule="auto"/>
              <w:jc w:val="center"/>
              <w:textAlignment w:val="center"/>
              <w:rPr>
                <w:rFonts w:hint="eastAsia" w:ascii="宋体" w:hAnsi="宋体" w:eastAsia="宋体" w:cs="宋体"/>
                <w:b/>
                <w:i w:val="0"/>
                <w:color w:val="000000"/>
                <w:sz w:val="18"/>
                <w:szCs w:val="18"/>
                <w:highlight w:val="none"/>
                <w:u w:val="none"/>
              </w:rPr>
            </w:pPr>
            <w:r>
              <w:rPr>
                <w:rFonts w:hint="eastAsia" w:ascii="宋体" w:hAnsi="宋体" w:eastAsia="宋体" w:cs="宋体"/>
                <w:b/>
                <w:i w:val="0"/>
                <w:color w:val="000000"/>
                <w:kern w:val="0"/>
                <w:sz w:val="18"/>
                <w:szCs w:val="18"/>
                <w:highlight w:val="none"/>
                <w:u w:val="none"/>
                <w:lang w:val="en-US" w:eastAsia="zh-CN" w:bidi="ar"/>
              </w:rPr>
              <w:t>保障内容</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2ADEAA">
            <w:pPr>
              <w:keepNext w:val="0"/>
              <w:keepLines w:val="0"/>
              <w:widowControl/>
              <w:suppressLineNumbers w:val="0"/>
              <w:spacing w:line="360" w:lineRule="auto"/>
              <w:jc w:val="center"/>
              <w:textAlignment w:val="center"/>
              <w:rPr>
                <w:rFonts w:hint="eastAsia" w:ascii="宋体" w:hAnsi="宋体" w:eastAsia="宋体" w:cs="宋体"/>
                <w:b/>
                <w:i w:val="0"/>
                <w:color w:val="000000"/>
                <w:sz w:val="18"/>
                <w:szCs w:val="18"/>
                <w:highlight w:val="none"/>
                <w:u w:val="none"/>
                <w:lang w:val="en-US"/>
              </w:rPr>
            </w:pPr>
            <w:r>
              <w:rPr>
                <w:rFonts w:hint="eastAsia" w:ascii="宋体" w:hAnsi="宋体" w:eastAsia="宋体" w:cs="宋体"/>
                <w:b/>
                <w:i w:val="0"/>
                <w:color w:val="000000"/>
                <w:kern w:val="0"/>
                <w:sz w:val="18"/>
                <w:szCs w:val="18"/>
                <w:highlight w:val="none"/>
                <w:u w:val="none"/>
                <w:lang w:val="en-US" w:eastAsia="zh-CN" w:bidi="ar"/>
              </w:rPr>
              <w:t>保险责任及限额</w:t>
            </w:r>
          </w:p>
        </w:tc>
      </w:tr>
      <w:tr w14:paraId="2D9201F9">
        <w:tblPrEx>
          <w:tblCellMar>
            <w:top w:w="0" w:type="dxa"/>
            <w:left w:w="0" w:type="dxa"/>
            <w:bottom w:w="0" w:type="dxa"/>
            <w:right w:w="0" w:type="dxa"/>
          </w:tblCellMar>
        </w:tblPrEx>
        <w:trPr>
          <w:trHeight w:val="930" w:hRule="atLeast"/>
          <w:jc w:val="center"/>
        </w:trPr>
        <w:tc>
          <w:tcPr>
            <w:tcW w:w="616"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44E1E3">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公共管理综合责任保险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A3FEEA">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突发公共安全事件意外伤害（被保险人为突发事件中的受害人）</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30C4AC">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因发生特定突发的公共安全事件导致被保险人受伤、身故或残疾的给付医疗、身故或伤残赔偿金。包括倒房、火灾、爆炸、生产安全事故、食物中毒、突发恶性事件、高空坠物伤人、拥挤踩踏、个人暴力、恐怖活动等意外事件。医疗费赔付限额5000元/人，伤残、死亡赔付限额5万元/人。 累计赔偿限额50万元。</w:t>
            </w:r>
          </w:p>
        </w:tc>
      </w:tr>
      <w:tr w14:paraId="2C19192B">
        <w:tblPrEx>
          <w:tblCellMar>
            <w:top w:w="0" w:type="dxa"/>
            <w:left w:w="0" w:type="dxa"/>
            <w:bottom w:w="0" w:type="dxa"/>
            <w:right w:w="0" w:type="dxa"/>
          </w:tblCellMar>
        </w:tblPrEx>
        <w:trPr>
          <w:trHeight w:val="915"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26EA29">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FCAFA3">
            <w:pPr>
              <w:keepNext w:val="0"/>
              <w:keepLines w:val="0"/>
              <w:widowControl/>
              <w:suppressLineNumbers w:val="0"/>
              <w:spacing w:line="360" w:lineRule="auto"/>
              <w:jc w:val="center"/>
              <w:textAlignment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eastAsia="宋体" w:cs="宋体"/>
                <w:i w:val="0"/>
                <w:color w:val="000000"/>
                <w:kern w:val="0"/>
                <w:sz w:val="18"/>
                <w:szCs w:val="18"/>
                <w:highlight w:val="none"/>
                <w:u w:val="none"/>
                <w:lang w:val="en-US" w:eastAsia="zh-CN" w:bidi="ar"/>
              </w:rPr>
              <w:t>市政设施公众意外伤害（被保险人为突发事件中的受害人）</w:t>
            </w:r>
          </w:p>
          <w:p w14:paraId="45F990F6">
            <w:pPr>
              <w:keepNext w:val="0"/>
              <w:keepLines w:val="0"/>
              <w:widowControl/>
              <w:suppressLineNumbers w:val="0"/>
              <w:spacing w:line="360" w:lineRule="auto"/>
              <w:jc w:val="center"/>
              <w:textAlignment w:val="center"/>
              <w:rPr>
                <w:rFonts w:hint="eastAsia" w:ascii="宋体" w:hAnsi="宋体" w:eastAsia="宋体" w:cs="宋体"/>
                <w:i w:val="0"/>
                <w:color w:val="000000"/>
                <w:kern w:val="0"/>
                <w:sz w:val="18"/>
                <w:szCs w:val="18"/>
                <w:highlight w:val="none"/>
                <w:u w:val="none"/>
                <w:lang w:val="en-US" w:eastAsia="zh-CN" w:bidi="ar"/>
              </w:rPr>
            </w:pP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C46C43">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因市政非营利性质公共设施（仅包含：市政井盖、护栏、街路标牌），因为缺失、沉降、坠落、倒塌等原因造成第三方人员受伤、身故或残疾的给付医疗、身故或伤残赔偿金。医疗费赔付限额5000元/人，伤残、死亡赔付限额5万元/人。 累计赔偿限额50万元。保险人先期赔偿后有权向公共设施所有人、监管人或致害人追偿。</w:t>
            </w:r>
          </w:p>
        </w:tc>
      </w:tr>
      <w:tr w14:paraId="608ADA9D">
        <w:tblPrEx>
          <w:tblCellMar>
            <w:top w:w="0" w:type="dxa"/>
            <w:left w:w="0" w:type="dxa"/>
            <w:bottom w:w="0" w:type="dxa"/>
            <w:right w:w="0" w:type="dxa"/>
          </w:tblCellMar>
        </w:tblPrEx>
        <w:trPr>
          <w:trHeight w:val="705" w:hRule="atLeast"/>
          <w:jc w:val="center"/>
        </w:trPr>
        <w:tc>
          <w:tcPr>
            <w:tcW w:w="616"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033DBB">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政府救助责任保险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1F248D">
            <w:pPr>
              <w:keepNext w:val="0"/>
              <w:keepLines w:val="0"/>
              <w:widowControl/>
              <w:suppressLineNumbers w:val="0"/>
              <w:spacing w:line="360" w:lineRule="auto"/>
              <w:jc w:val="center"/>
              <w:textAlignment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eastAsia="宋体" w:cs="宋体"/>
                <w:i w:val="0"/>
                <w:color w:val="000000"/>
                <w:kern w:val="0"/>
                <w:sz w:val="18"/>
                <w:szCs w:val="18"/>
                <w:highlight w:val="none"/>
                <w:u w:val="none"/>
                <w:lang w:val="en-US" w:eastAsia="zh-CN" w:bidi="ar"/>
              </w:rPr>
              <w:t>见义勇为意外伤害</w:t>
            </w:r>
          </w:p>
          <w:p w14:paraId="3899D255">
            <w:pPr>
              <w:keepNext w:val="0"/>
              <w:keepLines w:val="0"/>
              <w:widowControl/>
              <w:suppressLineNumbers w:val="0"/>
              <w:spacing w:line="360" w:lineRule="auto"/>
              <w:jc w:val="center"/>
              <w:textAlignment w:val="center"/>
              <w:rPr>
                <w:rFonts w:hint="eastAsia" w:ascii="宋体" w:hAnsi="宋体" w:eastAsia="宋体" w:cs="宋体"/>
                <w:i w:val="0"/>
                <w:color w:val="000000"/>
                <w:kern w:val="0"/>
                <w:sz w:val="18"/>
                <w:szCs w:val="18"/>
                <w:highlight w:val="none"/>
                <w:u w:val="none"/>
                <w:lang w:val="en-US" w:eastAsia="zh-CN" w:bidi="ar"/>
              </w:rPr>
            </w:pPr>
            <w:r>
              <w:rPr>
                <w:rFonts w:hint="eastAsia" w:ascii="宋体" w:hAnsi="宋体" w:eastAsia="宋体" w:cs="宋体"/>
                <w:i w:val="0"/>
                <w:color w:val="000000"/>
                <w:kern w:val="0"/>
                <w:sz w:val="18"/>
                <w:szCs w:val="18"/>
                <w:highlight w:val="none"/>
                <w:u w:val="none"/>
                <w:lang w:val="en-US" w:eastAsia="zh-CN" w:bidi="ar"/>
              </w:rPr>
              <w:t>（被保险人为突发事件中的受害人）</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63DB6A">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在保险期限内，在约定的行政区域范围内，经区级以上政府部门认定为见义勇为的，因见义勇为遭受伤害的，每人次医疗费、误工费限额合计</w:t>
            </w:r>
            <w:r>
              <w:rPr>
                <w:rStyle w:val="149"/>
                <w:rFonts w:hint="eastAsia" w:ascii="宋体" w:hAnsi="宋体" w:eastAsia="宋体" w:cs="宋体"/>
                <w:sz w:val="18"/>
                <w:szCs w:val="18"/>
                <w:highlight w:val="none"/>
                <w:lang w:val="en-US" w:eastAsia="zh-CN" w:bidi="ar"/>
              </w:rPr>
              <w:t>5000</w:t>
            </w:r>
            <w:r>
              <w:rPr>
                <w:rFonts w:hint="eastAsia" w:ascii="宋体" w:hAnsi="宋体" w:eastAsia="宋体" w:cs="宋体"/>
                <w:i w:val="0"/>
                <w:color w:val="000000"/>
                <w:kern w:val="0"/>
                <w:sz w:val="18"/>
                <w:szCs w:val="18"/>
                <w:highlight w:val="none"/>
                <w:u w:val="none"/>
                <w:lang w:val="en-US" w:eastAsia="zh-CN" w:bidi="ar"/>
              </w:rPr>
              <w:t>元（误工费按照</w:t>
            </w:r>
            <w:r>
              <w:rPr>
                <w:rStyle w:val="149"/>
                <w:rFonts w:hint="eastAsia" w:ascii="宋体" w:hAnsi="宋体" w:eastAsia="宋体" w:cs="宋体"/>
                <w:sz w:val="18"/>
                <w:szCs w:val="18"/>
                <w:highlight w:val="none"/>
                <w:lang w:val="en-US" w:eastAsia="zh-CN" w:bidi="ar"/>
              </w:rPr>
              <w:t>100</w:t>
            </w:r>
            <w:r>
              <w:rPr>
                <w:rFonts w:hint="eastAsia" w:ascii="宋体" w:hAnsi="宋体" w:eastAsia="宋体" w:cs="宋体"/>
                <w:i w:val="0"/>
                <w:color w:val="000000"/>
                <w:kern w:val="0"/>
                <w:sz w:val="18"/>
                <w:szCs w:val="18"/>
                <w:highlight w:val="none"/>
                <w:u w:val="none"/>
                <w:lang w:val="en-US" w:eastAsia="zh-CN" w:bidi="ar"/>
              </w:rPr>
              <w:t>元</w:t>
            </w:r>
            <w:r>
              <w:rPr>
                <w:rStyle w:val="149"/>
                <w:rFonts w:hint="eastAsia" w:ascii="宋体" w:hAnsi="宋体" w:eastAsia="宋体" w:cs="宋体"/>
                <w:sz w:val="18"/>
                <w:szCs w:val="18"/>
                <w:highlight w:val="none"/>
                <w:lang w:val="en-US" w:eastAsia="zh-CN" w:bidi="ar"/>
              </w:rPr>
              <w:t>/</w:t>
            </w:r>
            <w:r>
              <w:rPr>
                <w:rFonts w:hint="eastAsia" w:ascii="宋体" w:hAnsi="宋体" w:eastAsia="宋体" w:cs="宋体"/>
                <w:i w:val="0"/>
                <w:color w:val="000000"/>
                <w:kern w:val="0"/>
                <w:sz w:val="18"/>
                <w:szCs w:val="18"/>
                <w:highlight w:val="none"/>
                <w:u w:val="none"/>
                <w:lang w:val="en-US" w:eastAsia="zh-CN" w:bidi="ar"/>
              </w:rPr>
              <w:t>日计算）；伤残、死亡赔付限额5万元/人；累计赔偿限额</w:t>
            </w:r>
            <w:r>
              <w:rPr>
                <w:rStyle w:val="149"/>
                <w:rFonts w:hint="eastAsia" w:ascii="宋体" w:hAnsi="宋体" w:eastAsia="宋体" w:cs="宋体"/>
                <w:sz w:val="18"/>
                <w:szCs w:val="18"/>
                <w:highlight w:val="none"/>
                <w:lang w:val="en-US" w:eastAsia="zh-CN" w:bidi="ar"/>
              </w:rPr>
              <w:t>50</w:t>
            </w:r>
            <w:r>
              <w:rPr>
                <w:rFonts w:hint="eastAsia" w:ascii="宋体" w:hAnsi="宋体" w:eastAsia="宋体" w:cs="宋体"/>
                <w:i w:val="0"/>
                <w:color w:val="000000"/>
                <w:kern w:val="0"/>
                <w:sz w:val="18"/>
                <w:szCs w:val="18"/>
                <w:highlight w:val="none"/>
                <w:u w:val="none"/>
                <w:lang w:val="en-US" w:eastAsia="zh-CN" w:bidi="ar"/>
              </w:rPr>
              <w:t>万元。</w:t>
            </w:r>
          </w:p>
        </w:tc>
      </w:tr>
      <w:tr w14:paraId="13268F84">
        <w:tblPrEx>
          <w:tblCellMar>
            <w:top w:w="0" w:type="dxa"/>
            <w:left w:w="0" w:type="dxa"/>
            <w:bottom w:w="0" w:type="dxa"/>
            <w:right w:w="0" w:type="dxa"/>
          </w:tblCellMar>
        </w:tblPrEx>
        <w:trPr>
          <w:trHeight w:val="93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7BFC4D">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CCC477">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自然灾害意外伤害</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05A1E7">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因发生由于暴雨、暴风、崩塌、雷击、洪水、龙卷风（热带风暴）、海啸、泥石流、突发性滑坡、冰雹等自然灾害及在上述自然灾害中的抢险救灾行为导致的直接被保险人受伤、身故或残疾的给付医疗、身故或伤残赔偿金。医疗费赔付限额5000元/人，伤残、死亡赔付限额5万元/人。 累计赔偿限额50万元。</w:t>
            </w:r>
          </w:p>
        </w:tc>
      </w:tr>
      <w:tr w14:paraId="5C12A4A3">
        <w:tblPrEx>
          <w:tblCellMar>
            <w:top w:w="0" w:type="dxa"/>
            <w:left w:w="0" w:type="dxa"/>
            <w:bottom w:w="0" w:type="dxa"/>
            <w:right w:w="0" w:type="dxa"/>
          </w:tblCellMar>
        </w:tblPrEx>
        <w:trPr>
          <w:trHeight w:val="45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CB8D63">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F7A26A">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精神障碍患者伤害救助保险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C51D14">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在保险期限内，在约定的行政区域范围内，因精神障碍患者袭击造成第三方人受伤、伤残、死亡的，每人次医疗限额10000元，每人次伤残、死亡限额20万元，每次事故赔偿限额400万元，总累计赔偿限额800万元。</w:t>
            </w:r>
          </w:p>
        </w:tc>
      </w:tr>
      <w:tr w14:paraId="204BD0F9">
        <w:tblPrEx>
          <w:tblCellMar>
            <w:top w:w="0" w:type="dxa"/>
            <w:left w:w="0" w:type="dxa"/>
            <w:bottom w:w="0" w:type="dxa"/>
            <w:right w:w="0" w:type="dxa"/>
          </w:tblCellMar>
        </w:tblPrEx>
        <w:trPr>
          <w:trHeight w:val="48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7A89D6">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1F2056">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未成年人溺水救助保险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AAF899">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未成年人因溺水受伤、死亡,经政府及相关部门认定后,医疗费赔付限额5000元/人，死亡赔付限额5万元/人。 累计赔偿限额50万元。</w:t>
            </w:r>
          </w:p>
        </w:tc>
      </w:tr>
      <w:tr w14:paraId="2E1617E1">
        <w:tblPrEx>
          <w:tblCellMar>
            <w:top w:w="0" w:type="dxa"/>
            <w:left w:w="0" w:type="dxa"/>
            <w:bottom w:w="0" w:type="dxa"/>
            <w:right w:w="0" w:type="dxa"/>
          </w:tblCellMar>
        </w:tblPrEx>
        <w:trPr>
          <w:trHeight w:val="72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88BF97">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FC62F1">
            <w:pPr>
              <w:spacing w:line="360" w:lineRule="auto"/>
              <w:jc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sz w:val="18"/>
                <w:szCs w:val="18"/>
                <w:highlight w:val="none"/>
                <w:u w:val="none"/>
                <w:lang w:val="en-US" w:eastAsia="zh-CN"/>
              </w:rPr>
              <w:t>交通事故救助保险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D47606">
            <w:pPr>
              <w:spacing w:line="360" w:lineRule="auto"/>
              <w:jc w:val="left"/>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sz w:val="18"/>
                <w:szCs w:val="18"/>
                <w:highlight w:val="none"/>
                <w:u w:val="none"/>
                <w:lang w:val="en-US" w:eastAsia="zh-CN"/>
              </w:rPr>
              <w:t>发生道路交通事故致人重伤或死亡,责任人无能力赔偿或者肇事车辆逃逸的,按照《河南省道路交通事故社会救助基金管理办法》处理后,医疗费赔付限额5000元/人，死亡赔付限额5万元/人。 累计赔偿限额50万元。</w:t>
            </w:r>
          </w:p>
        </w:tc>
      </w:tr>
      <w:tr w14:paraId="2239CD71">
        <w:tblPrEx>
          <w:tblCellMar>
            <w:top w:w="0" w:type="dxa"/>
            <w:left w:w="0" w:type="dxa"/>
            <w:bottom w:w="0" w:type="dxa"/>
            <w:right w:w="0" w:type="dxa"/>
          </w:tblCellMar>
        </w:tblPrEx>
        <w:trPr>
          <w:trHeight w:val="45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80A56">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9F036D">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精神障碍患者贫困家庭医疗救助保险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6EB52D">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在保险期限内，在约定的行政区域范围内，政府认定的贫困精神障碍患者住院治疗的医疗和护理费用，每人次限额5000元，累计赔偿限额50万元。</w:t>
            </w:r>
          </w:p>
        </w:tc>
      </w:tr>
      <w:tr w14:paraId="49EA76AC">
        <w:tblPrEx>
          <w:tblCellMar>
            <w:top w:w="0" w:type="dxa"/>
            <w:left w:w="0" w:type="dxa"/>
            <w:bottom w:w="0" w:type="dxa"/>
            <w:right w:w="0" w:type="dxa"/>
          </w:tblCellMar>
        </w:tblPrEx>
        <w:trPr>
          <w:trHeight w:val="465"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BDDEE5">
            <w:pPr>
              <w:spacing w:line="360" w:lineRule="auto"/>
              <w:jc w:val="center"/>
              <w:rPr>
                <w:rFonts w:hint="eastAsia" w:ascii="宋体" w:hAnsi="宋体" w:eastAsia="宋体" w:cs="宋体"/>
                <w:i w:val="0"/>
                <w:color w:val="000000"/>
                <w:sz w:val="18"/>
                <w:szCs w:val="18"/>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625FE1">
            <w:pPr>
              <w:keepNext w:val="0"/>
              <w:keepLines w:val="0"/>
              <w:widowControl/>
              <w:suppressLineNumbers w:val="0"/>
              <w:spacing w:line="360" w:lineRule="auto"/>
              <w:jc w:val="center"/>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公共安全事件安全处置人员意外伤害补偿保险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582F92">
            <w:pPr>
              <w:keepNext w:val="0"/>
              <w:keepLines w:val="0"/>
              <w:widowControl/>
              <w:suppressLineNumbers w:val="0"/>
              <w:spacing w:line="360" w:lineRule="auto"/>
              <w:jc w:val="left"/>
              <w:textAlignment w:val="center"/>
              <w:rPr>
                <w:rFonts w:hint="eastAsia" w:ascii="宋体" w:hAnsi="宋体" w:eastAsia="宋体" w:cs="宋体"/>
                <w:i w:val="0"/>
                <w:color w:val="000000"/>
                <w:sz w:val="18"/>
                <w:szCs w:val="18"/>
                <w:highlight w:val="none"/>
                <w:u w:val="none"/>
              </w:rPr>
            </w:pPr>
            <w:r>
              <w:rPr>
                <w:rFonts w:hint="eastAsia" w:ascii="宋体" w:hAnsi="宋体" w:eastAsia="宋体" w:cs="宋体"/>
                <w:i w:val="0"/>
                <w:color w:val="000000"/>
                <w:kern w:val="0"/>
                <w:sz w:val="18"/>
                <w:szCs w:val="18"/>
                <w:highlight w:val="none"/>
                <w:u w:val="none"/>
                <w:lang w:val="en-US" w:eastAsia="zh-CN" w:bidi="ar"/>
              </w:rPr>
              <w:t>在保险期限内，在约定的行政区域范围内，相关政府处置人员因公遭受意外伤害的，每人次医疗费、误工费限额合计</w:t>
            </w:r>
            <w:r>
              <w:rPr>
                <w:rStyle w:val="149"/>
                <w:rFonts w:hint="eastAsia" w:ascii="宋体" w:hAnsi="宋体" w:eastAsia="宋体" w:cs="宋体"/>
                <w:sz w:val="18"/>
                <w:szCs w:val="18"/>
                <w:highlight w:val="none"/>
                <w:lang w:val="en-US" w:eastAsia="zh-CN" w:bidi="ar"/>
              </w:rPr>
              <w:t>5000</w:t>
            </w:r>
            <w:r>
              <w:rPr>
                <w:rFonts w:hint="eastAsia" w:ascii="宋体" w:hAnsi="宋体" w:eastAsia="宋体" w:cs="宋体"/>
                <w:i w:val="0"/>
                <w:color w:val="000000"/>
                <w:kern w:val="0"/>
                <w:sz w:val="18"/>
                <w:szCs w:val="18"/>
                <w:highlight w:val="none"/>
                <w:u w:val="none"/>
                <w:lang w:val="en-US" w:eastAsia="zh-CN" w:bidi="ar"/>
              </w:rPr>
              <w:t>元（误工费按照</w:t>
            </w:r>
            <w:r>
              <w:rPr>
                <w:rStyle w:val="149"/>
                <w:rFonts w:hint="eastAsia" w:ascii="宋体" w:hAnsi="宋体" w:eastAsia="宋体" w:cs="宋体"/>
                <w:sz w:val="18"/>
                <w:szCs w:val="18"/>
                <w:highlight w:val="none"/>
                <w:lang w:val="en-US" w:eastAsia="zh-CN" w:bidi="ar"/>
              </w:rPr>
              <w:t>100</w:t>
            </w:r>
            <w:r>
              <w:rPr>
                <w:rFonts w:hint="eastAsia" w:ascii="宋体" w:hAnsi="宋体" w:eastAsia="宋体" w:cs="宋体"/>
                <w:i w:val="0"/>
                <w:color w:val="000000"/>
                <w:kern w:val="0"/>
                <w:sz w:val="18"/>
                <w:szCs w:val="18"/>
                <w:highlight w:val="none"/>
                <w:u w:val="none"/>
                <w:lang w:val="en-US" w:eastAsia="zh-CN" w:bidi="ar"/>
              </w:rPr>
              <w:t>元</w:t>
            </w:r>
            <w:r>
              <w:rPr>
                <w:rStyle w:val="149"/>
                <w:rFonts w:hint="eastAsia" w:ascii="宋体" w:hAnsi="宋体" w:eastAsia="宋体" w:cs="宋体"/>
                <w:sz w:val="18"/>
                <w:szCs w:val="18"/>
                <w:highlight w:val="none"/>
                <w:lang w:val="en-US" w:eastAsia="zh-CN" w:bidi="ar"/>
              </w:rPr>
              <w:t>/</w:t>
            </w:r>
            <w:r>
              <w:rPr>
                <w:rFonts w:hint="eastAsia" w:ascii="宋体" w:hAnsi="宋体" w:eastAsia="宋体" w:cs="宋体"/>
                <w:i w:val="0"/>
                <w:color w:val="000000"/>
                <w:kern w:val="0"/>
                <w:sz w:val="18"/>
                <w:szCs w:val="18"/>
                <w:highlight w:val="none"/>
                <w:u w:val="none"/>
                <w:lang w:val="en-US" w:eastAsia="zh-CN" w:bidi="ar"/>
              </w:rPr>
              <w:t>日计算）；伤残、死亡赔付限额5万元/人；累计赔偿限额</w:t>
            </w:r>
            <w:r>
              <w:rPr>
                <w:rStyle w:val="149"/>
                <w:rFonts w:hint="eastAsia" w:ascii="宋体" w:hAnsi="宋体" w:eastAsia="宋体" w:cs="宋体"/>
                <w:sz w:val="18"/>
                <w:szCs w:val="18"/>
                <w:highlight w:val="none"/>
                <w:lang w:val="en-US" w:eastAsia="zh-CN" w:bidi="ar"/>
              </w:rPr>
              <w:t>50</w:t>
            </w:r>
            <w:r>
              <w:rPr>
                <w:rFonts w:hint="eastAsia" w:ascii="宋体" w:hAnsi="宋体" w:eastAsia="宋体" w:cs="宋体"/>
                <w:i w:val="0"/>
                <w:color w:val="000000"/>
                <w:kern w:val="0"/>
                <w:sz w:val="18"/>
                <w:szCs w:val="18"/>
                <w:highlight w:val="none"/>
                <w:u w:val="none"/>
                <w:lang w:val="en-US" w:eastAsia="zh-CN" w:bidi="ar"/>
              </w:rPr>
              <w:t>万元。</w:t>
            </w:r>
          </w:p>
        </w:tc>
      </w:tr>
      <w:tr w14:paraId="164B3113">
        <w:tblPrEx>
          <w:tblCellMar>
            <w:top w:w="0" w:type="dxa"/>
            <w:left w:w="0" w:type="dxa"/>
            <w:bottom w:w="0" w:type="dxa"/>
            <w:right w:w="0" w:type="dxa"/>
          </w:tblCellMar>
        </w:tblPrEx>
        <w:trPr>
          <w:trHeight w:val="465" w:hRule="atLeast"/>
          <w:jc w:val="center"/>
        </w:trPr>
        <w:tc>
          <w:tcPr>
            <w:tcW w:w="18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top"/>
          </w:tcPr>
          <w:p w14:paraId="5EDA69E4">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4503E028">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3A6F81BE">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31863D69">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人身意</w:t>
            </w:r>
          </w:p>
          <w:p w14:paraId="38256C2F">
            <w:pPr>
              <w:keepNext w:val="0"/>
              <w:keepLines w:val="0"/>
              <w:widowControl/>
              <w:suppressLineNumbers w:val="0"/>
              <w:spacing w:line="360" w:lineRule="auto"/>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外险</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75C3634">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7E1436AC">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594E5F80">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p>
          <w:p w14:paraId="7759A5E3">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巡防队员及专兼职网格员</w:t>
            </w:r>
          </w:p>
          <w:p w14:paraId="2E0C5243">
            <w:pPr>
              <w:keepNext w:val="0"/>
              <w:keepLines w:val="0"/>
              <w:widowControl/>
              <w:suppressLineNumbers w:val="0"/>
              <w:spacing w:line="360" w:lineRule="auto"/>
              <w:jc w:val="center"/>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意外伤害保险（24小时）</w:t>
            </w:r>
          </w:p>
        </w:tc>
        <w:tc>
          <w:tcPr>
            <w:tcW w:w="63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D782F1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意外伤害5万/人，意外医疗1万/人，意外住院津贴18000/人</w:t>
            </w:r>
            <w:r>
              <w:rPr>
                <w:rFonts w:hint="eastAsia" w:ascii="宋体" w:hAnsi="宋体" w:cs="宋体"/>
                <w:i w:val="0"/>
                <w:color w:val="auto"/>
                <w:kern w:val="0"/>
                <w:sz w:val="18"/>
                <w:szCs w:val="18"/>
                <w:highlight w:val="none"/>
                <w:u w:val="none"/>
                <w:lang w:val="en-US" w:eastAsia="zh-CN" w:bidi="ar"/>
              </w:rPr>
              <w:t>。</w:t>
            </w:r>
          </w:p>
          <w:p w14:paraId="5458CB5A">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1、</w:t>
            </w:r>
            <w:r>
              <w:rPr>
                <w:rFonts w:hint="eastAsia" w:ascii="宋体" w:hAnsi="宋体" w:eastAsia="宋体" w:cs="宋体"/>
                <w:i w:val="0"/>
                <w:color w:val="auto"/>
                <w:kern w:val="0"/>
                <w:sz w:val="18"/>
                <w:szCs w:val="18"/>
                <w:highlight w:val="none"/>
                <w:u w:val="none"/>
                <w:lang w:val="en-US" w:eastAsia="zh-CN" w:bidi="ar"/>
              </w:rPr>
              <w:t>被保险人自遭受该意外之日起一百八十日内以该意外为直接、完全原因而导致《人身保险伤残评定标准及代码》（JR/T 0083—2013，保监发[2014]6号）中所列伤残的，保险人按该处残疾的伤残等级对应的给付比例和该被保险人的意外伤害保险金额的乘积给付意外伤残保险金。伤残等级对应的保险金给付比例分为十档，伤残程度第一级对应的保险金给付比例为100%，伤残程度第十级对应的保险金给付比例为10%，每级相差10%。</w:t>
            </w:r>
          </w:p>
          <w:p w14:paraId="1344B563">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2、被保险人每次发生的符合本保单所约定的合理医疗费用，保险人在每次扣除免赔额100元后，按80%的比例进行赔付；</w:t>
            </w:r>
          </w:p>
          <w:p w14:paraId="2EAE0617">
            <w:pPr>
              <w:keepNext w:val="0"/>
              <w:keepLines w:val="0"/>
              <w:pageBreakBefore w:val="0"/>
              <w:widowControl/>
              <w:suppressLineNumbers w:val="0"/>
              <w:kinsoku/>
              <w:wordWrap/>
              <w:overflowPunct/>
              <w:topLinePunct w:val="0"/>
              <w:autoSpaceDE/>
              <w:autoSpaceDN/>
              <w:bidi w:val="0"/>
              <w:adjustRightInd/>
              <w:snapToGrid/>
              <w:spacing w:line="288" w:lineRule="auto"/>
              <w:jc w:val="left"/>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3、附加团体意外住院津贴：被保险人因遭受意外伤害并在定点医疗机构接受住院治疗的，保险公司按照"(每次实际住院日数-免赔日数3天)x一般住院日津贴金额100元/日”计算并给付一般住院津贴保险金，累计给付以180天为限。</w:t>
            </w:r>
          </w:p>
        </w:tc>
      </w:tr>
    </w:tbl>
    <w:p w14:paraId="5DEDF422">
      <w:pPr>
        <w:rPr>
          <w:rStyle w:val="147"/>
          <w:rFonts w:hint="eastAsia" w:ascii="宋体" w:hAnsi="宋体" w:cs="宋体"/>
          <w:b/>
          <w:bCs w:val="0"/>
          <w:color w:val="auto"/>
          <w:sz w:val="21"/>
          <w:szCs w:val="21"/>
          <w:lang w:val="en-US"/>
        </w:rPr>
      </w:pPr>
    </w:p>
    <w:p w14:paraId="72DEE08C">
      <w:pPr>
        <w:rPr>
          <w:rStyle w:val="147"/>
          <w:rFonts w:hint="default" w:ascii="宋体" w:hAnsi="宋体" w:eastAsia="宋体" w:cs="宋体"/>
          <w:b/>
          <w:bCs w:val="0"/>
          <w:color w:val="auto"/>
          <w:sz w:val="21"/>
          <w:szCs w:val="21"/>
          <w:lang w:val="en-US"/>
        </w:rPr>
      </w:pPr>
      <w:r>
        <w:rPr>
          <w:rStyle w:val="147"/>
          <w:rFonts w:hint="eastAsia" w:ascii="宋体" w:hAnsi="宋体" w:cs="宋体"/>
          <w:b/>
          <w:bCs w:val="0"/>
          <w:color w:val="auto"/>
          <w:sz w:val="21"/>
          <w:szCs w:val="21"/>
          <w:lang w:val="en-US"/>
        </w:rPr>
        <w:t>备注：巡防队员及专兼职网格员需实名录单。若中途有人员变动，需及时申请保单批改。出险理赔时以保单实际载明人员为准。</w:t>
      </w:r>
    </w:p>
    <w:p w14:paraId="05600E17">
      <w:pPr>
        <w:bidi w:val="0"/>
        <w:spacing w:line="240" w:lineRule="auto"/>
        <w:ind w:firstLine="211" w:firstLineChars="100"/>
        <w:outlineLvl w:val="9"/>
        <w:rPr>
          <w:rFonts w:hint="eastAsia" w:ascii="宋体" w:hAnsi="宋体" w:eastAsia="宋体" w:cs="宋体"/>
          <w:b/>
          <w:bCs w:val="0"/>
          <w:sz w:val="21"/>
          <w:szCs w:val="21"/>
          <w:lang w:val="en-US" w:eastAsia="zh-CN"/>
        </w:rPr>
      </w:pPr>
      <w:r>
        <w:rPr>
          <w:rStyle w:val="147"/>
          <w:rFonts w:hint="eastAsia" w:ascii="宋体" w:hAnsi="宋体" w:eastAsia="宋体" w:cs="宋体"/>
          <w:b/>
          <w:bCs w:val="0"/>
          <w:color w:val="auto"/>
          <w:sz w:val="21"/>
          <w:szCs w:val="21"/>
        </w:rPr>
        <w:t>附加：按采购人要求参加全年平</w:t>
      </w:r>
      <w:r>
        <w:rPr>
          <w:rStyle w:val="147"/>
          <w:rFonts w:hint="eastAsia" w:ascii="宋体" w:hAnsi="宋体" w:eastAsia="宋体" w:cs="宋体"/>
          <w:b/>
          <w:bCs w:val="0"/>
          <w:sz w:val="21"/>
          <w:szCs w:val="21"/>
        </w:rPr>
        <w:t>安建设宣传活动，印制宣传册，提供小礼品。</w:t>
      </w:r>
    </w:p>
    <w:p w14:paraId="0A071038">
      <w:pPr>
        <w:pStyle w:val="4"/>
        <w:bidi w:val="0"/>
        <w:spacing w:line="240" w:lineRule="auto"/>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2.6条款和特别约定</w:t>
      </w:r>
    </w:p>
    <w:p w14:paraId="324242DF">
      <w:pPr>
        <w:spacing w:line="360" w:lineRule="auto"/>
        <w:rPr>
          <w:rFonts w:hint="default" w:ascii="宋体" w:hAnsi="宋体" w:eastAsia="宋体" w:cs="宋体"/>
          <w:b w:val="0"/>
          <w:bCs/>
          <w:sz w:val="21"/>
          <w:szCs w:val="21"/>
          <w:u w:val="single"/>
          <w:lang w:val="en-US"/>
        </w:rPr>
      </w:pPr>
      <w:r>
        <w:rPr>
          <w:rFonts w:hint="eastAsia" w:ascii="宋体" w:hAnsi="宋体" w:eastAsia="宋体" w:cs="宋体"/>
          <w:sz w:val="21"/>
          <w:szCs w:val="21"/>
          <w:lang w:val="en-US" w:eastAsia="zh-CN"/>
        </w:rPr>
        <w:t>适用条款：</w:t>
      </w:r>
      <w:r>
        <w:rPr>
          <w:rFonts w:hint="eastAsia" w:ascii="宋体" w:hAnsi="宋体" w:cs="宋体"/>
          <w:b w:val="0"/>
          <w:bCs/>
          <w:sz w:val="21"/>
          <w:szCs w:val="21"/>
          <w:u w:val="single"/>
          <w:lang w:val="en-US" w:eastAsia="zh-CN"/>
        </w:rPr>
        <w:t xml:space="preserve">         </w:t>
      </w:r>
    </w:p>
    <w:p w14:paraId="5C741125">
      <w:pP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特别约定：</w:t>
      </w:r>
    </w:p>
    <w:p w14:paraId="2373F396">
      <w:pPr>
        <w:spacing w:line="360" w:lineRule="auto"/>
        <w:ind w:firstLine="422" w:firstLineChars="200"/>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居民实施犯罪行为或者违反治安管理规定，造成自身人身伤亡的；居民实施自残、自杀等故意行为的；居民组织、实施或参与犯罪的；行政行为或司法行为的保险人不负责赔偿。</w:t>
      </w:r>
    </w:p>
    <w:p w14:paraId="5966FF0C">
      <w:pPr>
        <w:numPr>
          <w:ilvl w:val="0"/>
          <w:numId w:val="2"/>
        </w:numPr>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对于属于保险责任的意外伤害，造成被保险人死亡的，按照限额赔付，残疾按照伤残等级与保额比例进行赔偿。</w:t>
      </w:r>
    </w:p>
    <w:p w14:paraId="4365EAE6">
      <w:pPr>
        <w:numPr>
          <w:ilvl w:val="0"/>
          <w:numId w:val="2"/>
        </w:numPr>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精神障碍患者伤害救助保险中的第三人包含患者本人家庭成员。</w:t>
      </w:r>
    </w:p>
    <w:p w14:paraId="1388FD32">
      <w:pPr>
        <w:numPr>
          <w:ilvl w:val="0"/>
          <w:numId w:val="2"/>
        </w:numPr>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对于已获得保险人经济赔偿的被保险人，保险人自动取得该案件的追偿权，由保险人向责任方或者致害人追偿，被保险人的放弃无效。</w:t>
      </w:r>
    </w:p>
    <w:p w14:paraId="2FFDF958">
      <w:pPr>
        <w:numPr>
          <w:ilvl w:val="0"/>
          <w:numId w:val="2"/>
        </w:numP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highlight w:val="none"/>
          <w:lang w:val="en-US" w:eastAsia="zh-CN"/>
        </w:rPr>
        <w:t>公共安全事件、安全处置人员的认定以区综治中心或其上级单位的书面证明为准。</w:t>
      </w:r>
      <w:bookmarkStart w:id="398" w:name="_Toc28761_WPSOffice_Level1"/>
      <w:bookmarkStart w:id="399" w:name="_Toc27784_WPSOffice_Level1"/>
    </w:p>
    <w:p w14:paraId="411D45A7">
      <w:pPr>
        <w:numPr>
          <w:ilvl w:val="0"/>
          <w:numId w:val="0"/>
        </w:numPr>
        <w:spacing w:line="360" w:lineRule="auto"/>
        <w:outlineLvl w:val="1"/>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七、保密义务</w:t>
      </w:r>
      <w:bookmarkEnd w:id="398"/>
      <w:bookmarkEnd w:id="399"/>
    </w:p>
    <w:p w14:paraId="7DEB4A38">
      <w:pPr>
        <w:bidi w:val="0"/>
        <w:spacing w:line="360" w:lineRule="auto"/>
        <w:ind w:firstLine="420" w:firstLineChars="200"/>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甲乙双方应遵循保密原则，双方均应采取不低于对其自身信息保密的措施，妥善保管并保护对方的保密信息。无论本协议是否终止、解除或撤销，任何一方均不得复制、印刷或通过任何形式向任何第三方传播对方提供的文件、资料等非公开信息以及合作业务中涉及的相关商业信息及客户信息，不得将对方的商业信息及客户信息用于双方合作业务之外的任何目的，无论该等信息是否标注为保密。一方泄密或不正当使用对方商业秘密给对方造成损失的，泄密方应当承担违约责任。</w:t>
      </w:r>
      <w:bookmarkStart w:id="400" w:name="_Toc27641_WPSOffice_Level1"/>
      <w:bookmarkStart w:id="401" w:name="_Toc8268_WPSOffice_Level1"/>
    </w:p>
    <w:p w14:paraId="1D711E95">
      <w:pPr>
        <w:bidi w:val="0"/>
        <w:spacing w:line="360" w:lineRule="auto"/>
        <w:outlineLvl w:val="1"/>
        <w:rPr>
          <w:rFonts w:hint="eastAsia" w:ascii="宋体" w:hAnsi="宋体" w:eastAsia="宋体" w:cs="宋体"/>
          <w:b/>
          <w:sz w:val="21"/>
          <w:szCs w:val="21"/>
        </w:rPr>
      </w:pPr>
      <w:r>
        <w:rPr>
          <w:rFonts w:hint="eastAsia" w:ascii="宋体" w:hAnsi="宋体" w:eastAsia="宋体" w:cs="宋体"/>
          <w:b/>
          <w:sz w:val="21"/>
          <w:szCs w:val="21"/>
          <w:lang w:eastAsia="zh-CN"/>
        </w:rPr>
        <w:t>八</w:t>
      </w:r>
      <w:r>
        <w:rPr>
          <w:rFonts w:hint="eastAsia" w:ascii="宋体" w:hAnsi="宋体" w:eastAsia="宋体" w:cs="宋体"/>
          <w:b/>
          <w:sz w:val="21"/>
          <w:szCs w:val="21"/>
        </w:rPr>
        <w:t>、合同的履约监督</w:t>
      </w:r>
      <w:bookmarkEnd w:id="400"/>
      <w:bookmarkEnd w:id="401"/>
    </w:p>
    <w:p w14:paraId="0EFAEE07">
      <w:pPr>
        <w:bidi w:val="0"/>
        <w:ind w:firstLine="420" w:firstLineChars="200"/>
        <w:rPr>
          <w:rFonts w:hint="eastAsia" w:ascii="宋体" w:hAnsi="宋体" w:eastAsia="宋体" w:cs="宋体"/>
          <w:sz w:val="21"/>
          <w:szCs w:val="21"/>
        </w:rPr>
      </w:pPr>
      <w:r>
        <w:rPr>
          <w:rFonts w:hint="eastAsia" w:ascii="宋体" w:hAnsi="宋体" w:eastAsia="宋体" w:cs="宋体"/>
          <w:sz w:val="21"/>
          <w:szCs w:val="21"/>
        </w:rPr>
        <w:t>甲乙双方应自觉接受监督部门对合同履行的监督与检查。</w:t>
      </w:r>
    </w:p>
    <w:p w14:paraId="6D88914F">
      <w:pPr>
        <w:spacing w:line="360" w:lineRule="auto"/>
        <w:outlineLvl w:val="1"/>
        <w:rPr>
          <w:rFonts w:hint="eastAsia" w:ascii="宋体" w:hAnsi="宋体" w:eastAsia="宋体" w:cs="宋体"/>
          <w:b/>
          <w:sz w:val="21"/>
          <w:szCs w:val="21"/>
        </w:rPr>
      </w:pPr>
      <w:bookmarkStart w:id="402" w:name="_Toc32341_WPSOffice_Level1"/>
      <w:bookmarkStart w:id="403" w:name="_Toc14860_WPSOffice_Level1"/>
      <w:r>
        <w:rPr>
          <w:rFonts w:hint="eastAsia" w:ascii="宋体" w:hAnsi="宋体" w:eastAsia="宋体" w:cs="宋体"/>
          <w:b/>
          <w:sz w:val="21"/>
          <w:szCs w:val="21"/>
          <w:lang w:eastAsia="zh-CN"/>
        </w:rPr>
        <w:t>九</w:t>
      </w:r>
      <w:r>
        <w:rPr>
          <w:rFonts w:hint="eastAsia" w:ascii="宋体" w:hAnsi="宋体" w:eastAsia="宋体" w:cs="宋体"/>
          <w:b/>
          <w:sz w:val="21"/>
          <w:szCs w:val="21"/>
        </w:rPr>
        <w:t>、争议</w:t>
      </w:r>
      <w:bookmarkEnd w:id="402"/>
      <w:bookmarkEnd w:id="403"/>
    </w:p>
    <w:p w14:paraId="1EDF2F4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双方约定，凡因执行本合同所发生的与本合同有关的一切争议，当和解或调解不成时，选择下列第</w:t>
      </w:r>
      <w:r>
        <w:rPr>
          <w:rFonts w:hint="eastAsia" w:ascii="宋体" w:hAnsi="宋体" w:eastAsia="宋体" w:cs="宋体"/>
          <w:b/>
          <w:bCs/>
          <w:sz w:val="21"/>
          <w:szCs w:val="21"/>
          <w:u w:val="single"/>
        </w:rPr>
        <w:t>　（</w:t>
      </w:r>
      <w:r>
        <w:rPr>
          <w:rFonts w:hint="eastAsia" w:ascii="宋体" w:hAnsi="宋体" w:eastAsia="宋体" w:cs="宋体"/>
          <w:b/>
          <w:bCs/>
          <w:sz w:val="21"/>
          <w:szCs w:val="21"/>
          <w:u w:val="single"/>
          <w:lang w:val="en-US" w:eastAsia="zh-CN"/>
        </w:rPr>
        <w:t>2</w:t>
      </w:r>
      <w:r>
        <w:rPr>
          <w:rFonts w:hint="eastAsia" w:ascii="宋体" w:hAnsi="宋体" w:eastAsia="宋体" w:cs="宋体"/>
          <w:b/>
          <w:bCs/>
          <w:sz w:val="21"/>
          <w:szCs w:val="21"/>
          <w:u w:val="single"/>
        </w:rPr>
        <w:t>）</w:t>
      </w:r>
      <w:r>
        <w:rPr>
          <w:rFonts w:hint="eastAsia" w:ascii="宋体" w:hAnsi="宋体" w:eastAsia="宋体" w:cs="宋体"/>
          <w:bCs/>
          <w:sz w:val="21"/>
          <w:szCs w:val="21"/>
          <w:u w:val="single"/>
        </w:rPr>
        <w:t xml:space="preserve"> </w:t>
      </w:r>
      <w:r>
        <w:rPr>
          <w:rFonts w:hint="eastAsia" w:ascii="宋体" w:hAnsi="宋体" w:eastAsia="宋体" w:cs="宋体"/>
          <w:sz w:val="21"/>
          <w:szCs w:val="21"/>
        </w:rPr>
        <w:t>种方式解决：</w:t>
      </w:r>
    </w:p>
    <w:p w14:paraId="55B62A6E">
      <w:pPr>
        <w:spacing w:line="360" w:lineRule="auto"/>
        <w:ind w:firstLine="420" w:firstLineChars="200"/>
        <w:rPr>
          <w:rFonts w:hint="eastAsia" w:ascii="宋体" w:hAnsi="宋体" w:eastAsia="宋体" w:cs="宋体"/>
          <w:sz w:val="21"/>
          <w:szCs w:val="21"/>
        </w:rPr>
      </w:pPr>
      <w:bookmarkStart w:id="404" w:name="_Toc4245_WPSOffice_Level2"/>
      <w:bookmarkStart w:id="405" w:name="_Toc9168_WPSOffice_Level2"/>
      <w:r>
        <w:rPr>
          <w:rFonts w:hint="eastAsia" w:ascii="宋体" w:hAnsi="宋体" w:eastAsia="宋体" w:cs="宋体"/>
          <w:sz w:val="21"/>
          <w:szCs w:val="21"/>
        </w:rPr>
        <w:t>（1）将争议提交</w:t>
      </w:r>
      <w:r>
        <w:rPr>
          <w:rFonts w:hint="eastAsia" w:ascii="宋体" w:hAnsi="宋体" w:eastAsia="宋体" w:cs="宋体"/>
          <w:b/>
          <w:bCs/>
          <w:sz w:val="21"/>
          <w:szCs w:val="21"/>
          <w:u w:val="single"/>
        </w:rPr>
        <w:t>　项目所在地　</w:t>
      </w:r>
      <w:r>
        <w:rPr>
          <w:rFonts w:hint="eastAsia" w:ascii="宋体" w:hAnsi="宋体" w:eastAsia="宋体" w:cs="宋体"/>
          <w:b/>
          <w:bCs/>
          <w:sz w:val="21"/>
          <w:szCs w:val="21"/>
          <w:u w:val="single"/>
        </w:rPr>
        <w:tab/>
      </w:r>
      <w:r>
        <w:rPr>
          <w:rFonts w:hint="eastAsia" w:ascii="宋体" w:hAnsi="宋体" w:eastAsia="宋体" w:cs="宋体"/>
          <w:sz w:val="21"/>
          <w:szCs w:val="21"/>
        </w:rPr>
        <w:t>仲裁委员会仲裁；</w:t>
      </w:r>
      <w:bookmarkEnd w:id="404"/>
      <w:bookmarkEnd w:id="405"/>
    </w:p>
    <w:p w14:paraId="625F3D2A">
      <w:pPr>
        <w:spacing w:line="360" w:lineRule="auto"/>
        <w:ind w:firstLine="420" w:firstLineChars="200"/>
        <w:rPr>
          <w:rFonts w:hint="eastAsia" w:ascii="宋体" w:hAnsi="宋体" w:eastAsia="宋体" w:cs="宋体"/>
          <w:b/>
          <w:sz w:val="21"/>
          <w:szCs w:val="21"/>
        </w:rPr>
      </w:pPr>
      <w:bookmarkStart w:id="406" w:name="_Toc5251_WPSOffice_Level2"/>
      <w:bookmarkStart w:id="407" w:name="_Toc2184_WPSOffice_Level2"/>
      <w:r>
        <w:rPr>
          <w:rFonts w:hint="eastAsia" w:ascii="宋体" w:hAnsi="宋体" w:eastAsia="宋体" w:cs="宋体"/>
          <w:sz w:val="21"/>
          <w:szCs w:val="21"/>
        </w:rPr>
        <w:t>（2）依法向</w:t>
      </w:r>
      <w:r>
        <w:rPr>
          <w:rFonts w:hint="eastAsia" w:ascii="宋体" w:hAnsi="宋体" w:eastAsia="宋体" w:cs="宋体"/>
          <w:sz w:val="21"/>
          <w:szCs w:val="21"/>
          <w:u w:val="single"/>
        </w:rPr>
        <w:tab/>
      </w:r>
      <w:r>
        <w:rPr>
          <w:rFonts w:hint="eastAsia" w:ascii="宋体" w:hAnsi="宋体" w:eastAsia="宋体" w:cs="宋体"/>
          <w:sz w:val="21"/>
          <w:szCs w:val="21"/>
          <w:u w:val="single"/>
        </w:rPr>
        <w:tab/>
      </w:r>
      <w:r>
        <w:rPr>
          <w:rFonts w:hint="eastAsia" w:ascii="宋体" w:hAnsi="宋体" w:eastAsia="宋体" w:cs="宋体"/>
          <w:b/>
          <w:bCs/>
          <w:sz w:val="21"/>
          <w:szCs w:val="21"/>
          <w:u w:val="single"/>
          <w:lang w:val="en-US" w:eastAsia="zh-CN"/>
        </w:rPr>
        <w:t>合同履行地</w:t>
      </w:r>
      <w:r>
        <w:rPr>
          <w:rFonts w:hint="eastAsia" w:ascii="宋体" w:hAnsi="宋体" w:eastAsia="宋体" w:cs="宋体"/>
          <w:b/>
          <w:bCs/>
          <w:sz w:val="21"/>
          <w:szCs w:val="21"/>
          <w:u w:val="single"/>
        </w:rPr>
        <w:tab/>
      </w:r>
      <w:r>
        <w:rPr>
          <w:rFonts w:hint="eastAsia" w:ascii="宋体" w:hAnsi="宋体" w:eastAsia="宋体" w:cs="宋体"/>
          <w:sz w:val="21"/>
          <w:szCs w:val="21"/>
          <w:u w:val="single"/>
        </w:rPr>
        <w:tab/>
      </w:r>
      <w:r>
        <w:rPr>
          <w:rFonts w:hint="eastAsia" w:ascii="宋体" w:hAnsi="宋体" w:eastAsia="宋体" w:cs="宋体"/>
          <w:sz w:val="21"/>
          <w:szCs w:val="21"/>
        </w:rPr>
        <w:t>人民法院提起诉讼。</w:t>
      </w:r>
      <w:bookmarkEnd w:id="406"/>
      <w:bookmarkEnd w:id="407"/>
    </w:p>
    <w:p w14:paraId="1303A954">
      <w:pPr>
        <w:spacing w:line="360" w:lineRule="auto"/>
        <w:outlineLvl w:val="1"/>
        <w:rPr>
          <w:rFonts w:hint="eastAsia" w:ascii="宋体" w:hAnsi="宋体" w:eastAsia="宋体" w:cs="宋体"/>
          <w:b/>
          <w:sz w:val="21"/>
          <w:szCs w:val="21"/>
        </w:rPr>
      </w:pPr>
      <w:bookmarkStart w:id="408" w:name="_Toc24482_WPSOffice_Level1"/>
      <w:bookmarkStart w:id="409" w:name="_Toc23155_WPSOffice_Level1"/>
      <w:r>
        <w:rPr>
          <w:rFonts w:hint="eastAsia" w:ascii="宋体" w:hAnsi="宋体" w:eastAsia="宋体" w:cs="宋体"/>
          <w:b/>
          <w:sz w:val="21"/>
          <w:szCs w:val="21"/>
          <w:lang w:eastAsia="zh-CN"/>
        </w:rPr>
        <w:t>十</w:t>
      </w:r>
      <w:r>
        <w:rPr>
          <w:rFonts w:hint="eastAsia" w:ascii="宋体" w:hAnsi="宋体" w:eastAsia="宋体" w:cs="宋体"/>
          <w:b/>
          <w:sz w:val="21"/>
          <w:szCs w:val="21"/>
        </w:rPr>
        <w:t>、合同修改</w:t>
      </w:r>
      <w:bookmarkEnd w:id="408"/>
      <w:bookmarkEnd w:id="409"/>
    </w:p>
    <w:p w14:paraId="0FD79B9E">
      <w:pPr>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合同条款的任何改动，均须由合同签署双方签署合同修改书或合同补充协议。该合同修改或补充被视为本合同的组成部分，具有与本合同同等法律效力。</w:t>
      </w:r>
    </w:p>
    <w:p w14:paraId="0EDD933D">
      <w:pPr>
        <w:spacing w:line="360" w:lineRule="auto"/>
        <w:outlineLvl w:val="1"/>
        <w:rPr>
          <w:rFonts w:hint="eastAsia" w:ascii="宋体" w:hAnsi="宋体" w:eastAsia="宋体" w:cs="宋体"/>
          <w:b/>
          <w:sz w:val="21"/>
          <w:szCs w:val="21"/>
          <w:lang w:eastAsia="zh-CN"/>
        </w:rPr>
      </w:pPr>
      <w:bookmarkStart w:id="410" w:name="_Toc21323_WPSOffice_Level1"/>
      <w:bookmarkStart w:id="411" w:name="_Toc12534_WPSOffice_Level1"/>
      <w:r>
        <w:rPr>
          <w:rFonts w:hint="eastAsia" w:ascii="宋体" w:hAnsi="宋体" w:eastAsia="宋体" w:cs="宋体"/>
          <w:b/>
          <w:sz w:val="21"/>
          <w:szCs w:val="21"/>
          <w:lang w:eastAsia="zh-CN"/>
        </w:rPr>
        <w:t>十一、反商业贿赂</w:t>
      </w:r>
      <w:bookmarkEnd w:id="410"/>
      <w:bookmarkEnd w:id="411"/>
    </w:p>
    <w:p w14:paraId="4CC13E25">
      <w:pPr>
        <w:bidi w:val="0"/>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1.甲、乙双方明确知晓并愿意严格遵守其居住地或经营所在地或其他任何有效适用的反商业贿赂、反腐败的法律法规、双方明确意识到任何形式的贿赂和贪渎行为将触犯法律、并将收到法律的严惩。</w:t>
      </w:r>
    </w:p>
    <w:p w14:paraId="6090F515">
      <w:pPr>
        <w:bidi w:val="0"/>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2.甲乙双方应严格禁止其经办人员的任何商业贿赂行为（包括行贿和受贿），不得向对方或对方经办人或其他相关人员索要、收受、提供、给予合同约定外的任何利益，包括但不限于暗扣、现金、购物卡、实物、有价证券、旅游或其他非物质性利益等，但如该等利益属于行业惯例或通常做法，则须在合同中明示。</w:t>
      </w:r>
    </w:p>
    <w:p w14:paraId="5B4F053B">
      <w:pPr>
        <w:bidi w:val="0"/>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3.甲乙双方人员在签订、履行合同过程中及其后发生本协议第二条所示的任何一种行为，均是违反法律规定和双方公司制度规定的，其他合同当事人及其工作人员均有义务举报有关人员及其行为，对方应当履行协助并配合调查等义务。</w:t>
      </w:r>
    </w:p>
    <w:p w14:paraId="29E87021">
      <w:pPr>
        <w:spacing w:line="360" w:lineRule="auto"/>
        <w:outlineLvl w:val="1"/>
        <w:rPr>
          <w:rFonts w:hint="eastAsia" w:ascii="宋体" w:hAnsi="宋体" w:eastAsia="宋体" w:cs="宋体"/>
          <w:b/>
          <w:sz w:val="21"/>
          <w:szCs w:val="21"/>
          <w:lang w:eastAsia="zh-CN"/>
        </w:rPr>
      </w:pPr>
      <w:bookmarkStart w:id="412" w:name="_Toc17465_WPSOffice_Level1"/>
      <w:bookmarkStart w:id="413" w:name="_Toc20373_WPSOffice_Level1"/>
      <w:r>
        <w:rPr>
          <w:rFonts w:hint="eastAsia" w:ascii="宋体" w:hAnsi="宋体" w:eastAsia="宋体" w:cs="宋体"/>
          <w:b/>
          <w:sz w:val="21"/>
          <w:szCs w:val="21"/>
          <w:lang w:eastAsia="zh-CN"/>
        </w:rPr>
        <w:t>十二、合同订立</w:t>
      </w:r>
      <w:bookmarkEnd w:id="412"/>
      <w:bookmarkEnd w:id="413"/>
    </w:p>
    <w:p w14:paraId="7701A98C">
      <w:pPr>
        <w:adjustRightInd w:val="0"/>
        <w:snapToGrid w:val="0"/>
        <w:spacing w:line="360" w:lineRule="auto"/>
        <w:ind w:firstLine="415" w:firstLineChars="198"/>
        <w:rPr>
          <w:rFonts w:hint="eastAsia" w:ascii="宋体" w:hAnsi="宋体" w:eastAsia="宋体" w:cs="宋体"/>
          <w:sz w:val="21"/>
          <w:szCs w:val="21"/>
        </w:rPr>
      </w:pPr>
      <w:bookmarkStart w:id="414" w:name="_Toc3002_WPSOffice_Level2"/>
      <w:bookmarkStart w:id="415" w:name="_Toc27784_WPSOffice_Level2"/>
      <w:r>
        <w:rPr>
          <w:rFonts w:hint="eastAsia" w:ascii="宋体" w:hAnsi="宋体" w:eastAsia="宋体" w:cs="宋体"/>
          <w:sz w:val="21"/>
          <w:szCs w:val="21"/>
        </w:rPr>
        <w:t>1. 订立时间：</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日。</w:t>
      </w:r>
      <w:bookmarkEnd w:id="414"/>
      <w:bookmarkEnd w:id="415"/>
    </w:p>
    <w:p w14:paraId="4C64B0BB">
      <w:pPr>
        <w:adjustRightInd w:val="0"/>
        <w:snapToGrid w:val="0"/>
        <w:spacing w:line="360" w:lineRule="auto"/>
        <w:ind w:firstLine="415" w:firstLineChars="198"/>
        <w:jc w:val="left"/>
        <w:rPr>
          <w:rFonts w:hint="eastAsia" w:ascii="宋体" w:hAnsi="宋体" w:eastAsia="宋体" w:cs="宋体"/>
          <w:sz w:val="21"/>
          <w:szCs w:val="21"/>
        </w:rPr>
      </w:pPr>
      <w:bookmarkStart w:id="416" w:name="_Toc27641_WPSOffice_Level2"/>
      <w:bookmarkStart w:id="417" w:name="_Toc3975_WPSOffice_Level2"/>
      <w:r>
        <w:rPr>
          <w:rFonts w:hint="eastAsia" w:ascii="宋体" w:hAnsi="宋体" w:eastAsia="宋体" w:cs="宋体"/>
          <w:sz w:val="21"/>
          <w:szCs w:val="21"/>
        </w:rPr>
        <w:t>2. 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平顶山市新华区  </w:t>
      </w:r>
      <w:r>
        <w:rPr>
          <w:rFonts w:hint="eastAsia" w:ascii="宋体" w:hAnsi="宋体" w:eastAsia="宋体" w:cs="宋体"/>
          <w:sz w:val="21"/>
          <w:szCs w:val="21"/>
          <w:u w:val="single"/>
        </w:rPr>
        <w:t xml:space="preserve">  </w:t>
      </w:r>
      <w:r>
        <w:rPr>
          <w:rFonts w:hint="eastAsia" w:ascii="宋体" w:hAnsi="宋体" w:eastAsia="宋体" w:cs="宋体"/>
          <w:sz w:val="21"/>
          <w:szCs w:val="21"/>
        </w:rPr>
        <w:t>。</w:t>
      </w:r>
      <w:bookmarkEnd w:id="416"/>
      <w:bookmarkEnd w:id="417"/>
    </w:p>
    <w:p w14:paraId="0362138F">
      <w:pPr>
        <w:spacing w:line="360" w:lineRule="auto"/>
        <w:ind w:firstLine="420" w:firstLineChars="200"/>
        <w:outlineLvl w:val="9"/>
        <w:rPr>
          <w:rFonts w:hint="eastAsia" w:ascii="宋体" w:hAnsi="宋体" w:eastAsia="宋体" w:cs="宋体"/>
          <w:sz w:val="21"/>
          <w:szCs w:val="21"/>
        </w:rPr>
      </w:pPr>
      <w:bookmarkStart w:id="418" w:name="_Toc14244_WPSOffice_Level2"/>
      <w:bookmarkStart w:id="419" w:name="_Toc32341_WPSOffice_Level2"/>
      <w:r>
        <w:rPr>
          <w:rFonts w:hint="eastAsia" w:ascii="宋体" w:hAnsi="宋体" w:eastAsia="宋体" w:cs="宋体"/>
          <w:sz w:val="21"/>
          <w:szCs w:val="21"/>
        </w:rPr>
        <w:t>3. 本合同一式</w:t>
      </w:r>
      <w:r>
        <w:rPr>
          <w:rFonts w:hint="eastAsia" w:ascii="宋体" w:hAnsi="宋体" w:eastAsia="宋体" w:cs="宋体"/>
          <w:sz w:val="21"/>
          <w:szCs w:val="21"/>
          <w:u w:val="single"/>
        </w:rPr>
        <w:t xml:space="preserve"> 捌 </w:t>
      </w:r>
      <w:r>
        <w:rPr>
          <w:rFonts w:hint="eastAsia" w:ascii="宋体" w:hAnsi="宋体" w:eastAsia="宋体" w:cs="宋体"/>
          <w:sz w:val="21"/>
          <w:szCs w:val="21"/>
        </w:rPr>
        <w:t>份，具有同等法律效力，双方各执</w:t>
      </w:r>
      <w:r>
        <w:rPr>
          <w:rFonts w:hint="eastAsia" w:ascii="宋体" w:hAnsi="宋体" w:eastAsia="宋体" w:cs="宋体"/>
          <w:sz w:val="21"/>
          <w:szCs w:val="21"/>
          <w:u w:val="single"/>
        </w:rPr>
        <w:t xml:space="preserve"> 肆 </w:t>
      </w:r>
      <w:r>
        <w:rPr>
          <w:rFonts w:hint="eastAsia" w:ascii="宋体" w:hAnsi="宋体" w:eastAsia="宋体" w:cs="宋体"/>
          <w:sz w:val="21"/>
          <w:szCs w:val="21"/>
        </w:rPr>
        <w:t>份。</w:t>
      </w:r>
      <w:bookmarkEnd w:id="418"/>
      <w:bookmarkEnd w:id="419"/>
      <w:bookmarkStart w:id="420" w:name="_Toc15131_WPSOffice_Level1"/>
      <w:bookmarkStart w:id="421" w:name="_Toc19516_WPSOffice_Level1"/>
    </w:p>
    <w:bookmarkEnd w:id="420"/>
    <w:bookmarkEnd w:id="421"/>
    <w:tbl>
      <w:tblPr>
        <w:tblStyle w:val="3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81"/>
        <w:gridCol w:w="4981"/>
      </w:tblGrid>
      <w:tr w14:paraId="7211B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3" w:hRule="atLeast"/>
          <w:jc w:val="center"/>
        </w:trPr>
        <w:tc>
          <w:tcPr>
            <w:tcW w:w="2500" w:type="pct"/>
            <w:tcBorders>
              <w:tl2br w:val="nil"/>
              <w:tr2bl w:val="nil"/>
            </w:tcBorders>
            <w:noWrap w:val="0"/>
            <w:vAlign w:val="top"/>
          </w:tcPr>
          <w:p w14:paraId="71D40ACF">
            <w:pPr>
              <w:adjustRightInd w:val="0"/>
              <w:snapToGrid w:val="0"/>
              <w:spacing w:line="360" w:lineRule="auto"/>
              <w:rPr>
                <w:rFonts w:hint="eastAsia" w:ascii="宋体" w:hAnsi="宋体" w:eastAsia="宋体" w:cs="宋体"/>
                <w:sz w:val="21"/>
                <w:szCs w:val="21"/>
              </w:rPr>
            </w:pPr>
          </w:p>
          <w:p w14:paraId="6E21E2F2">
            <w:pPr>
              <w:adjustRightInd w:val="0"/>
              <w:snapToGrid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甲方</w:t>
            </w:r>
            <w:r>
              <w:rPr>
                <w:rFonts w:hint="eastAsia" w:ascii="宋体" w:hAnsi="宋体" w:eastAsia="宋体" w:cs="宋体"/>
                <w:sz w:val="21"/>
                <w:szCs w:val="21"/>
                <w:u w:val="none"/>
              </w:rPr>
              <w:t>（盖章）：</w:t>
            </w:r>
            <w:r>
              <w:rPr>
                <w:rFonts w:hint="eastAsia" w:ascii="宋体" w:hAnsi="宋体" w:eastAsia="宋体" w:cs="宋体"/>
                <w:b/>
                <w:bCs/>
                <w:sz w:val="21"/>
                <w:szCs w:val="21"/>
                <w:u w:val="single"/>
                <w:lang w:val="en-US" w:eastAsia="zh-CN"/>
              </w:rPr>
              <w:t>中共平顶山市新华区委政法委员会</w:t>
            </w:r>
            <w:r>
              <w:rPr>
                <w:rFonts w:hint="eastAsia" w:ascii="宋体" w:hAnsi="宋体" w:eastAsia="宋体" w:cs="宋体"/>
                <w:sz w:val="21"/>
                <w:szCs w:val="21"/>
                <w:u w:val="single"/>
              </w:rPr>
              <w:t xml:space="preserve"> </w:t>
            </w:r>
          </w:p>
          <w:p w14:paraId="589BE4A3">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1A8F2BC3">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邮政编码：</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44EA7E0">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法定代表人或</w:t>
            </w:r>
            <w:r>
              <w:rPr>
                <w:rFonts w:hint="eastAsia" w:ascii="宋体" w:hAnsi="宋体" w:eastAsia="宋体" w:cs="宋体"/>
                <w:sz w:val="21"/>
                <w:szCs w:val="21"/>
                <w:lang w:val="en-US" w:eastAsia="zh-CN"/>
              </w:rPr>
              <w:t>授权代理人</w:t>
            </w:r>
            <w:r>
              <w:rPr>
                <w:rFonts w:hint="eastAsia" w:ascii="宋体" w:hAnsi="宋体" w:eastAsia="宋体" w:cs="宋体"/>
                <w:sz w:val="21"/>
                <w:szCs w:val="21"/>
              </w:rPr>
              <w:t>：</w:t>
            </w:r>
            <w:r>
              <w:rPr>
                <w:rFonts w:hint="eastAsia" w:ascii="宋体" w:hAnsi="宋体" w:eastAsia="宋体" w:cs="宋体"/>
                <w:sz w:val="21"/>
                <w:szCs w:val="21"/>
                <w:u w:val="single"/>
              </w:rPr>
              <w:t xml:space="preserve">（签字）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440D1DEF">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2290F25">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账号：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073055C1">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电话：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0F2E0F8D">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传真：</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54994BC0">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电子邮箱：</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tc>
        <w:tc>
          <w:tcPr>
            <w:tcW w:w="2500" w:type="pct"/>
            <w:tcBorders>
              <w:tl2br w:val="nil"/>
              <w:tr2bl w:val="nil"/>
            </w:tcBorders>
            <w:noWrap w:val="0"/>
            <w:vAlign w:val="top"/>
          </w:tcPr>
          <w:p w14:paraId="384226A6">
            <w:pPr>
              <w:adjustRightInd w:val="0"/>
              <w:snapToGrid w:val="0"/>
              <w:spacing w:line="360" w:lineRule="auto"/>
              <w:rPr>
                <w:rFonts w:hint="eastAsia" w:ascii="宋体" w:hAnsi="宋体" w:eastAsia="宋体" w:cs="宋体"/>
                <w:sz w:val="21"/>
                <w:szCs w:val="21"/>
              </w:rPr>
            </w:pPr>
          </w:p>
          <w:p w14:paraId="5AC3DE3B">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乙方</w:t>
            </w:r>
            <w:r>
              <w:rPr>
                <w:rFonts w:hint="eastAsia" w:ascii="宋体" w:hAnsi="宋体" w:eastAsia="宋体" w:cs="宋体"/>
                <w:sz w:val="21"/>
                <w:szCs w:val="21"/>
                <w:u w:val="none"/>
              </w:rPr>
              <w:t>（盖章）</w:t>
            </w:r>
            <w:r>
              <w:rPr>
                <w:rFonts w:hint="eastAsia" w:ascii="宋体" w:hAnsi="宋体" w:eastAsia="宋体" w:cs="宋体"/>
                <w:sz w:val="21"/>
                <w:szCs w:val="21"/>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p>
          <w:p w14:paraId="02C297C4">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4D36B2DC">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邮政编码：</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31FDAD4D">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法定代表人或其授权代理人：</w:t>
            </w:r>
            <w:r>
              <w:rPr>
                <w:rFonts w:hint="eastAsia" w:ascii="宋体" w:hAnsi="宋体" w:eastAsia="宋体" w:cs="宋体"/>
                <w:sz w:val="21"/>
                <w:szCs w:val="21"/>
                <w:u w:val="single"/>
              </w:rPr>
              <w:t xml:space="preserve">（签字）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2AB516A3">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开户银行：</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62C3188">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账号：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  </w:t>
            </w:r>
          </w:p>
          <w:p w14:paraId="4A646090">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电话：</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65038F34">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传真：</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083AF2DF">
            <w:pPr>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电子邮箱：</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tc>
      </w:tr>
    </w:tbl>
    <w:p w14:paraId="785A669D">
      <w:pPr>
        <w:pStyle w:val="140"/>
        <w:spacing w:line="360" w:lineRule="auto"/>
        <w:rPr>
          <w:rFonts w:hint="eastAsia" w:ascii="宋体" w:hAnsi="宋体" w:eastAsia="宋体" w:cs="宋体"/>
        </w:rPr>
      </w:pPr>
      <w:r>
        <w:rPr>
          <w:rFonts w:hint="eastAsia" w:ascii="宋体" w:hAnsi="宋体" w:eastAsia="宋体" w:cs="宋体"/>
          <w:sz w:val="21"/>
          <w:szCs w:val="21"/>
        </w:rPr>
        <w:t>签订时间：     年   月   日               签订时间：     年   月   日</w:t>
      </w:r>
      <w:bookmarkStart w:id="422" w:name="page36"/>
      <w:bookmarkEnd w:id="422"/>
    </w:p>
    <w:bookmarkEnd w:id="373"/>
    <w:p w14:paraId="13F3EEE1">
      <w:pPr>
        <w:widowControl/>
        <w:jc w:val="left"/>
        <w:rPr>
          <w:rFonts w:hint="eastAsia" w:ascii="宋体" w:hAnsi="宋体" w:eastAsia="宋体" w:cs="宋体"/>
          <w:b/>
          <w:sz w:val="32"/>
        </w:rPr>
      </w:pPr>
      <w:bookmarkStart w:id="423" w:name="_Toc11081"/>
      <w:bookmarkStart w:id="424" w:name="_Toc45177863"/>
      <w:r>
        <w:rPr>
          <w:rFonts w:hint="eastAsia" w:ascii="宋体" w:hAnsi="宋体" w:eastAsia="宋体" w:cs="宋体"/>
          <w:b/>
          <w:sz w:val="32"/>
        </w:rPr>
        <w:br w:type="page"/>
      </w:r>
    </w:p>
    <w:p w14:paraId="10AE857B">
      <w:pPr>
        <w:jc w:val="center"/>
        <w:outlineLvl w:val="0"/>
        <w:rPr>
          <w:rFonts w:hint="eastAsia" w:ascii="宋体" w:hAnsi="宋体" w:eastAsia="宋体" w:cs="宋体"/>
          <w:b/>
          <w:color w:val="auto"/>
          <w:sz w:val="32"/>
        </w:rPr>
      </w:pPr>
      <w:bookmarkStart w:id="425" w:name="_Toc17924"/>
      <w:r>
        <w:rPr>
          <w:rFonts w:hint="eastAsia" w:ascii="宋体" w:hAnsi="宋体" w:eastAsia="宋体" w:cs="宋体"/>
          <w:b/>
          <w:color w:val="auto"/>
          <w:sz w:val="32"/>
        </w:rPr>
        <w:t xml:space="preserve">第五章  </w:t>
      </w:r>
      <w:bookmarkEnd w:id="423"/>
      <w:bookmarkEnd w:id="424"/>
      <w:bookmarkEnd w:id="425"/>
      <w:r>
        <w:rPr>
          <w:rFonts w:hint="eastAsia" w:ascii="宋体" w:hAnsi="宋体" w:eastAsia="宋体" w:cs="宋体"/>
          <w:b/>
          <w:color w:val="auto"/>
          <w:sz w:val="32"/>
        </w:rPr>
        <w:t>采购需求</w:t>
      </w:r>
    </w:p>
    <w:p w14:paraId="77CFFD4C">
      <w:pPr>
        <w:pStyle w:val="2"/>
        <w:pageBreakBefore w:val="0"/>
        <w:kinsoku/>
        <w:wordWrap/>
        <w:overflowPunct/>
        <w:topLinePunct w:val="0"/>
        <w:autoSpaceDE/>
        <w:autoSpaceDN/>
        <w:bidi w:val="0"/>
        <w:adjustRightInd/>
        <w:snapToGrid/>
        <w:spacing w:before="0" w:after="0" w:line="360" w:lineRule="auto"/>
        <w:ind w:firstLine="422" w:firstLineChars="200"/>
        <w:jc w:val="left"/>
        <w:rPr>
          <w:rFonts w:hint="eastAsia" w:ascii="宋体" w:hAnsi="宋体" w:eastAsia="宋体" w:cs="宋体"/>
          <w:b/>
          <w:bCs/>
          <w:sz w:val="21"/>
          <w:szCs w:val="21"/>
          <w:highlight w:val="none"/>
          <w:lang w:eastAsia="zh-CN"/>
        </w:rPr>
      </w:pPr>
      <w:bookmarkStart w:id="426" w:name="_Toc15754"/>
      <w:bookmarkStart w:id="427" w:name="_Toc45177864"/>
      <w:r>
        <w:rPr>
          <w:rFonts w:hint="eastAsia" w:ascii="宋体" w:hAnsi="宋体" w:eastAsia="宋体" w:cs="宋体"/>
          <w:b/>
          <w:bCs/>
          <w:sz w:val="21"/>
          <w:szCs w:val="21"/>
          <w:highlight w:val="none"/>
          <w:lang w:eastAsia="zh-CN"/>
        </w:rPr>
        <w:t>一、项目概况：</w:t>
      </w:r>
    </w:p>
    <w:p w14:paraId="1AEF376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sz w:val="21"/>
          <w:szCs w:val="21"/>
          <w:highlight w:val="none"/>
          <w:lang w:val="en-US" w:eastAsia="zh-CN"/>
        </w:rPr>
        <w:t>1.为</w:t>
      </w:r>
      <w:r>
        <w:rPr>
          <w:rFonts w:hint="eastAsia" w:ascii="宋体" w:hAnsi="宋体" w:eastAsia="宋体" w:cs="宋体"/>
          <w:sz w:val="21"/>
          <w:szCs w:val="21"/>
          <w:highlight w:val="none"/>
          <w:lang w:val="en-US" w:eastAsia="zh-CN"/>
        </w:rPr>
        <w:t>进一步深化平安建设，改善社会治安环境，打造和谐平安家园，促进社会和谐稳定，新华区根据上级关于保险业参与平安建设、鼓励发展治安保险的精神，结合我区实际，在全区范围内陆续推行“平安家园民生综合保险”工</w:t>
      </w:r>
      <w:r>
        <w:rPr>
          <w:rFonts w:hint="eastAsia" w:ascii="宋体" w:hAnsi="宋体" w:eastAsia="宋体" w:cs="宋体"/>
          <w:color w:val="auto"/>
          <w:sz w:val="21"/>
          <w:szCs w:val="21"/>
          <w:highlight w:val="none"/>
          <w:lang w:val="en-US" w:eastAsia="zh-CN"/>
        </w:rPr>
        <w:t>作，保险覆盖辖区1个镇、1个管委会和9个街道，总人口数336957人，总户数为95763户，覆盖率100%。</w:t>
      </w:r>
    </w:p>
    <w:p w14:paraId="0B8CF3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标段：以光明路为界，以东为第一标段，矿工路街道、中兴路街道、光明路街道、湛北路街道4个街道辖区境内约153578人。二标段：以光明路为界，以西为第二标段，曙光街、西市场、西高皇、焦店、新新街、青石山、香山7个镇街道辖区境内约183379人。</w:t>
      </w:r>
    </w:p>
    <w:p w14:paraId="5528ACE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2.采购内容：中共平顶山市新华</w:t>
      </w:r>
      <w:r>
        <w:rPr>
          <w:rFonts w:hint="eastAsia" w:ascii="宋体" w:hAnsi="宋体" w:eastAsia="宋体" w:cs="宋体"/>
          <w:sz w:val="21"/>
          <w:szCs w:val="21"/>
          <w:highlight w:val="none"/>
          <w:lang w:val="en-US" w:eastAsia="zh-CN"/>
        </w:rPr>
        <w:t>区委政法委员会2026年新华区平安家园民生综合保险项目，在辖区内，当灾难降临后，由保险公司对受灾群众的人身伤亡、财物损失等进行赔付。</w:t>
      </w:r>
    </w:p>
    <w:p w14:paraId="01F55F3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3.服务地点：平顶山市新华区。</w:t>
      </w:r>
    </w:p>
    <w:p w14:paraId="242E8D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4.服务期限：1年。</w:t>
      </w:r>
    </w:p>
    <w:p w14:paraId="58BE34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5.质量要求：合格，符合国家相关规定及行业标准要求。</w:t>
      </w:r>
    </w:p>
    <w:p w14:paraId="12BEF176">
      <w:pPr>
        <w:pStyle w:val="2"/>
        <w:pageBreakBefore w:val="0"/>
        <w:kinsoku/>
        <w:wordWrap/>
        <w:overflowPunct/>
        <w:topLinePunct w:val="0"/>
        <w:autoSpaceDE/>
        <w:autoSpaceDN/>
        <w:bidi w:val="0"/>
        <w:adjustRightInd/>
        <w:snapToGrid/>
        <w:spacing w:before="0" w:after="0" w:line="360" w:lineRule="auto"/>
        <w:ind w:firstLine="422" w:firstLineChars="200"/>
        <w:jc w:val="lef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二、具体保险内容：</w:t>
      </w:r>
    </w:p>
    <w:p w14:paraId="5696513C">
      <w:pPr>
        <w:pStyle w:val="3"/>
        <w:pageBreakBefore w:val="0"/>
        <w:kinsoku/>
        <w:wordWrap/>
        <w:overflowPunct/>
        <w:topLinePunct w:val="0"/>
        <w:autoSpaceDE/>
        <w:autoSpaceDN/>
        <w:bidi w:val="0"/>
        <w:adjustRightInd/>
        <w:snapToGrid/>
        <w:spacing w:before="0" w:after="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1.平安家园保险</w:t>
      </w:r>
    </w:p>
    <w:p w14:paraId="23245298">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保险范围</w:t>
      </w:r>
    </w:p>
    <w:p w14:paraId="0D894A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人员范围：</w:t>
      </w:r>
      <w:r>
        <w:rPr>
          <w:rFonts w:hint="eastAsia" w:ascii="宋体" w:hAnsi="宋体" w:eastAsia="宋体" w:cs="宋体"/>
          <w:sz w:val="21"/>
          <w:szCs w:val="21"/>
          <w:lang w:eastAsia="zh-CN"/>
        </w:rPr>
        <w:t>平顶山新华区户籍在册人员</w:t>
      </w:r>
      <w:r>
        <w:rPr>
          <w:rFonts w:hint="eastAsia" w:ascii="宋体" w:hAnsi="宋体" w:eastAsia="宋体" w:cs="宋体"/>
          <w:sz w:val="21"/>
          <w:szCs w:val="21"/>
        </w:rPr>
        <w:t>（含农</w:t>
      </w:r>
      <w:r>
        <w:rPr>
          <w:rFonts w:hint="eastAsia" w:ascii="宋体" w:hAnsi="宋体" w:eastAsia="宋体" w:cs="宋体"/>
          <w:sz w:val="21"/>
          <w:szCs w:val="21"/>
          <w:lang w:eastAsia="zh-CN"/>
        </w:rPr>
        <w:t>业和非农业人口），具有平顶山市新华区户籍的自然人；本辖区务工人员；与本辖区居住户籍居民结婚后，但未取得本辖区户籍的人员；</w:t>
      </w:r>
      <w:r>
        <w:rPr>
          <w:rFonts w:hint="eastAsia" w:ascii="宋体" w:hAnsi="宋体" w:eastAsia="宋体" w:cs="宋体"/>
          <w:sz w:val="21"/>
          <w:szCs w:val="21"/>
          <w:lang w:val="en-US" w:eastAsia="zh-CN"/>
        </w:rPr>
        <w:t>与</w:t>
      </w:r>
      <w:r>
        <w:rPr>
          <w:rFonts w:hint="eastAsia" w:ascii="宋体" w:hAnsi="宋体" w:eastAsia="宋体" w:cs="宋体"/>
          <w:sz w:val="21"/>
          <w:szCs w:val="21"/>
          <w:lang w:eastAsia="zh-CN"/>
        </w:rPr>
        <w:t>本辖区户籍居民结婚后，生育的子女尚未取得户籍的；户籍不在本辖区，但在本辖区内党政机关、社会团体、企事业单位上班的人员；本辖区内的未成年在校学生；</w:t>
      </w:r>
      <w:r>
        <w:rPr>
          <w:rFonts w:hint="eastAsia" w:ascii="宋体" w:hAnsi="宋体" w:eastAsia="宋体" w:cs="宋体"/>
          <w:sz w:val="21"/>
          <w:szCs w:val="21"/>
          <w:highlight w:val="none"/>
          <w:lang w:val="en-US" w:eastAsia="zh-CN"/>
        </w:rPr>
        <w:t>户籍不在本辖区，但在承包区域范围的所有人员</w:t>
      </w:r>
      <w:r>
        <w:rPr>
          <w:rFonts w:hint="eastAsia" w:ascii="宋体" w:hAnsi="宋体" w:eastAsia="宋体" w:cs="宋体"/>
          <w:sz w:val="21"/>
          <w:szCs w:val="21"/>
          <w:lang w:eastAsia="zh-CN"/>
        </w:rPr>
        <w:t>。</w:t>
      </w:r>
    </w:p>
    <w:p w14:paraId="0934A7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rPr>
        <w:t>财产范</w:t>
      </w:r>
      <w:r>
        <w:rPr>
          <w:rFonts w:hint="eastAsia" w:ascii="宋体" w:hAnsi="宋体" w:eastAsia="宋体" w:cs="宋体"/>
          <w:sz w:val="21"/>
          <w:szCs w:val="21"/>
          <w:lang w:eastAsia="zh-CN"/>
        </w:rPr>
        <w:t>围：辖区内全部常住人口所有且有人长期居住的居民房屋、室内相关财产、电动（两轮、三轮）车等</w:t>
      </w:r>
      <w:r>
        <w:rPr>
          <w:rFonts w:hint="eastAsia" w:ascii="宋体" w:hAnsi="宋体" w:eastAsia="宋体" w:cs="宋体"/>
          <w:sz w:val="21"/>
          <w:szCs w:val="21"/>
          <w:lang w:val="en-US" w:eastAsia="zh-CN"/>
        </w:rPr>
        <w:t>包括</w:t>
      </w:r>
      <w:r>
        <w:rPr>
          <w:rFonts w:hint="eastAsia" w:ascii="宋体" w:hAnsi="宋体" w:eastAsia="宋体" w:cs="宋体"/>
          <w:sz w:val="21"/>
          <w:szCs w:val="21"/>
          <w:highlight w:val="none"/>
          <w:lang w:val="en-US" w:eastAsia="zh-CN"/>
        </w:rPr>
        <w:t>户籍不在本辖区，但在承包区域范围的所有人员财产</w:t>
      </w:r>
      <w:r>
        <w:rPr>
          <w:rFonts w:hint="eastAsia" w:ascii="宋体" w:hAnsi="宋体" w:eastAsia="宋体" w:cs="宋体"/>
          <w:sz w:val="21"/>
          <w:szCs w:val="21"/>
          <w:lang w:eastAsia="zh-CN"/>
        </w:rPr>
        <w:t>；</w:t>
      </w:r>
    </w:p>
    <w:p w14:paraId="144C05F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sz w:val="21"/>
          <w:szCs w:val="21"/>
        </w:rPr>
      </w:pPr>
      <w:r>
        <w:rPr>
          <w:rFonts w:hint="eastAsia" w:ascii="宋体" w:hAnsi="宋体" w:eastAsia="宋体" w:cs="宋体"/>
          <w:sz w:val="21"/>
          <w:szCs w:val="21"/>
          <w:lang w:eastAsia="zh-CN"/>
        </w:rPr>
        <w:t>承保</w:t>
      </w:r>
      <w:r>
        <w:rPr>
          <w:rFonts w:hint="eastAsia" w:ascii="宋体" w:hAnsi="宋体" w:eastAsia="宋体" w:cs="宋体"/>
          <w:sz w:val="21"/>
          <w:szCs w:val="21"/>
        </w:rPr>
        <w:t>区域范围：</w:t>
      </w:r>
      <w:r>
        <w:rPr>
          <w:rFonts w:hint="eastAsia" w:ascii="宋体" w:hAnsi="宋体" w:eastAsia="宋体" w:cs="宋体"/>
          <w:sz w:val="21"/>
          <w:szCs w:val="21"/>
          <w:lang w:eastAsia="zh-CN"/>
        </w:rPr>
        <w:t>平顶山市新华区区域内</w:t>
      </w:r>
      <w:r>
        <w:rPr>
          <w:rFonts w:hint="eastAsia" w:ascii="宋体" w:hAnsi="宋体" w:eastAsia="宋体" w:cs="宋体"/>
          <w:sz w:val="21"/>
          <w:szCs w:val="21"/>
        </w:rPr>
        <w:t>。</w:t>
      </w:r>
    </w:p>
    <w:p w14:paraId="5ACE2BF6">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1.2社会治安综合保险保险责任</w:t>
      </w:r>
    </w:p>
    <w:p w14:paraId="37EBC4C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1.2.1</w:t>
      </w:r>
      <w:r>
        <w:rPr>
          <w:rFonts w:hint="eastAsia" w:ascii="宋体" w:hAnsi="宋体" w:eastAsia="宋体" w:cs="宋体"/>
          <w:b w:val="0"/>
          <w:bCs/>
          <w:sz w:val="21"/>
          <w:szCs w:val="21"/>
        </w:rPr>
        <w:t>因火灾、爆炸、雷电、台风、龙卷风、暴风、暴雨、洪水、雪灾、雹灾、冰凌、地面突然下陷，飞行物体及其他空中运行物体坠落，外来不属于被保险人所有或使用的建筑物和其他固定物体的倒塌，造成被保险标的损失的，保险人负责负责赔偿责任。</w:t>
      </w:r>
    </w:p>
    <w:p w14:paraId="6CB4357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1.2.2</w:t>
      </w:r>
      <w:r>
        <w:rPr>
          <w:rFonts w:hint="eastAsia" w:ascii="宋体" w:hAnsi="宋体" w:eastAsia="宋体" w:cs="宋体"/>
          <w:b w:val="0"/>
          <w:bCs/>
          <w:sz w:val="21"/>
          <w:szCs w:val="21"/>
        </w:rPr>
        <w:t>保险期间内，</w:t>
      </w:r>
      <w:r>
        <w:rPr>
          <w:rFonts w:hint="eastAsia" w:ascii="宋体" w:hAnsi="宋体" w:eastAsia="宋体" w:cs="宋体"/>
          <w:b w:val="0"/>
          <w:bCs/>
          <w:sz w:val="21"/>
          <w:szCs w:val="21"/>
          <w:lang w:eastAsia="zh-CN"/>
        </w:rPr>
        <w:t>因发生盗抢事件导致被保险财产损失的</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辖区少儿或老人走失、贫困家庭子女升学救助的</w:t>
      </w:r>
      <w:r>
        <w:rPr>
          <w:rFonts w:hint="eastAsia" w:ascii="宋体" w:hAnsi="宋体" w:eastAsia="宋体" w:cs="宋体"/>
          <w:b w:val="0"/>
          <w:bCs/>
          <w:sz w:val="21"/>
          <w:szCs w:val="21"/>
        </w:rPr>
        <w:t>保险人按照保险合同的约定负责赔偿。</w:t>
      </w:r>
    </w:p>
    <w:p w14:paraId="7A6DDB8B">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1.3治安保险承保方案</w:t>
      </w:r>
    </w:p>
    <w:p w14:paraId="1A31D26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14" w:firstLineChars="245"/>
        <w:jc w:val="both"/>
        <w:textAlignment w:val="auto"/>
        <w:outlineLvl w:val="9"/>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1.3.1保险方案：</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6"/>
        <w:gridCol w:w="1660"/>
        <w:gridCol w:w="1203"/>
        <w:gridCol w:w="5109"/>
      </w:tblGrid>
      <w:tr w14:paraId="41DB4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noWrap w:val="0"/>
            <w:vAlign w:val="top"/>
          </w:tcPr>
          <w:p w14:paraId="18A295C9">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险种</w:t>
            </w:r>
          </w:p>
        </w:tc>
        <w:tc>
          <w:tcPr>
            <w:tcW w:w="833" w:type="pct"/>
            <w:noWrap w:val="0"/>
            <w:vAlign w:val="top"/>
          </w:tcPr>
          <w:p w14:paraId="29C4716E">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保障内容</w:t>
            </w:r>
          </w:p>
        </w:tc>
        <w:tc>
          <w:tcPr>
            <w:tcW w:w="604" w:type="pct"/>
            <w:noWrap w:val="0"/>
            <w:vAlign w:val="top"/>
          </w:tcPr>
          <w:p w14:paraId="4485EE28">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保险金额</w:t>
            </w:r>
          </w:p>
        </w:tc>
        <w:tc>
          <w:tcPr>
            <w:tcW w:w="2564" w:type="pct"/>
            <w:noWrap w:val="0"/>
            <w:vAlign w:val="top"/>
          </w:tcPr>
          <w:p w14:paraId="4F22A55C">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保险责任</w:t>
            </w:r>
          </w:p>
        </w:tc>
      </w:tr>
      <w:tr w14:paraId="5A731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restart"/>
            <w:noWrap w:val="0"/>
            <w:vAlign w:val="top"/>
          </w:tcPr>
          <w:p w14:paraId="1FC5F1B6">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非农业户口/农业户口</w:t>
            </w:r>
          </w:p>
        </w:tc>
        <w:tc>
          <w:tcPr>
            <w:tcW w:w="833" w:type="pct"/>
            <w:noWrap w:val="0"/>
            <w:vAlign w:val="top"/>
          </w:tcPr>
          <w:p w14:paraId="15F87F72">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室内财产(含:家用电器及主体娱乐用品，衣物和床上用品、家具及其他生活用品）</w:t>
            </w:r>
          </w:p>
        </w:tc>
        <w:tc>
          <w:tcPr>
            <w:tcW w:w="604" w:type="pct"/>
            <w:noWrap w:val="0"/>
            <w:vAlign w:val="top"/>
          </w:tcPr>
          <w:p w14:paraId="1B58EF33">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5000元</w:t>
            </w:r>
          </w:p>
        </w:tc>
        <w:tc>
          <w:tcPr>
            <w:tcW w:w="2564" w:type="pct"/>
            <w:noWrap w:val="0"/>
            <w:vAlign w:val="top"/>
          </w:tcPr>
          <w:p w14:paraId="73E4A5F6">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本险种主要保障居民所有且有人长期居住的房屋，因自然灾害(包括暴雨、洪水、泥石流、山体滑坡;台风、暴风、龙卷风;雷击、冰雹、雪灾、崖崩;自然灾害引起的地陷或下沉)和意外事故(包括火灾、爆炸;空中运行物体坠落;外来不属于被保险人所有或使用的建筑和其他固定物体倒塌等)造成的损失，及合理的施救费用。</w:t>
            </w:r>
          </w:p>
        </w:tc>
      </w:tr>
      <w:tr w14:paraId="73BBA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55B092CD">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2D2A1B76">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附加电动车盗抢保险（两轮、三轮）</w:t>
            </w:r>
          </w:p>
        </w:tc>
        <w:tc>
          <w:tcPr>
            <w:tcW w:w="604" w:type="pct"/>
            <w:noWrap w:val="0"/>
            <w:vAlign w:val="top"/>
          </w:tcPr>
          <w:p w14:paraId="3D83C5A6">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1800元</w:t>
            </w:r>
          </w:p>
        </w:tc>
        <w:tc>
          <w:tcPr>
            <w:tcW w:w="2564" w:type="pct"/>
            <w:noWrap w:val="0"/>
            <w:vAlign w:val="top"/>
          </w:tcPr>
          <w:p w14:paraId="60599AB3">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遭受盗抢，经公安部门确认，有明显现场痕迹的盗窃、抢劫行为所致丢失的直接损失。赔偿标准:(1)电动车限整车丢失，电池等零部件丢失不负责赔偿;(2)3个月以内1800元;一年以上(含一年)1000元;(3)既无购车发票或收据，也无合格证或保修卡的，最高赔偿500元;</w:t>
            </w:r>
          </w:p>
        </w:tc>
      </w:tr>
      <w:tr w14:paraId="6BBB6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171BCFBC">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67953456">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附加盗抢保险（室内财产）</w:t>
            </w:r>
          </w:p>
        </w:tc>
        <w:tc>
          <w:tcPr>
            <w:tcW w:w="604" w:type="pct"/>
            <w:noWrap w:val="0"/>
            <w:vAlign w:val="top"/>
          </w:tcPr>
          <w:p w14:paraId="1768132D">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5000元</w:t>
            </w:r>
          </w:p>
        </w:tc>
        <w:tc>
          <w:tcPr>
            <w:tcW w:w="2564" w:type="pct"/>
            <w:noWrap w:val="0"/>
            <w:vAlign w:val="top"/>
          </w:tcPr>
          <w:p w14:paraId="5F536DA9">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遭受外来人员盗抢或抢劫，并经公安部门确认为盗抢行为所致的直接损失。</w:t>
            </w:r>
          </w:p>
        </w:tc>
      </w:tr>
      <w:tr w14:paraId="23BBC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restart"/>
            <w:noWrap w:val="0"/>
            <w:vAlign w:val="top"/>
          </w:tcPr>
          <w:p w14:paraId="477203C9">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保险服务</w:t>
            </w:r>
          </w:p>
        </w:tc>
        <w:tc>
          <w:tcPr>
            <w:tcW w:w="833" w:type="pct"/>
            <w:noWrap w:val="0"/>
            <w:vAlign w:val="top"/>
          </w:tcPr>
          <w:p w14:paraId="07C523C2">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户外抢夺抢劫、盗窃保险</w:t>
            </w:r>
          </w:p>
        </w:tc>
        <w:tc>
          <w:tcPr>
            <w:tcW w:w="604" w:type="pct"/>
            <w:noWrap w:val="0"/>
            <w:vAlign w:val="top"/>
          </w:tcPr>
          <w:p w14:paraId="496406DC">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3000元</w:t>
            </w:r>
          </w:p>
        </w:tc>
        <w:tc>
          <w:tcPr>
            <w:tcW w:w="2564" w:type="pct"/>
            <w:noWrap w:val="0"/>
            <w:vAlign w:val="top"/>
          </w:tcPr>
          <w:p w14:paraId="225D0FE1">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被保险人在户外活动时遭受第三者抢夺、抢劫或盗窃而导致随身携带的现金、手机等财产的损失。</w:t>
            </w:r>
          </w:p>
        </w:tc>
      </w:tr>
      <w:tr w14:paraId="296B2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5CEADEFB">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3A803CE2">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少儿走失保险</w:t>
            </w:r>
          </w:p>
        </w:tc>
        <w:tc>
          <w:tcPr>
            <w:tcW w:w="604" w:type="pct"/>
            <w:noWrap w:val="0"/>
            <w:vAlign w:val="top"/>
          </w:tcPr>
          <w:p w14:paraId="32EDCA94">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r>
              <w:rPr>
                <w:rFonts w:hint="eastAsia" w:ascii="宋体" w:hAnsi="宋体" w:eastAsia="宋体" w:cs="宋体"/>
                <w:b w:val="0"/>
                <w:bCs/>
                <w:sz w:val="21"/>
                <w:szCs w:val="21"/>
              </w:rPr>
              <w:t>10000元</w:t>
            </w:r>
          </w:p>
        </w:tc>
        <w:tc>
          <w:tcPr>
            <w:tcW w:w="2564" w:type="pct"/>
            <w:noWrap w:val="0"/>
            <w:vAlign w:val="top"/>
          </w:tcPr>
          <w:p w14:paraId="3D38B78D">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年龄在12周岁(含)以下的子女在国内(不含港澳台地区)走丢后自公安立案起，下落不明超过30日，用于找寻过程中发生的食宿、交通费、及在广告媒体上刊登附照片寻人广告后，对被保险人因此而实际发生的找寻费用。</w:t>
            </w:r>
          </w:p>
        </w:tc>
      </w:tr>
      <w:tr w14:paraId="1C05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3511C937">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122B4E0D">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老人寻找费用保险</w:t>
            </w:r>
          </w:p>
        </w:tc>
        <w:tc>
          <w:tcPr>
            <w:tcW w:w="604" w:type="pct"/>
            <w:noWrap w:val="0"/>
            <w:vAlign w:val="top"/>
          </w:tcPr>
          <w:p w14:paraId="3098540D">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10000元</w:t>
            </w:r>
          </w:p>
        </w:tc>
        <w:tc>
          <w:tcPr>
            <w:tcW w:w="2564" w:type="pct"/>
            <w:noWrap w:val="0"/>
            <w:vAlign w:val="top"/>
          </w:tcPr>
          <w:p w14:paraId="161AFB4E">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被保险人所赡养的年龄在50周岁及以上的的老人发生丢失，用于找寻过程中发生的食宿、交通费及在广告媒体上刊登附照片寻人广告后，对被保险人因此而实际发生的找寻费用。</w:t>
            </w:r>
          </w:p>
        </w:tc>
      </w:tr>
      <w:tr w14:paraId="2675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7" w:type="pct"/>
            <w:vMerge w:val="continue"/>
            <w:noWrap w:val="0"/>
            <w:vAlign w:val="top"/>
          </w:tcPr>
          <w:p w14:paraId="5AD9302F">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sz w:val="21"/>
                <w:szCs w:val="21"/>
              </w:rPr>
            </w:pPr>
          </w:p>
        </w:tc>
        <w:tc>
          <w:tcPr>
            <w:tcW w:w="833" w:type="pct"/>
            <w:noWrap w:val="0"/>
            <w:vAlign w:val="top"/>
          </w:tcPr>
          <w:p w14:paraId="5BA34CB7">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贫困家庭子女升学补助金保险</w:t>
            </w:r>
          </w:p>
        </w:tc>
        <w:tc>
          <w:tcPr>
            <w:tcW w:w="604" w:type="pct"/>
            <w:noWrap w:val="0"/>
            <w:vAlign w:val="top"/>
          </w:tcPr>
          <w:p w14:paraId="4206529A">
            <w:pPr>
              <w:pageBreakBefore w:val="0"/>
              <w:kinsoku/>
              <w:wordWrap/>
              <w:overflowPunct/>
              <w:topLinePunct w:val="0"/>
              <w:autoSpaceDE/>
              <w:autoSpaceDN/>
              <w:bidi w:val="0"/>
              <w:adjustRightInd/>
              <w:snapToGrid/>
              <w:spacing w:line="360" w:lineRule="auto"/>
              <w:jc w:val="center"/>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3000</w:t>
            </w:r>
            <w:r>
              <w:rPr>
                <w:rFonts w:hint="eastAsia" w:ascii="宋体" w:hAnsi="宋体" w:eastAsia="宋体" w:cs="宋体"/>
                <w:b w:val="0"/>
                <w:bCs/>
                <w:color w:val="auto"/>
                <w:sz w:val="21"/>
                <w:szCs w:val="21"/>
                <w:highlight w:val="none"/>
              </w:rPr>
              <w:t>元</w:t>
            </w:r>
          </w:p>
        </w:tc>
        <w:tc>
          <w:tcPr>
            <w:tcW w:w="2564" w:type="pct"/>
            <w:noWrap w:val="0"/>
            <w:vAlign w:val="top"/>
          </w:tcPr>
          <w:p w14:paraId="7CB329D1">
            <w:pPr>
              <w:pageBreakBefore w:val="0"/>
              <w:kinsoku/>
              <w:wordWrap/>
              <w:overflowPunct/>
              <w:topLinePunct w:val="0"/>
              <w:autoSpaceDE/>
              <w:autoSpaceDN/>
              <w:bidi w:val="0"/>
              <w:adjustRightInd/>
              <w:snapToGrid/>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 政府认定的贫困家庭中，被保险人在当年参加高考被全日制大专以上高等院校录取入学给予一次性补助金。</w:t>
            </w:r>
          </w:p>
        </w:tc>
      </w:tr>
    </w:tbl>
    <w:p w14:paraId="2F436DEA">
      <w:pPr>
        <w:pageBreakBefore w:val="0"/>
        <w:kinsoku/>
        <w:wordWrap/>
        <w:overflowPunct/>
        <w:topLinePunct w:val="0"/>
        <w:autoSpaceDE/>
        <w:autoSpaceDN/>
        <w:bidi w:val="0"/>
        <w:adjustRightInd/>
        <w:snapToGrid/>
        <w:spacing w:line="360" w:lineRule="auto"/>
        <w:ind w:firstLine="422" w:firstLineChars="200"/>
        <w:rPr>
          <w:rStyle w:val="147"/>
          <w:rFonts w:hint="eastAsia" w:ascii="宋体" w:hAnsi="宋体" w:eastAsia="宋体" w:cs="宋体"/>
          <w:b/>
          <w:bCs w:val="0"/>
          <w:sz w:val="21"/>
          <w:szCs w:val="21"/>
          <w:highlight w:val="none"/>
        </w:rPr>
      </w:pPr>
      <w:r>
        <w:rPr>
          <w:rStyle w:val="147"/>
          <w:rFonts w:hint="eastAsia" w:ascii="宋体" w:hAnsi="宋体" w:eastAsia="宋体" w:cs="宋体"/>
          <w:b/>
          <w:bCs w:val="0"/>
          <w:sz w:val="21"/>
          <w:szCs w:val="21"/>
        </w:rPr>
        <w:t>附加：按采购人要求参加全年平安建设宣传活动，印制宣传册，提供小礼品。</w:t>
      </w:r>
    </w:p>
    <w:p w14:paraId="72059DF9">
      <w:pPr>
        <w:pStyle w:val="3"/>
        <w:pageBreakBefore w:val="0"/>
        <w:kinsoku/>
        <w:wordWrap/>
        <w:overflowPunct/>
        <w:topLinePunct w:val="0"/>
        <w:autoSpaceDE/>
        <w:autoSpaceDN/>
        <w:bidi w:val="0"/>
        <w:adjustRightInd/>
        <w:snapToGrid/>
        <w:spacing w:before="0" w:after="0"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2.民生综合保险</w:t>
      </w:r>
    </w:p>
    <w:p w14:paraId="2B7B348D">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2.1保障对象：</w:t>
      </w:r>
    </w:p>
    <w:p w14:paraId="0F8934F2">
      <w:pPr>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lang w:val="en-US" w:eastAsia="zh-CN"/>
        </w:rPr>
        <w:t>为</w:t>
      </w:r>
      <w:r>
        <w:rPr>
          <w:rFonts w:hint="eastAsia" w:ascii="宋体" w:hAnsi="宋体" w:eastAsia="宋体" w:cs="宋体"/>
          <w:sz w:val="21"/>
          <w:szCs w:val="21"/>
          <w:highlight w:val="none"/>
        </w:rPr>
        <w:t>具有平顶山市新华区户籍的自然人；本辖区务工人员；与本辖区居住户籍居民结婚后，但未取得本辖区户籍的人员；</w:t>
      </w:r>
      <w:r>
        <w:rPr>
          <w:rFonts w:hint="eastAsia" w:ascii="宋体" w:hAnsi="宋体" w:eastAsia="宋体" w:cs="宋体"/>
          <w:sz w:val="21"/>
          <w:szCs w:val="21"/>
          <w:highlight w:val="none"/>
          <w:lang w:val="en-US" w:eastAsia="zh-CN"/>
        </w:rPr>
        <w:t>与</w:t>
      </w:r>
      <w:r>
        <w:rPr>
          <w:rFonts w:hint="eastAsia" w:ascii="宋体" w:hAnsi="宋体" w:eastAsia="宋体" w:cs="宋体"/>
          <w:sz w:val="21"/>
          <w:szCs w:val="21"/>
          <w:highlight w:val="none"/>
        </w:rPr>
        <w:t>本辖区户籍居民结婚后，生育的子女尚未取得户籍的；户籍不在本辖区，但在本辖区内党政机关、社会团体、企事业单位上班的人员；本辖区内的未成年在校学生</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户籍不在本辖区，但在承包区域范围的所有人员。</w:t>
      </w:r>
    </w:p>
    <w:p w14:paraId="6828E059">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2.2保险责任范围：</w:t>
      </w:r>
    </w:p>
    <w:p w14:paraId="1FB873AC">
      <w:pPr>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为平顶山市新华区行政区域内。</w:t>
      </w:r>
    </w:p>
    <w:p w14:paraId="2E57C2A1">
      <w:pPr>
        <w:pStyle w:val="4"/>
        <w:pageBreakBefore w:val="0"/>
        <w:kinsoku/>
        <w:wordWrap/>
        <w:overflowPunct/>
        <w:topLinePunct w:val="0"/>
        <w:autoSpaceDE/>
        <w:autoSpaceDN/>
        <w:bidi w:val="0"/>
        <w:adjustRightInd/>
        <w:snapToGrid/>
        <w:spacing w:before="0" w:after="0" w:line="360" w:lineRule="auto"/>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2.3保险保障方案</w:t>
      </w:r>
    </w:p>
    <w:p w14:paraId="0B4A615A">
      <w:pPr>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保险金额由投保人、被保险人双方约定，并在保险单中载明。甲方</w:t>
      </w:r>
      <w:r>
        <w:rPr>
          <w:rFonts w:hint="eastAsia" w:ascii="宋体" w:hAnsi="宋体" w:eastAsia="宋体" w:cs="宋体"/>
          <w:sz w:val="21"/>
          <w:szCs w:val="21"/>
          <w:lang w:val="en-US" w:eastAsia="zh-CN"/>
        </w:rPr>
        <w:t>应</w:t>
      </w:r>
      <w:r>
        <w:rPr>
          <w:rFonts w:hint="eastAsia" w:ascii="宋体" w:hAnsi="宋体" w:eastAsia="宋体" w:cs="宋体"/>
          <w:sz w:val="21"/>
          <w:szCs w:val="21"/>
        </w:rPr>
        <w:t>于</w:t>
      </w:r>
      <w:r>
        <w:rPr>
          <w:rFonts w:hint="eastAsia" w:ascii="宋体" w:hAnsi="宋体" w:eastAsia="宋体" w:cs="宋体"/>
          <w:sz w:val="21"/>
          <w:szCs w:val="21"/>
          <w:lang w:val="en-US" w:eastAsia="zh-CN"/>
        </w:rPr>
        <w:t>投保后保单生效前向乙方缴纳足额的</w:t>
      </w:r>
      <w:r>
        <w:rPr>
          <w:rFonts w:hint="eastAsia" w:ascii="宋体" w:hAnsi="宋体" w:eastAsia="宋体" w:cs="宋体"/>
          <w:sz w:val="21"/>
          <w:szCs w:val="21"/>
        </w:rPr>
        <w:t>的保险费。保险金额是保险人承担给付保险金责任的最高限额，保险金一经确定，中途不得变更。甲方在付清保险费后，乙方</w:t>
      </w:r>
      <w:r>
        <w:rPr>
          <w:rFonts w:hint="eastAsia" w:ascii="宋体" w:hAnsi="宋体" w:eastAsia="宋体" w:cs="宋体"/>
          <w:sz w:val="21"/>
          <w:szCs w:val="21"/>
          <w:lang w:val="en-US" w:eastAsia="zh-CN"/>
        </w:rPr>
        <w:t>按照保单载明时间</w:t>
      </w:r>
      <w:r>
        <w:rPr>
          <w:rFonts w:hint="eastAsia" w:ascii="宋体" w:hAnsi="宋体" w:eastAsia="宋体" w:cs="宋体"/>
          <w:sz w:val="21"/>
          <w:szCs w:val="21"/>
        </w:rPr>
        <w:t>开始履行保险责任。</w:t>
      </w:r>
    </w:p>
    <w:p w14:paraId="50AA6FDA">
      <w:pPr>
        <w:pageBreakBefore w:val="0"/>
        <w:kinsoku/>
        <w:wordWrap/>
        <w:overflowPunct/>
        <w:topLinePunct w:val="0"/>
        <w:autoSpaceDE/>
        <w:autoSpaceDN/>
        <w:bidi w:val="0"/>
        <w:adjustRightInd/>
        <w:snapToGrid/>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保险保障方案如下：</w:t>
      </w:r>
    </w:p>
    <w:tbl>
      <w:tblPr>
        <w:tblStyle w:val="34"/>
        <w:tblW w:w="4999" w:type="pct"/>
        <w:jc w:val="center"/>
        <w:tblLayout w:type="autofit"/>
        <w:tblCellMar>
          <w:top w:w="0" w:type="dxa"/>
          <w:left w:w="0" w:type="dxa"/>
          <w:bottom w:w="0" w:type="dxa"/>
          <w:right w:w="0" w:type="dxa"/>
        </w:tblCellMar>
      </w:tblPr>
      <w:tblGrid>
        <w:gridCol w:w="2130"/>
        <w:gridCol w:w="1459"/>
        <w:gridCol w:w="6185"/>
      </w:tblGrid>
      <w:tr w14:paraId="1B323426">
        <w:tblPrEx>
          <w:tblCellMar>
            <w:top w:w="0" w:type="dxa"/>
            <w:left w:w="0" w:type="dxa"/>
            <w:bottom w:w="0" w:type="dxa"/>
            <w:right w:w="0" w:type="dxa"/>
          </w:tblCellMar>
        </w:tblPrEx>
        <w:trPr>
          <w:trHeight w:val="270" w:hRule="atLeast"/>
          <w:jc w:val="center"/>
        </w:trPr>
        <w:tc>
          <w:tcPr>
            <w:tcW w:w="616"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3FF1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保险名称</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6985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保障内容</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8443A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i w:val="0"/>
                <w:color w:val="000000"/>
                <w:sz w:val="21"/>
                <w:szCs w:val="21"/>
                <w:highlight w:val="none"/>
                <w:u w:val="none"/>
                <w:lang w:val="en-US"/>
              </w:rPr>
            </w:pPr>
            <w:r>
              <w:rPr>
                <w:rFonts w:hint="eastAsia" w:ascii="宋体" w:hAnsi="宋体" w:eastAsia="宋体" w:cs="宋体"/>
                <w:b/>
                <w:i w:val="0"/>
                <w:color w:val="000000"/>
                <w:kern w:val="0"/>
                <w:sz w:val="21"/>
                <w:szCs w:val="21"/>
                <w:highlight w:val="none"/>
                <w:u w:val="none"/>
                <w:lang w:val="en-US" w:eastAsia="zh-CN" w:bidi="ar"/>
              </w:rPr>
              <w:t>保险责任及限额</w:t>
            </w:r>
          </w:p>
        </w:tc>
      </w:tr>
      <w:tr w14:paraId="2DE56E0D">
        <w:tblPrEx>
          <w:tblCellMar>
            <w:top w:w="0" w:type="dxa"/>
            <w:left w:w="0" w:type="dxa"/>
            <w:bottom w:w="0" w:type="dxa"/>
            <w:right w:w="0" w:type="dxa"/>
          </w:tblCellMar>
        </w:tblPrEx>
        <w:trPr>
          <w:trHeight w:val="930" w:hRule="atLeast"/>
          <w:jc w:val="center"/>
        </w:trPr>
        <w:tc>
          <w:tcPr>
            <w:tcW w:w="616"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0310D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公共管理综合责任保险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1A17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突发公共安全事件意外伤害（被保险人为突发事件中的受害人）</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ED303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因发生特定突发的公共安全事件导致被保险人受伤、身故或残疾的给付医疗、身故或伤残赔偿金。包括倒房、火灾、爆炸、生产安全事故、食物中毒、突发恶性事件、高空坠物伤人、拥挤踩踏、个人暴力、恐怖活动等意外事件。医疗费赔付限额5000元/人，伤残、死亡赔付限额5万元/人。 累计赔偿限额50万元。</w:t>
            </w:r>
          </w:p>
        </w:tc>
      </w:tr>
      <w:tr w14:paraId="51AA0142">
        <w:tblPrEx>
          <w:tblCellMar>
            <w:top w:w="0" w:type="dxa"/>
            <w:left w:w="0" w:type="dxa"/>
            <w:bottom w:w="0" w:type="dxa"/>
            <w:right w:w="0" w:type="dxa"/>
          </w:tblCellMar>
        </w:tblPrEx>
        <w:trPr>
          <w:trHeight w:val="915"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7EE150">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D22E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市政设施公众意外伤害（被保险人为突发事件中的受害人）</w:t>
            </w:r>
          </w:p>
          <w:p w14:paraId="776C2FF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kern w:val="0"/>
                <w:sz w:val="21"/>
                <w:szCs w:val="21"/>
                <w:highlight w:val="none"/>
                <w:u w:val="none"/>
                <w:lang w:val="en-US" w:eastAsia="zh-CN" w:bidi="ar"/>
              </w:rPr>
            </w:pP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54705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因市政非营利性质公共设施（仅包含：市政井盖、护栏、街路标牌），因为缺失、沉降、坠落、倒塌等原因造成第三方人员受伤、身故或残疾的给付医疗、身故或伤残赔偿金。医疗费赔付限额5000元/人，伤残、死亡赔付限额5万元/人。 累计赔偿限额50万元。保险人先期赔偿后有权向公共设施所有人、监管人或致害人追偿。</w:t>
            </w:r>
          </w:p>
        </w:tc>
      </w:tr>
      <w:tr w14:paraId="35BE437C">
        <w:tblPrEx>
          <w:tblCellMar>
            <w:top w:w="0" w:type="dxa"/>
            <w:left w:w="0" w:type="dxa"/>
            <w:bottom w:w="0" w:type="dxa"/>
            <w:right w:w="0" w:type="dxa"/>
          </w:tblCellMar>
        </w:tblPrEx>
        <w:trPr>
          <w:trHeight w:val="705" w:hRule="atLeast"/>
          <w:jc w:val="center"/>
        </w:trPr>
        <w:tc>
          <w:tcPr>
            <w:tcW w:w="616"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6638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政府救助责任保险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04AF8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见义勇为意外伤害</w:t>
            </w:r>
          </w:p>
          <w:p w14:paraId="6B0DEC2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（被保险人为突发事件中的受害人）</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3BBE1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在保险期限内，在约定的行政区域范围内，经区级以上政府部门认定为见义勇为的，因见义勇为遭受伤害的，每人次医疗费、误工费限额合计</w:t>
            </w:r>
            <w:r>
              <w:rPr>
                <w:rStyle w:val="149"/>
                <w:rFonts w:hint="eastAsia" w:ascii="宋体" w:hAnsi="宋体" w:eastAsia="宋体" w:cs="宋体"/>
                <w:sz w:val="21"/>
                <w:szCs w:val="21"/>
                <w:highlight w:val="none"/>
                <w:lang w:val="en-US" w:eastAsia="zh-CN" w:bidi="ar"/>
              </w:rPr>
              <w:t>5000</w:t>
            </w:r>
            <w:r>
              <w:rPr>
                <w:rFonts w:hint="eastAsia" w:ascii="宋体" w:hAnsi="宋体" w:eastAsia="宋体" w:cs="宋体"/>
                <w:i w:val="0"/>
                <w:color w:val="000000"/>
                <w:kern w:val="0"/>
                <w:sz w:val="21"/>
                <w:szCs w:val="21"/>
                <w:highlight w:val="none"/>
                <w:u w:val="none"/>
                <w:lang w:val="en-US" w:eastAsia="zh-CN" w:bidi="ar"/>
              </w:rPr>
              <w:t>元（误工费按照</w:t>
            </w:r>
            <w:r>
              <w:rPr>
                <w:rStyle w:val="149"/>
                <w:rFonts w:hint="eastAsia" w:ascii="宋体" w:hAnsi="宋体" w:eastAsia="宋体" w:cs="宋体"/>
                <w:sz w:val="21"/>
                <w:szCs w:val="21"/>
                <w:highlight w:val="none"/>
                <w:lang w:val="en-US" w:eastAsia="zh-CN" w:bidi="ar"/>
              </w:rPr>
              <w:t>100</w:t>
            </w:r>
            <w:r>
              <w:rPr>
                <w:rFonts w:hint="eastAsia" w:ascii="宋体" w:hAnsi="宋体" w:eastAsia="宋体" w:cs="宋体"/>
                <w:i w:val="0"/>
                <w:color w:val="000000"/>
                <w:kern w:val="0"/>
                <w:sz w:val="21"/>
                <w:szCs w:val="21"/>
                <w:highlight w:val="none"/>
                <w:u w:val="none"/>
                <w:lang w:val="en-US" w:eastAsia="zh-CN" w:bidi="ar"/>
              </w:rPr>
              <w:t>元</w:t>
            </w:r>
            <w:r>
              <w:rPr>
                <w:rStyle w:val="149"/>
                <w:rFonts w:hint="eastAsia" w:ascii="宋体" w:hAnsi="宋体" w:eastAsia="宋体" w:cs="宋体"/>
                <w:sz w:val="21"/>
                <w:szCs w:val="21"/>
                <w:highlight w:val="none"/>
                <w:lang w:val="en-US" w:eastAsia="zh-CN" w:bidi="ar"/>
              </w:rPr>
              <w:t>/</w:t>
            </w:r>
            <w:r>
              <w:rPr>
                <w:rFonts w:hint="eastAsia" w:ascii="宋体" w:hAnsi="宋体" w:eastAsia="宋体" w:cs="宋体"/>
                <w:i w:val="0"/>
                <w:color w:val="000000"/>
                <w:kern w:val="0"/>
                <w:sz w:val="21"/>
                <w:szCs w:val="21"/>
                <w:highlight w:val="none"/>
                <w:u w:val="none"/>
                <w:lang w:val="en-US" w:eastAsia="zh-CN" w:bidi="ar"/>
              </w:rPr>
              <w:t>日计算）；伤残、死亡赔付限额5万元/人；累计赔偿限额</w:t>
            </w:r>
            <w:r>
              <w:rPr>
                <w:rStyle w:val="149"/>
                <w:rFonts w:hint="eastAsia" w:ascii="宋体" w:hAnsi="宋体" w:eastAsia="宋体" w:cs="宋体"/>
                <w:sz w:val="21"/>
                <w:szCs w:val="21"/>
                <w:highlight w:val="none"/>
                <w:lang w:val="en-US" w:eastAsia="zh-CN" w:bidi="ar"/>
              </w:rPr>
              <w:t>50</w:t>
            </w:r>
            <w:r>
              <w:rPr>
                <w:rFonts w:hint="eastAsia" w:ascii="宋体" w:hAnsi="宋体" w:eastAsia="宋体" w:cs="宋体"/>
                <w:i w:val="0"/>
                <w:color w:val="000000"/>
                <w:kern w:val="0"/>
                <w:sz w:val="21"/>
                <w:szCs w:val="21"/>
                <w:highlight w:val="none"/>
                <w:u w:val="none"/>
                <w:lang w:val="en-US" w:eastAsia="zh-CN" w:bidi="ar"/>
              </w:rPr>
              <w:t>万元。</w:t>
            </w:r>
          </w:p>
        </w:tc>
      </w:tr>
      <w:tr w14:paraId="699DEF7D">
        <w:tblPrEx>
          <w:tblCellMar>
            <w:top w:w="0" w:type="dxa"/>
            <w:left w:w="0" w:type="dxa"/>
            <w:bottom w:w="0" w:type="dxa"/>
            <w:right w:w="0" w:type="dxa"/>
          </w:tblCellMar>
        </w:tblPrEx>
        <w:trPr>
          <w:trHeight w:val="93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9833D">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7054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自然灾害意外伤害</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BCDEA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因发生由于暴雨、暴风、崩塌、雷击、洪水、龙卷风（热带风暴）、海啸、泥石流、突发性滑坡、冰雹等自然灾害及在上述自然灾害中的抢险救灾行为导致的直接被保险人受伤、身故或残疾的给付医疗、身故或伤残赔偿金。医疗费赔付限额5000元/人，伤残、死亡赔付限额5万元/人。 累计赔偿限额50万元。</w:t>
            </w:r>
          </w:p>
        </w:tc>
      </w:tr>
      <w:tr w14:paraId="6B60726C">
        <w:tblPrEx>
          <w:tblCellMar>
            <w:top w:w="0" w:type="dxa"/>
            <w:left w:w="0" w:type="dxa"/>
            <w:bottom w:w="0" w:type="dxa"/>
            <w:right w:w="0" w:type="dxa"/>
          </w:tblCellMar>
        </w:tblPrEx>
        <w:trPr>
          <w:trHeight w:val="45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9FA850">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CE8D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精神障碍患者伤害救助保险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2A09B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在保险期限内，在约定的行政区域范围内，因精神障碍患者袭击造成第三方人受伤、伤残、死亡的，每人次医疗限额10000元，每人次伤残、死亡限额20万元，每次事故赔偿限额400万元，总累计赔偿限额800万元。</w:t>
            </w:r>
          </w:p>
        </w:tc>
      </w:tr>
      <w:tr w14:paraId="26AF5E00">
        <w:tblPrEx>
          <w:tblCellMar>
            <w:top w:w="0" w:type="dxa"/>
            <w:left w:w="0" w:type="dxa"/>
            <w:bottom w:w="0" w:type="dxa"/>
            <w:right w:w="0" w:type="dxa"/>
          </w:tblCellMar>
        </w:tblPrEx>
        <w:trPr>
          <w:trHeight w:val="48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A1772B">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8314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未成年人溺水救助保险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DA468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未成年人因溺水受伤、死亡,经政府及相关部门认定后,医疗费赔付限额5000元/人，死亡赔付限额5万元/人。 累计赔偿限额50万元。</w:t>
            </w:r>
          </w:p>
        </w:tc>
      </w:tr>
      <w:tr w14:paraId="0B2BCCD0">
        <w:tblPrEx>
          <w:tblCellMar>
            <w:top w:w="0" w:type="dxa"/>
            <w:left w:w="0" w:type="dxa"/>
            <w:bottom w:w="0" w:type="dxa"/>
            <w:right w:w="0" w:type="dxa"/>
          </w:tblCellMar>
        </w:tblPrEx>
        <w:trPr>
          <w:trHeight w:val="72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B4BCA3">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6B7304">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交通事故救助保险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09279F">
            <w:pPr>
              <w:pageBreakBefore w:val="0"/>
              <w:kinsoku/>
              <w:wordWrap/>
              <w:overflowPunct/>
              <w:topLinePunct w:val="0"/>
              <w:autoSpaceDE/>
              <w:autoSpaceDN/>
              <w:bidi w:val="0"/>
              <w:adjustRightInd/>
              <w:snapToGrid/>
              <w:spacing w:line="360" w:lineRule="auto"/>
              <w:jc w:val="left"/>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发生道路交通事故致人重伤或死亡,责任人无能力赔偿或者肇事车辆逃逸的,按照《河南省道路交通事故社会救助基金管理办法》处理后,医疗费赔付限额5000元/人，死亡赔付限额5万元/人。 累计赔偿限额50万元。</w:t>
            </w:r>
          </w:p>
        </w:tc>
      </w:tr>
      <w:tr w14:paraId="0D83737B">
        <w:tblPrEx>
          <w:tblCellMar>
            <w:top w:w="0" w:type="dxa"/>
            <w:left w:w="0" w:type="dxa"/>
            <w:bottom w:w="0" w:type="dxa"/>
            <w:right w:w="0" w:type="dxa"/>
          </w:tblCellMar>
        </w:tblPrEx>
        <w:trPr>
          <w:trHeight w:val="450"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77A726">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97878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精神障碍患者贫困家庭医疗救助保险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E8C1D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在保险期限内，在约定的行政区域范围内，政府认定的贫困精神障碍患者住院治疗的医疗和护理费用，每人次限额5000元，累计赔偿限额50万元。</w:t>
            </w:r>
          </w:p>
        </w:tc>
      </w:tr>
      <w:tr w14:paraId="4503F628">
        <w:tblPrEx>
          <w:tblCellMar>
            <w:top w:w="0" w:type="dxa"/>
            <w:left w:w="0" w:type="dxa"/>
            <w:bottom w:w="0" w:type="dxa"/>
            <w:right w:w="0" w:type="dxa"/>
          </w:tblCellMar>
        </w:tblPrEx>
        <w:trPr>
          <w:trHeight w:val="465" w:hRule="atLeast"/>
          <w:jc w:val="center"/>
        </w:trPr>
        <w:tc>
          <w:tcPr>
            <w:tcW w:w="616"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D47E46">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000000"/>
                <w:sz w:val="21"/>
                <w:szCs w:val="21"/>
                <w:highlight w:val="none"/>
                <w:u w:val="none"/>
              </w:rPr>
            </w:pP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FFD1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公共安全事件安全处置人员意外伤害补偿保险</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64619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在保险期限内，在约定的行政区域范围内，相关政府处置人员因公遭受意外伤害的，每人次医疗费、误工费限额合计</w:t>
            </w:r>
            <w:r>
              <w:rPr>
                <w:rStyle w:val="149"/>
                <w:rFonts w:hint="eastAsia" w:ascii="宋体" w:hAnsi="宋体" w:eastAsia="宋体" w:cs="宋体"/>
                <w:sz w:val="21"/>
                <w:szCs w:val="21"/>
                <w:highlight w:val="none"/>
                <w:lang w:val="en-US" w:eastAsia="zh-CN" w:bidi="ar"/>
              </w:rPr>
              <w:t>5000</w:t>
            </w:r>
            <w:r>
              <w:rPr>
                <w:rFonts w:hint="eastAsia" w:ascii="宋体" w:hAnsi="宋体" w:eastAsia="宋体" w:cs="宋体"/>
                <w:i w:val="0"/>
                <w:color w:val="000000"/>
                <w:kern w:val="0"/>
                <w:sz w:val="21"/>
                <w:szCs w:val="21"/>
                <w:highlight w:val="none"/>
                <w:u w:val="none"/>
                <w:lang w:val="en-US" w:eastAsia="zh-CN" w:bidi="ar"/>
              </w:rPr>
              <w:t>元（误工费按照</w:t>
            </w:r>
            <w:r>
              <w:rPr>
                <w:rStyle w:val="149"/>
                <w:rFonts w:hint="eastAsia" w:ascii="宋体" w:hAnsi="宋体" w:eastAsia="宋体" w:cs="宋体"/>
                <w:sz w:val="21"/>
                <w:szCs w:val="21"/>
                <w:highlight w:val="none"/>
                <w:lang w:val="en-US" w:eastAsia="zh-CN" w:bidi="ar"/>
              </w:rPr>
              <w:t>100</w:t>
            </w:r>
            <w:r>
              <w:rPr>
                <w:rFonts w:hint="eastAsia" w:ascii="宋体" w:hAnsi="宋体" w:eastAsia="宋体" w:cs="宋体"/>
                <w:i w:val="0"/>
                <w:color w:val="000000"/>
                <w:kern w:val="0"/>
                <w:sz w:val="21"/>
                <w:szCs w:val="21"/>
                <w:highlight w:val="none"/>
                <w:u w:val="none"/>
                <w:lang w:val="en-US" w:eastAsia="zh-CN" w:bidi="ar"/>
              </w:rPr>
              <w:t>元</w:t>
            </w:r>
            <w:r>
              <w:rPr>
                <w:rStyle w:val="149"/>
                <w:rFonts w:hint="eastAsia" w:ascii="宋体" w:hAnsi="宋体" w:eastAsia="宋体" w:cs="宋体"/>
                <w:sz w:val="21"/>
                <w:szCs w:val="21"/>
                <w:highlight w:val="none"/>
                <w:lang w:val="en-US" w:eastAsia="zh-CN" w:bidi="ar"/>
              </w:rPr>
              <w:t>/</w:t>
            </w:r>
            <w:r>
              <w:rPr>
                <w:rFonts w:hint="eastAsia" w:ascii="宋体" w:hAnsi="宋体" w:eastAsia="宋体" w:cs="宋体"/>
                <w:i w:val="0"/>
                <w:color w:val="000000"/>
                <w:kern w:val="0"/>
                <w:sz w:val="21"/>
                <w:szCs w:val="21"/>
                <w:highlight w:val="none"/>
                <w:u w:val="none"/>
                <w:lang w:val="en-US" w:eastAsia="zh-CN" w:bidi="ar"/>
              </w:rPr>
              <w:t>日计算）；伤残、死亡赔付限额5万元/人；累计赔偿限额</w:t>
            </w:r>
            <w:r>
              <w:rPr>
                <w:rStyle w:val="149"/>
                <w:rFonts w:hint="eastAsia" w:ascii="宋体" w:hAnsi="宋体" w:eastAsia="宋体" w:cs="宋体"/>
                <w:sz w:val="21"/>
                <w:szCs w:val="21"/>
                <w:highlight w:val="none"/>
                <w:lang w:val="en-US" w:eastAsia="zh-CN" w:bidi="ar"/>
              </w:rPr>
              <w:t>50</w:t>
            </w:r>
            <w:r>
              <w:rPr>
                <w:rFonts w:hint="eastAsia" w:ascii="宋体" w:hAnsi="宋体" w:eastAsia="宋体" w:cs="宋体"/>
                <w:i w:val="0"/>
                <w:color w:val="000000"/>
                <w:kern w:val="0"/>
                <w:sz w:val="21"/>
                <w:szCs w:val="21"/>
                <w:highlight w:val="none"/>
                <w:u w:val="none"/>
                <w:lang w:val="en-US" w:eastAsia="zh-CN" w:bidi="ar"/>
              </w:rPr>
              <w:t>万元。</w:t>
            </w:r>
          </w:p>
        </w:tc>
      </w:tr>
      <w:tr w14:paraId="2F43F69C">
        <w:tblPrEx>
          <w:tblCellMar>
            <w:top w:w="0" w:type="dxa"/>
            <w:left w:w="0" w:type="dxa"/>
            <w:bottom w:w="0" w:type="dxa"/>
            <w:right w:w="0" w:type="dxa"/>
          </w:tblCellMar>
        </w:tblPrEx>
        <w:trPr>
          <w:trHeight w:val="465" w:hRule="atLeast"/>
          <w:jc w:val="center"/>
        </w:trPr>
        <w:tc>
          <w:tcPr>
            <w:tcW w:w="61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488A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人身意</w:t>
            </w:r>
          </w:p>
          <w:p w14:paraId="24A18B90">
            <w:pPr>
              <w:pageBreakBefore w:val="0"/>
              <w:kinsoku/>
              <w:wordWrap/>
              <w:overflowPunct/>
              <w:topLinePunct w:val="0"/>
              <w:autoSpaceDE/>
              <w:autoSpaceDN/>
              <w:bidi w:val="0"/>
              <w:adjustRightInd/>
              <w:snapToGrid/>
              <w:spacing w:line="360" w:lineRule="auto"/>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外险</w:t>
            </w:r>
          </w:p>
        </w:tc>
        <w:tc>
          <w:tcPr>
            <w:tcW w:w="98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3077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巡防队员及专兼职网格员</w:t>
            </w:r>
          </w:p>
          <w:p w14:paraId="72B2D55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意外伤害保险（24小时）</w:t>
            </w:r>
          </w:p>
        </w:tc>
        <w:tc>
          <w:tcPr>
            <w:tcW w:w="3400"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641BD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意外伤害5万/人，意外医疗1万/人，意外住院津贴18000/人</w:t>
            </w:r>
            <w:r>
              <w:rPr>
                <w:rFonts w:hint="eastAsia" w:ascii="宋体" w:hAnsi="宋体" w:cs="宋体"/>
                <w:i w:val="0"/>
                <w:color w:val="auto"/>
                <w:kern w:val="0"/>
                <w:sz w:val="21"/>
                <w:szCs w:val="21"/>
                <w:highlight w:val="none"/>
                <w:u w:val="none"/>
                <w:lang w:val="en-US" w:eastAsia="zh-CN" w:bidi="ar"/>
              </w:rPr>
              <w:t>。</w:t>
            </w:r>
          </w:p>
          <w:p w14:paraId="6AA0956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1、</w:t>
            </w:r>
            <w:r>
              <w:rPr>
                <w:rFonts w:hint="eastAsia" w:ascii="宋体" w:hAnsi="宋体" w:eastAsia="宋体" w:cs="宋体"/>
                <w:i w:val="0"/>
                <w:color w:val="auto"/>
                <w:kern w:val="0"/>
                <w:sz w:val="21"/>
                <w:szCs w:val="21"/>
                <w:highlight w:val="none"/>
                <w:u w:val="none"/>
                <w:lang w:val="en-US" w:eastAsia="zh-CN" w:bidi="ar"/>
              </w:rPr>
              <w:t>被保险人自遭受该意外之日起一百八十日内以该意外为直接、完全原因而导致《人身保险伤残评定标准及代码》（JR/T 0083—2013，保监发[2014]6号）中所列伤残的，保险人按该处残疾的伤残等级对应的给付比例和该被保险人的意外伤害保险金额的乘积给付意外伤残保险金。伤残等级对应的保险金给付比例分为十档，伤残程度第一级对应的保险金给付比例为100%，伤残程度第十级对应的保险金给付比例为10%，每级相差10%。</w:t>
            </w:r>
          </w:p>
          <w:p w14:paraId="348B18C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2、被保险人每次发生的符合本保单所约定的合理医疗费用，保险人在每次扣除免赔额100元后，按80%的比例进行赔付；</w:t>
            </w:r>
          </w:p>
          <w:p w14:paraId="18357A8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3、附加团体意外住院津贴：被保险人因遭受意外伤害并在定点医疗机构接受住院治疗的，保险公司按照"(每次实际住院日数-免赔日数3天)x一般住院日津贴金额100元/日”计算并给付一般住院津贴保险金，累计给付以180天为限。</w:t>
            </w:r>
          </w:p>
        </w:tc>
      </w:tr>
    </w:tbl>
    <w:p w14:paraId="67945755">
      <w:pPr>
        <w:pageBreakBefore w:val="0"/>
        <w:kinsoku/>
        <w:wordWrap/>
        <w:overflowPunct/>
        <w:topLinePunct w:val="0"/>
        <w:autoSpaceDE/>
        <w:autoSpaceDN/>
        <w:bidi w:val="0"/>
        <w:adjustRightInd/>
        <w:snapToGrid/>
        <w:spacing w:before="0" w:after="0" w:line="360" w:lineRule="auto"/>
        <w:ind w:firstLine="211" w:firstLineChars="100"/>
        <w:outlineLvl w:val="9"/>
        <w:rPr>
          <w:rFonts w:hint="eastAsia" w:ascii="宋体" w:hAnsi="宋体" w:eastAsia="宋体" w:cs="宋体"/>
          <w:b/>
          <w:bCs w:val="0"/>
          <w:sz w:val="21"/>
          <w:szCs w:val="21"/>
          <w:lang w:val="en-US" w:eastAsia="zh-CN"/>
        </w:rPr>
      </w:pPr>
      <w:r>
        <w:rPr>
          <w:rStyle w:val="147"/>
          <w:rFonts w:hint="eastAsia" w:ascii="宋体" w:hAnsi="宋体" w:eastAsia="宋体" w:cs="宋体"/>
          <w:b/>
          <w:bCs w:val="0"/>
          <w:sz w:val="21"/>
          <w:szCs w:val="21"/>
        </w:rPr>
        <w:t>附加：按采购人要求参加全年平安建设宣传活动，印制宣传册，提供小礼品。</w:t>
      </w:r>
    </w:p>
    <w:p w14:paraId="39FA3954">
      <w:pPr>
        <w:ind w:firstLine="617" w:firstLineChars="192"/>
        <w:rPr>
          <w:rFonts w:hint="eastAsia" w:ascii="宋体" w:hAnsi="宋体" w:eastAsia="宋体" w:cs="宋体"/>
          <w:b/>
          <w:color w:val="auto"/>
          <w:sz w:val="32"/>
        </w:rPr>
      </w:pPr>
      <w:r>
        <w:rPr>
          <w:rFonts w:hint="eastAsia" w:ascii="宋体" w:hAnsi="宋体" w:eastAsia="宋体" w:cs="宋体"/>
          <w:b/>
          <w:color w:val="auto"/>
          <w:sz w:val="32"/>
        </w:rPr>
        <w:br w:type="page"/>
      </w:r>
      <w:bookmarkEnd w:id="426"/>
      <w:bookmarkEnd w:id="427"/>
      <w:bookmarkStart w:id="428" w:name="_Toc45177866"/>
      <w:bookmarkStart w:id="429" w:name="_Toc18128"/>
    </w:p>
    <w:p w14:paraId="7E5D3106">
      <w:pPr>
        <w:jc w:val="center"/>
        <w:outlineLvl w:val="0"/>
        <w:rPr>
          <w:rFonts w:hint="eastAsia" w:ascii="宋体" w:hAnsi="宋体" w:eastAsia="宋体" w:cs="宋体"/>
          <w:b/>
          <w:sz w:val="32"/>
        </w:rPr>
      </w:pPr>
      <w:bookmarkStart w:id="430" w:name="_Toc9976"/>
      <w:r>
        <w:rPr>
          <w:rFonts w:hint="eastAsia" w:ascii="宋体" w:hAnsi="宋体" w:eastAsia="宋体" w:cs="宋体"/>
          <w:b/>
          <w:sz w:val="32"/>
        </w:rPr>
        <w:t>第六章  响应文件格式</w:t>
      </w:r>
      <w:bookmarkEnd w:id="428"/>
      <w:bookmarkEnd w:id="429"/>
      <w:bookmarkEnd w:id="430"/>
    </w:p>
    <w:p w14:paraId="7954E7CA">
      <w:pPr>
        <w:jc w:val="center"/>
        <w:rPr>
          <w:rFonts w:hint="eastAsia" w:ascii="宋体" w:hAnsi="宋体" w:eastAsia="宋体" w:cs="宋体"/>
          <w:sz w:val="32"/>
          <w:szCs w:val="32"/>
        </w:rPr>
      </w:pPr>
    </w:p>
    <w:p w14:paraId="14DB8CF0">
      <w:pPr>
        <w:jc w:val="center"/>
        <w:rPr>
          <w:rFonts w:hint="eastAsia" w:ascii="宋体" w:hAnsi="宋体" w:eastAsia="宋体" w:cs="宋体"/>
          <w:sz w:val="32"/>
          <w:szCs w:val="32"/>
        </w:rPr>
      </w:pPr>
    </w:p>
    <w:p w14:paraId="60704CC1">
      <w:pPr>
        <w:jc w:val="center"/>
        <w:rPr>
          <w:rFonts w:hint="eastAsia" w:ascii="宋体" w:hAnsi="宋体" w:eastAsia="宋体" w:cs="宋体"/>
          <w:sz w:val="28"/>
          <w:szCs w:val="28"/>
        </w:rPr>
      </w:pPr>
      <w:r>
        <w:rPr>
          <w:rFonts w:hint="eastAsia" w:ascii="宋体" w:hAnsi="宋体" w:eastAsia="宋体" w:cs="宋体"/>
          <w:sz w:val="32"/>
          <w:szCs w:val="32"/>
          <w:u w:val="single"/>
        </w:rPr>
        <w:t xml:space="preserve">                           </w:t>
      </w:r>
      <w:r>
        <w:rPr>
          <w:rFonts w:hint="eastAsia" w:ascii="宋体" w:hAnsi="宋体" w:eastAsia="宋体" w:cs="宋体"/>
          <w:sz w:val="28"/>
          <w:szCs w:val="28"/>
        </w:rPr>
        <w:t>（项目名称</w:t>
      </w:r>
      <w:r>
        <w:rPr>
          <w:rFonts w:hint="eastAsia" w:ascii="宋体" w:hAnsi="宋体" w:eastAsia="宋体" w:cs="宋体"/>
          <w:sz w:val="28"/>
          <w:szCs w:val="28"/>
          <w:lang w:val="en-US" w:eastAsia="zh-CN"/>
        </w:rPr>
        <w:t>及标段</w:t>
      </w:r>
      <w:r>
        <w:rPr>
          <w:rFonts w:hint="eastAsia" w:ascii="宋体" w:hAnsi="宋体" w:eastAsia="宋体" w:cs="宋体"/>
          <w:sz w:val="28"/>
          <w:szCs w:val="28"/>
        </w:rPr>
        <w:t>）</w:t>
      </w:r>
    </w:p>
    <w:p w14:paraId="00E63D05">
      <w:pPr>
        <w:spacing w:before="326" w:beforeLines="100"/>
        <w:jc w:val="center"/>
        <w:rPr>
          <w:rFonts w:hint="eastAsia" w:ascii="宋体" w:hAnsi="宋体" w:eastAsia="宋体" w:cs="宋体"/>
          <w:sz w:val="44"/>
          <w:szCs w:val="44"/>
        </w:rPr>
      </w:pPr>
      <w:r>
        <w:rPr>
          <w:rFonts w:hint="eastAsia" w:ascii="宋体" w:hAnsi="宋体" w:eastAsia="宋体" w:cs="宋体"/>
          <w:sz w:val="44"/>
          <w:szCs w:val="44"/>
        </w:rPr>
        <w:t>磋 商 响 应 文 件</w:t>
      </w:r>
    </w:p>
    <w:p w14:paraId="3307576D">
      <w:pPr>
        <w:pStyle w:val="32"/>
        <w:ind w:firstLine="210"/>
        <w:rPr>
          <w:rFonts w:hint="eastAsia" w:ascii="宋体" w:hAnsi="宋体" w:eastAsia="宋体" w:cs="宋体"/>
        </w:rPr>
      </w:pPr>
    </w:p>
    <w:p w14:paraId="6F1C87EF">
      <w:pPr>
        <w:jc w:val="center"/>
        <w:rPr>
          <w:rFonts w:hint="eastAsia" w:ascii="宋体" w:hAnsi="宋体" w:eastAsia="宋体" w:cs="宋体"/>
          <w:sz w:val="32"/>
          <w:szCs w:val="32"/>
        </w:rPr>
      </w:pPr>
    </w:p>
    <w:p w14:paraId="58F08F4B">
      <w:pPr>
        <w:rPr>
          <w:rFonts w:hint="eastAsia" w:ascii="宋体" w:hAnsi="宋体" w:eastAsia="宋体" w:cs="宋体"/>
          <w:sz w:val="32"/>
          <w:szCs w:val="32"/>
        </w:rPr>
      </w:pPr>
    </w:p>
    <w:p w14:paraId="548E4C76">
      <w:pPr>
        <w:jc w:val="center"/>
        <w:rPr>
          <w:rFonts w:hint="eastAsia" w:ascii="宋体" w:hAnsi="宋体" w:eastAsia="宋体" w:cs="宋体"/>
          <w:sz w:val="32"/>
          <w:szCs w:val="32"/>
        </w:rPr>
      </w:pPr>
    </w:p>
    <w:p w14:paraId="70A22E29">
      <w:pPr>
        <w:jc w:val="center"/>
        <w:rPr>
          <w:rFonts w:hint="eastAsia" w:ascii="宋体" w:hAnsi="宋体" w:eastAsia="宋体" w:cs="宋体"/>
          <w:sz w:val="32"/>
          <w:szCs w:val="32"/>
        </w:rPr>
      </w:pPr>
    </w:p>
    <w:p w14:paraId="2816A323">
      <w:pPr>
        <w:jc w:val="center"/>
        <w:rPr>
          <w:rFonts w:hint="eastAsia" w:ascii="宋体" w:hAnsi="宋体" w:eastAsia="宋体" w:cs="宋体"/>
          <w:sz w:val="32"/>
          <w:szCs w:val="32"/>
        </w:rPr>
      </w:pPr>
    </w:p>
    <w:p w14:paraId="421DA749">
      <w:pPr>
        <w:jc w:val="center"/>
        <w:rPr>
          <w:rFonts w:hint="eastAsia" w:ascii="宋体" w:hAnsi="宋体" w:eastAsia="宋体" w:cs="宋体"/>
          <w:sz w:val="32"/>
          <w:szCs w:val="32"/>
        </w:rPr>
      </w:pPr>
    </w:p>
    <w:p w14:paraId="5E5E1AFA">
      <w:pPr>
        <w:jc w:val="center"/>
        <w:rPr>
          <w:rFonts w:hint="eastAsia" w:ascii="宋体" w:hAnsi="宋体" w:eastAsia="宋体" w:cs="宋体"/>
          <w:sz w:val="32"/>
          <w:szCs w:val="32"/>
        </w:rPr>
      </w:pPr>
    </w:p>
    <w:p w14:paraId="0D41A06E">
      <w:pPr>
        <w:jc w:val="center"/>
        <w:rPr>
          <w:rFonts w:hint="eastAsia" w:ascii="宋体" w:hAnsi="宋体" w:eastAsia="宋体" w:cs="宋体"/>
          <w:sz w:val="32"/>
          <w:szCs w:val="32"/>
        </w:rPr>
      </w:pPr>
    </w:p>
    <w:p w14:paraId="37C8973A">
      <w:pPr>
        <w:jc w:val="center"/>
        <w:rPr>
          <w:rFonts w:hint="eastAsia" w:ascii="宋体" w:hAnsi="宋体" w:eastAsia="宋体" w:cs="宋体"/>
          <w:sz w:val="32"/>
          <w:szCs w:val="32"/>
        </w:rPr>
      </w:pPr>
    </w:p>
    <w:p w14:paraId="35518F56">
      <w:pPr>
        <w:rPr>
          <w:rFonts w:hint="eastAsia" w:ascii="宋体" w:hAnsi="宋体" w:eastAsia="宋体" w:cs="宋体"/>
          <w:sz w:val="32"/>
          <w:szCs w:val="32"/>
        </w:rPr>
      </w:pPr>
    </w:p>
    <w:p w14:paraId="3D774CFD">
      <w:pPr>
        <w:spacing w:line="360" w:lineRule="auto"/>
        <w:jc w:val="center"/>
        <w:rPr>
          <w:rFonts w:hint="eastAsia" w:ascii="宋体" w:hAnsi="宋体" w:eastAsia="宋体" w:cs="宋体"/>
          <w:sz w:val="28"/>
          <w:szCs w:val="28"/>
        </w:rPr>
      </w:pPr>
      <w:r>
        <w:rPr>
          <w:rFonts w:hint="eastAsia" w:ascii="宋体" w:hAnsi="宋体" w:eastAsia="宋体" w:cs="宋体"/>
          <w:sz w:val="28"/>
          <w:szCs w:val="28"/>
        </w:rPr>
        <w:t xml:space="preserve"> 供应商：</w:t>
      </w:r>
      <w:r>
        <w:rPr>
          <w:rFonts w:hint="eastAsia" w:ascii="宋体" w:hAnsi="宋体" w:eastAsia="宋体" w:cs="宋体"/>
          <w:sz w:val="28"/>
          <w:szCs w:val="28"/>
          <w:u w:val="single"/>
        </w:rPr>
        <w:t xml:space="preserve">                               </w:t>
      </w:r>
      <w:r>
        <w:rPr>
          <w:rFonts w:hint="eastAsia" w:ascii="宋体" w:hAnsi="宋体" w:eastAsia="宋体" w:cs="宋体"/>
          <w:sz w:val="28"/>
          <w:szCs w:val="28"/>
        </w:rPr>
        <w:t>（电子签章）</w:t>
      </w:r>
    </w:p>
    <w:p w14:paraId="1AADC065">
      <w:pPr>
        <w:spacing w:line="360" w:lineRule="auto"/>
        <w:jc w:val="center"/>
        <w:rPr>
          <w:rFonts w:hint="eastAsia" w:ascii="宋体" w:hAnsi="宋体" w:eastAsia="宋体" w:cs="宋体"/>
          <w:sz w:val="28"/>
          <w:szCs w:val="28"/>
        </w:rPr>
      </w:pPr>
      <w:r>
        <w:rPr>
          <w:rFonts w:hint="eastAsia" w:ascii="宋体" w:hAnsi="宋体" w:eastAsia="宋体" w:cs="宋体"/>
          <w:sz w:val="28"/>
          <w:szCs w:val="28"/>
        </w:rPr>
        <w:t xml:space="preserve">  法定代表人</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负责人</w:t>
      </w:r>
      <w:r>
        <w:rPr>
          <w:rFonts w:hint="eastAsia" w:ascii="宋体" w:hAnsi="宋体" w:eastAsia="宋体" w:cs="宋体"/>
          <w:sz w:val="28"/>
          <w:szCs w:val="28"/>
          <w:lang w:eastAsia="zh-CN"/>
        </w:rPr>
        <w:t>）</w:t>
      </w:r>
      <w:r>
        <w:rPr>
          <w:rFonts w:hint="eastAsia" w:ascii="宋体" w:hAnsi="宋体" w:eastAsia="宋体" w:cs="宋体"/>
          <w:sz w:val="28"/>
          <w:szCs w:val="28"/>
        </w:rPr>
        <w:t>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（电子签章）</w:t>
      </w:r>
    </w:p>
    <w:p w14:paraId="2B1FDCB4">
      <w:pPr>
        <w:jc w:val="center"/>
        <w:rPr>
          <w:rFonts w:hint="eastAsia" w:ascii="宋体" w:hAnsi="宋体" w:eastAsia="宋体" w:cs="宋体"/>
          <w:sz w:val="28"/>
          <w:szCs w:val="28"/>
        </w:rPr>
      </w:pPr>
    </w:p>
    <w:p w14:paraId="4DA94577">
      <w:pPr>
        <w:jc w:val="center"/>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0BD67344">
      <w:pPr>
        <w:spacing w:before="326" w:beforeLines="100" w:after="326" w:afterLines="100"/>
        <w:jc w:val="center"/>
        <w:rPr>
          <w:rFonts w:hint="eastAsia" w:ascii="宋体" w:hAnsi="宋体" w:eastAsia="宋体" w:cs="宋体"/>
          <w:sz w:val="36"/>
          <w:szCs w:val="36"/>
        </w:rPr>
      </w:pPr>
      <w:r>
        <w:rPr>
          <w:rFonts w:hint="eastAsia" w:ascii="宋体" w:hAnsi="宋体" w:eastAsia="宋体" w:cs="宋体"/>
          <w:sz w:val="28"/>
          <w:szCs w:val="28"/>
        </w:rPr>
        <w:br w:type="page"/>
      </w:r>
      <w:r>
        <w:rPr>
          <w:rFonts w:hint="eastAsia" w:ascii="宋体" w:hAnsi="宋体" w:eastAsia="宋体" w:cs="宋体"/>
          <w:sz w:val="36"/>
          <w:szCs w:val="36"/>
        </w:rPr>
        <w:t>目    录</w:t>
      </w:r>
    </w:p>
    <w:p w14:paraId="7BEFC185">
      <w:pPr>
        <w:spacing w:line="600" w:lineRule="exact"/>
        <w:jc w:val="center"/>
        <w:rPr>
          <w:rFonts w:hint="eastAsia" w:ascii="宋体" w:hAnsi="宋体" w:eastAsia="宋体" w:cs="宋体"/>
          <w:szCs w:val="21"/>
        </w:rPr>
      </w:pPr>
      <w:bookmarkStart w:id="431" w:name="_Toc299523092"/>
      <w:bookmarkStart w:id="432" w:name="_Toc356205633"/>
      <w:r>
        <w:rPr>
          <w:rFonts w:hint="eastAsia" w:ascii="宋体" w:hAnsi="宋体" w:eastAsia="宋体" w:cs="宋体"/>
          <w:szCs w:val="21"/>
        </w:rPr>
        <w:t>（根据响应文件内容自行编制）</w:t>
      </w:r>
    </w:p>
    <w:p w14:paraId="4AF95906">
      <w:pPr>
        <w:spacing w:line="600" w:lineRule="exact"/>
        <w:rPr>
          <w:rFonts w:hint="eastAsia" w:ascii="宋体" w:hAnsi="宋体" w:eastAsia="宋体" w:cs="宋体"/>
          <w:szCs w:val="21"/>
        </w:rPr>
      </w:pPr>
    </w:p>
    <w:p w14:paraId="66ABD83F">
      <w:pPr>
        <w:spacing w:line="600" w:lineRule="exact"/>
        <w:rPr>
          <w:rFonts w:hint="eastAsia" w:ascii="宋体" w:hAnsi="宋体" w:eastAsia="宋体" w:cs="宋体"/>
          <w:szCs w:val="21"/>
        </w:rPr>
      </w:pPr>
    </w:p>
    <w:p w14:paraId="1212A5DF">
      <w:pPr>
        <w:spacing w:line="600" w:lineRule="exact"/>
        <w:rPr>
          <w:rFonts w:hint="eastAsia" w:ascii="宋体" w:hAnsi="宋体" w:eastAsia="宋体" w:cs="宋体"/>
          <w:szCs w:val="21"/>
        </w:rPr>
      </w:pPr>
    </w:p>
    <w:p w14:paraId="5FD90ED3">
      <w:pPr>
        <w:spacing w:line="600" w:lineRule="exact"/>
        <w:rPr>
          <w:rFonts w:hint="eastAsia" w:ascii="宋体" w:hAnsi="宋体" w:eastAsia="宋体" w:cs="宋体"/>
          <w:szCs w:val="21"/>
        </w:rPr>
      </w:pPr>
    </w:p>
    <w:p w14:paraId="67725BC5">
      <w:pPr>
        <w:spacing w:line="600" w:lineRule="exact"/>
        <w:rPr>
          <w:rFonts w:hint="eastAsia" w:ascii="宋体" w:hAnsi="宋体" w:eastAsia="宋体" w:cs="宋体"/>
          <w:szCs w:val="21"/>
        </w:rPr>
      </w:pPr>
    </w:p>
    <w:p w14:paraId="60635AC2">
      <w:pPr>
        <w:spacing w:line="600" w:lineRule="exact"/>
        <w:rPr>
          <w:rFonts w:hint="eastAsia" w:ascii="宋体" w:hAnsi="宋体" w:eastAsia="宋体" w:cs="宋体"/>
          <w:szCs w:val="21"/>
        </w:rPr>
      </w:pPr>
    </w:p>
    <w:p w14:paraId="76F47386">
      <w:pPr>
        <w:spacing w:line="600" w:lineRule="exact"/>
        <w:rPr>
          <w:rFonts w:hint="eastAsia" w:ascii="宋体" w:hAnsi="宋体" w:eastAsia="宋体" w:cs="宋体"/>
          <w:szCs w:val="21"/>
        </w:rPr>
      </w:pPr>
    </w:p>
    <w:p w14:paraId="175D35CF">
      <w:pPr>
        <w:spacing w:line="600" w:lineRule="exact"/>
        <w:rPr>
          <w:rFonts w:hint="eastAsia" w:ascii="宋体" w:hAnsi="宋体" w:eastAsia="宋体" w:cs="宋体"/>
          <w:szCs w:val="21"/>
        </w:rPr>
      </w:pPr>
    </w:p>
    <w:p w14:paraId="5BA98261">
      <w:pPr>
        <w:pStyle w:val="33"/>
        <w:ind w:left="480"/>
        <w:rPr>
          <w:rFonts w:hint="eastAsia" w:ascii="宋体" w:hAnsi="宋体" w:eastAsia="宋体" w:cs="宋体"/>
          <w:szCs w:val="21"/>
        </w:rPr>
      </w:pPr>
    </w:p>
    <w:p w14:paraId="3202EB1F">
      <w:pPr>
        <w:pStyle w:val="33"/>
        <w:ind w:left="480"/>
        <w:rPr>
          <w:rFonts w:hint="eastAsia" w:ascii="宋体" w:hAnsi="宋体" w:eastAsia="宋体" w:cs="宋体"/>
          <w:szCs w:val="21"/>
        </w:rPr>
      </w:pPr>
    </w:p>
    <w:p w14:paraId="52ED6206">
      <w:pPr>
        <w:pStyle w:val="33"/>
        <w:ind w:left="480"/>
        <w:rPr>
          <w:rFonts w:hint="eastAsia" w:ascii="宋体" w:hAnsi="宋体" w:eastAsia="宋体" w:cs="宋体"/>
          <w:szCs w:val="21"/>
        </w:rPr>
      </w:pPr>
    </w:p>
    <w:p w14:paraId="2136198B">
      <w:pPr>
        <w:pStyle w:val="33"/>
        <w:ind w:left="480"/>
        <w:rPr>
          <w:rFonts w:hint="eastAsia" w:ascii="宋体" w:hAnsi="宋体" w:eastAsia="宋体" w:cs="宋体"/>
          <w:szCs w:val="21"/>
        </w:rPr>
      </w:pPr>
    </w:p>
    <w:p w14:paraId="42D41986">
      <w:pPr>
        <w:pStyle w:val="33"/>
        <w:ind w:left="480"/>
        <w:rPr>
          <w:rFonts w:hint="eastAsia" w:ascii="宋体" w:hAnsi="宋体" w:eastAsia="宋体" w:cs="宋体"/>
          <w:szCs w:val="21"/>
        </w:rPr>
      </w:pPr>
    </w:p>
    <w:p w14:paraId="7F668607">
      <w:pPr>
        <w:pStyle w:val="33"/>
        <w:ind w:left="480"/>
        <w:rPr>
          <w:rFonts w:hint="eastAsia" w:ascii="宋体" w:hAnsi="宋体" w:eastAsia="宋体" w:cs="宋体"/>
          <w:szCs w:val="21"/>
        </w:rPr>
      </w:pPr>
    </w:p>
    <w:p w14:paraId="4416692A">
      <w:pPr>
        <w:pStyle w:val="33"/>
        <w:ind w:left="480"/>
        <w:rPr>
          <w:rFonts w:hint="eastAsia" w:ascii="宋体" w:hAnsi="宋体" w:eastAsia="宋体" w:cs="宋体"/>
          <w:szCs w:val="21"/>
        </w:rPr>
      </w:pPr>
    </w:p>
    <w:p w14:paraId="0FC5890F">
      <w:pPr>
        <w:pStyle w:val="33"/>
        <w:ind w:left="480"/>
        <w:rPr>
          <w:rFonts w:hint="eastAsia" w:ascii="宋体" w:hAnsi="宋体" w:eastAsia="宋体" w:cs="宋体"/>
          <w:szCs w:val="21"/>
        </w:rPr>
      </w:pPr>
    </w:p>
    <w:p w14:paraId="146BB6E7">
      <w:pPr>
        <w:pStyle w:val="33"/>
        <w:ind w:left="480"/>
        <w:rPr>
          <w:rFonts w:hint="eastAsia" w:ascii="宋体" w:hAnsi="宋体" w:eastAsia="宋体" w:cs="宋体"/>
          <w:szCs w:val="21"/>
        </w:rPr>
      </w:pPr>
    </w:p>
    <w:p w14:paraId="7FFE29A5">
      <w:pPr>
        <w:pStyle w:val="33"/>
        <w:ind w:left="480"/>
        <w:rPr>
          <w:rFonts w:hint="eastAsia" w:ascii="宋体" w:hAnsi="宋体" w:eastAsia="宋体" w:cs="宋体"/>
          <w:szCs w:val="21"/>
        </w:rPr>
      </w:pPr>
    </w:p>
    <w:p w14:paraId="00737A25">
      <w:pPr>
        <w:pStyle w:val="33"/>
        <w:ind w:left="480"/>
        <w:rPr>
          <w:rFonts w:hint="eastAsia" w:ascii="宋体" w:hAnsi="宋体" w:eastAsia="宋体" w:cs="宋体"/>
          <w:szCs w:val="21"/>
        </w:rPr>
      </w:pPr>
    </w:p>
    <w:p w14:paraId="21AB1CD9">
      <w:pPr>
        <w:pStyle w:val="33"/>
        <w:ind w:left="480"/>
        <w:rPr>
          <w:rFonts w:hint="eastAsia" w:ascii="宋体" w:hAnsi="宋体" w:eastAsia="宋体" w:cs="宋体"/>
          <w:szCs w:val="21"/>
        </w:rPr>
      </w:pPr>
    </w:p>
    <w:p w14:paraId="27252A0F">
      <w:pPr>
        <w:spacing w:line="600" w:lineRule="exact"/>
        <w:rPr>
          <w:rFonts w:hint="eastAsia" w:ascii="宋体" w:hAnsi="宋体" w:eastAsia="宋体" w:cs="宋体"/>
          <w:szCs w:val="21"/>
        </w:rPr>
      </w:pPr>
    </w:p>
    <w:p w14:paraId="490D311F">
      <w:pPr>
        <w:spacing w:line="600" w:lineRule="exact"/>
        <w:rPr>
          <w:rFonts w:hint="eastAsia" w:ascii="宋体" w:hAnsi="宋体" w:eastAsia="宋体" w:cs="宋体"/>
          <w:szCs w:val="21"/>
        </w:rPr>
      </w:pPr>
    </w:p>
    <w:bookmarkEnd w:id="431"/>
    <w:bookmarkEnd w:id="432"/>
    <w:p w14:paraId="51EDD3F3">
      <w:pPr>
        <w:spacing w:before="326" w:beforeLines="100" w:after="163" w:afterLines="50"/>
        <w:jc w:val="center"/>
        <w:outlineLvl w:val="1"/>
        <w:rPr>
          <w:rFonts w:hint="eastAsia" w:ascii="宋体" w:hAnsi="宋体" w:eastAsia="宋体" w:cs="宋体"/>
          <w:b/>
          <w:bCs w:val="0"/>
          <w:sz w:val="28"/>
          <w:szCs w:val="28"/>
          <w:lang w:eastAsia="zh-CN"/>
        </w:rPr>
      </w:pPr>
      <w:bookmarkStart w:id="433" w:name="_Toc30706"/>
      <w:bookmarkStart w:id="434" w:name="_Toc45177867"/>
      <w:bookmarkStart w:id="435" w:name="_Toc740"/>
      <w:r>
        <w:rPr>
          <w:rFonts w:hint="eastAsia" w:ascii="宋体" w:hAnsi="宋体" w:eastAsia="宋体" w:cs="宋体"/>
          <w:b/>
          <w:bCs w:val="0"/>
          <w:sz w:val="28"/>
          <w:szCs w:val="28"/>
        </w:rPr>
        <w:t>一、</w:t>
      </w:r>
      <w:bookmarkEnd w:id="433"/>
      <w:bookmarkEnd w:id="434"/>
      <w:r>
        <w:rPr>
          <w:rFonts w:hint="eastAsia" w:ascii="宋体" w:hAnsi="宋体" w:eastAsia="宋体" w:cs="宋体"/>
          <w:b/>
          <w:bCs w:val="0"/>
          <w:sz w:val="28"/>
          <w:szCs w:val="28"/>
        </w:rPr>
        <w:t>磋商</w:t>
      </w:r>
      <w:bookmarkEnd w:id="435"/>
      <w:r>
        <w:rPr>
          <w:rFonts w:hint="eastAsia" w:ascii="宋体" w:hAnsi="宋体" w:eastAsia="宋体" w:cs="宋体"/>
          <w:b/>
          <w:bCs w:val="0"/>
          <w:sz w:val="28"/>
          <w:szCs w:val="28"/>
          <w:lang w:val="en-US" w:eastAsia="zh-CN"/>
        </w:rPr>
        <w:t>函</w:t>
      </w:r>
    </w:p>
    <w:p w14:paraId="350BB6D9">
      <w:pPr>
        <w:spacing w:line="360" w:lineRule="auto"/>
        <w:rPr>
          <w:rFonts w:hint="eastAsia" w:ascii="宋体" w:hAnsi="宋体" w:eastAsia="宋体" w:cs="宋体"/>
          <w:sz w:val="21"/>
          <w:szCs w:val="21"/>
        </w:rPr>
      </w:pP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（采购人名称）：</w:t>
      </w:r>
    </w:p>
    <w:p w14:paraId="556AC65B">
      <w:pPr>
        <w:spacing w:line="360" w:lineRule="auto"/>
        <w:rPr>
          <w:rFonts w:hint="eastAsia" w:ascii="宋体" w:hAnsi="宋体" w:eastAsia="宋体" w:cs="宋体"/>
          <w:sz w:val="21"/>
          <w:szCs w:val="21"/>
        </w:rPr>
      </w:pPr>
    </w:p>
    <w:p w14:paraId="1513BA19">
      <w:pPr>
        <w:spacing w:line="360" w:lineRule="auto"/>
        <w:ind w:firstLine="420" w:firstLineChars="200"/>
        <w:rPr>
          <w:rFonts w:hint="eastAsia" w:ascii="宋体" w:hAnsi="宋体" w:eastAsia="宋体" w:cs="宋体"/>
          <w:bCs/>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sz w:val="21"/>
          <w:szCs w:val="21"/>
        </w:rPr>
        <w:t>我方已仔细研究了</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w:t>
      </w:r>
      <w:r>
        <w:rPr>
          <w:rFonts w:hint="eastAsia" w:ascii="宋体" w:hAnsi="宋体" w:eastAsia="宋体" w:cs="宋体"/>
          <w:sz w:val="21"/>
          <w:szCs w:val="21"/>
          <w:lang w:val="en-US" w:eastAsia="zh-CN"/>
        </w:rPr>
        <w:t>及标段</w:t>
      </w:r>
      <w:r>
        <w:rPr>
          <w:rFonts w:hint="eastAsia" w:ascii="宋体" w:hAnsi="宋体" w:eastAsia="宋体" w:cs="宋体"/>
          <w:sz w:val="21"/>
          <w:szCs w:val="21"/>
        </w:rPr>
        <w:t>）的</w:t>
      </w:r>
      <w:r>
        <w:rPr>
          <w:rFonts w:hint="eastAsia" w:ascii="宋体" w:hAnsi="宋体" w:eastAsia="宋体" w:cs="宋体"/>
          <w:bCs/>
          <w:sz w:val="21"/>
          <w:szCs w:val="21"/>
        </w:rPr>
        <w:t>竞争性磋商文件</w:t>
      </w:r>
      <w:r>
        <w:rPr>
          <w:rFonts w:hint="eastAsia" w:ascii="宋体" w:hAnsi="宋体" w:eastAsia="宋体" w:cs="宋体"/>
          <w:sz w:val="21"/>
          <w:szCs w:val="21"/>
        </w:rPr>
        <w:t>的全部内容，愿意以人民币（大写）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（小写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lang w:val="en-US" w:eastAsia="zh-CN"/>
        </w:rPr>
        <w:t>作为</w:t>
      </w:r>
      <w:r>
        <w:rPr>
          <w:rFonts w:hint="eastAsia" w:ascii="宋体" w:hAnsi="宋体" w:eastAsia="宋体" w:cs="宋体"/>
          <w:sz w:val="21"/>
          <w:szCs w:val="21"/>
        </w:rPr>
        <w:t>首次磋商报价，最终以磋商小组与我方代表磋商确定的成交价实施和完成本项目的全部内容。</w:t>
      </w:r>
    </w:p>
    <w:p w14:paraId="5BF53A95">
      <w:pPr>
        <w:pStyle w:val="33"/>
        <w:spacing w:after="0" w:line="360" w:lineRule="auto"/>
        <w:ind w:left="0" w:leftChars="0"/>
        <w:rPr>
          <w:rFonts w:hint="eastAsia" w:ascii="宋体" w:hAnsi="宋体" w:eastAsia="宋体" w:cs="宋体"/>
        </w:rPr>
      </w:pPr>
      <w:r>
        <w:rPr>
          <w:rFonts w:hint="eastAsia" w:ascii="宋体" w:hAnsi="宋体" w:cs="宋体"/>
          <w:lang w:val="en-US" w:eastAsia="zh-CN"/>
        </w:rPr>
        <w:t>2.</w:t>
      </w:r>
      <w:r>
        <w:rPr>
          <w:rFonts w:hint="eastAsia" w:ascii="宋体" w:hAnsi="宋体" w:eastAsia="宋体" w:cs="宋体"/>
        </w:rPr>
        <w:t>我方承诺在磋商有效期内不修改、撤销竞争性磋商响应文件。</w:t>
      </w:r>
    </w:p>
    <w:p w14:paraId="066E9B6A">
      <w:pPr>
        <w:pStyle w:val="33"/>
        <w:spacing w:after="0" w:line="360" w:lineRule="auto"/>
        <w:ind w:left="0" w:leftChars="0"/>
        <w:rPr>
          <w:rFonts w:hint="eastAsia" w:ascii="宋体" w:hAnsi="宋体" w:eastAsia="宋体" w:cs="宋体"/>
        </w:rPr>
      </w:pPr>
      <w:r>
        <w:rPr>
          <w:rFonts w:hint="eastAsia" w:ascii="宋体" w:hAnsi="宋体" w:cs="宋体"/>
          <w:lang w:val="en-US" w:eastAsia="zh-CN"/>
        </w:rPr>
        <w:t>3.</w:t>
      </w:r>
      <w:r>
        <w:rPr>
          <w:rFonts w:hint="eastAsia" w:ascii="宋体" w:hAnsi="宋体" w:eastAsia="宋体" w:cs="宋体"/>
        </w:rPr>
        <w:t>如我方成交：</w:t>
      </w:r>
    </w:p>
    <w:p w14:paraId="000F66BA">
      <w:pPr>
        <w:pStyle w:val="33"/>
        <w:spacing w:after="0" w:line="360" w:lineRule="auto"/>
        <w:ind w:left="0" w:leftChars="0"/>
        <w:rPr>
          <w:rFonts w:hint="eastAsia" w:ascii="宋体" w:hAnsi="宋体" w:eastAsia="宋体" w:cs="宋体"/>
        </w:rPr>
      </w:pPr>
      <w:r>
        <w:rPr>
          <w:rFonts w:hint="eastAsia" w:ascii="宋体" w:hAnsi="宋体" w:eastAsia="宋体" w:cs="宋体"/>
        </w:rPr>
        <w:t>（1）我方承诺在收到成交通知书后，在成交通知书规定的期限内与你方签订合同。</w:t>
      </w:r>
    </w:p>
    <w:p w14:paraId="77A0C08E">
      <w:pPr>
        <w:pStyle w:val="33"/>
        <w:spacing w:after="0" w:line="360" w:lineRule="auto"/>
        <w:ind w:left="0" w:leftChars="0"/>
        <w:rPr>
          <w:rFonts w:hint="eastAsia" w:ascii="宋体" w:hAnsi="宋体" w:eastAsia="宋体" w:cs="宋体"/>
        </w:rPr>
      </w:pPr>
      <w:r>
        <w:rPr>
          <w:rFonts w:hint="eastAsia" w:ascii="宋体" w:hAnsi="宋体" w:eastAsia="宋体" w:cs="宋体"/>
        </w:rPr>
        <w:t>（2）随同本磋商函递交的磋商报价表属于合同文件的组成部分。</w:t>
      </w:r>
    </w:p>
    <w:p w14:paraId="13A3D8F1">
      <w:pPr>
        <w:pStyle w:val="33"/>
        <w:spacing w:after="0" w:line="360" w:lineRule="auto"/>
        <w:ind w:left="0" w:leftChars="0"/>
        <w:rPr>
          <w:rFonts w:hint="eastAsia" w:ascii="宋体" w:hAnsi="宋体" w:eastAsia="宋体" w:cs="宋体"/>
        </w:rPr>
      </w:pPr>
      <w:r>
        <w:rPr>
          <w:rFonts w:hint="eastAsia" w:ascii="宋体" w:hAnsi="宋体" w:eastAsia="宋体" w:cs="宋体"/>
        </w:rPr>
        <w:t>（3）我方承诺在合同约定的期限内完成全部合同内容。</w:t>
      </w:r>
    </w:p>
    <w:p w14:paraId="34D881B5">
      <w:pPr>
        <w:pStyle w:val="33"/>
        <w:spacing w:after="0" w:line="360" w:lineRule="auto"/>
        <w:ind w:left="0" w:leftChars="0"/>
        <w:rPr>
          <w:rFonts w:hint="eastAsia" w:ascii="宋体" w:hAnsi="宋体" w:eastAsia="宋体" w:cs="宋体"/>
        </w:rPr>
      </w:pPr>
      <w:r>
        <w:rPr>
          <w:rFonts w:hint="eastAsia" w:ascii="宋体" w:hAnsi="宋体" w:eastAsia="宋体" w:cs="宋体"/>
        </w:rPr>
        <w:t>（4）我方将按照招标文件的具体规定向采购代理机构交纳代理服务费。否则，视为我方中标后自动放弃中标资格，并承担由此引起的一切后果。</w:t>
      </w:r>
    </w:p>
    <w:p w14:paraId="6FBCC998">
      <w:pPr>
        <w:pStyle w:val="33"/>
        <w:spacing w:after="0" w:line="360" w:lineRule="auto"/>
        <w:ind w:left="0" w:leftChars="0"/>
        <w:rPr>
          <w:rFonts w:hint="eastAsia" w:ascii="宋体" w:hAnsi="宋体" w:eastAsia="宋体" w:cs="宋体"/>
        </w:rPr>
      </w:pPr>
      <w:r>
        <w:rPr>
          <w:rFonts w:hint="eastAsia" w:ascii="宋体" w:hAnsi="宋体" w:cs="宋体"/>
          <w:lang w:val="en-US" w:eastAsia="zh-CN"/>
        </w:rPr>
        <w:t>4.</w:t>
      </w:r>
      <w:r>
        <w:rPr>
          <w:rFonts w:hint="eastAsia" w:ascii="宋体" w:hAnsi="宋体" w:eastAsia="宋体" w:cs="宋体"/>
        </w:rPr>
        <w:t>我方在此声明，所递交的竞争性磋商响应文件及有关资料内容完整、真实和准确，且不存在第二章“供应商须知”第1.4项规定的任何一种情形。</w:t>
      </w:r>
    </w:p>
    <w:p w14:paraId="666766DD">
      <w:pPr>
        <w:pStyle w:val="33"/>
        <w:spacing w:after="0" w:line="360" w:lineRule="auto"/>
        <w:ind w:left="0" w:leftChars="0"/>
        <w:rPr>
          <w:rFonts w:hint="eastAsia" w:ascii="宋体" w:hAnsi="宋体" w:eastAsia="宋体" w:cs="宋体"/>
        </w:rPr>
      </w:pPr>
      <w:r>
        <w:rPr>
          <w:rFonts w:hint="eastAsia" w:ascii="宋体" w:hAnsi="宋体" w:cs="宋体"/>
          <w:lang w:val="en-US" w:eastAsia="zh-CN"/>
        </w:rPr>
        <w:t>5.</w:t>
      </w:r>
      <w:r>
        <w:rPr>
          <w:rFonts w:hint="eastAsia" w:ascii="宋体" w:hAnsi="宋体" w:eastAsia="宋体" w:cs="宋体"/>
        </w:rPr>
        <w:t>我方已详细审查全部竞争性磋商文件，包括修改文件（如有）和有关附件等，将自行承担因对全部竞争性磋商文件理解不正确或误解而产生的相应后果。</w:t>
      </w:r>
    </w:p>
    <w:p w14:paraId="7C5252C6">
      <w:pPr>
        <w:pStyle w:val="33"/>
        <w:spacing w:after="0" w:line="360" w:lineRule="auto"/>
        <w:ind w:left="0" w:leftChars="0"/>
        <w:rPr>
          <w:rFonts w:hint="eastAsia" w:ascii="宋体" w:hAnsi="宋体" w:eastAsia="宋体" w:cs="宋体"/>
        </w:rPr>
      </w:pPr>
      <w:r>
        <w:rPr>
          <w:rFonts w:hint="eastAsia" w:ascii="宋体" w:hAnsi="宋体" w:cs="宋体"/>
          <w:lang w:val="en-US" w:eastAsia="zh-CN"/>
        </w:rPr>
        <w:t>6.</w:t>
      </w:r>
      <w:r>
        <w:rPr>
          <w:rFonts w:hint="eastAsia" w:ascii="宋体" w:hAnsi="宋体" w:eastAsia="宋体" w:cs="宋体"/>
        </w:rPr>
        <w:t>我方保证尊重磋商小组的评标结果，完全理解本招标项目最低投标价不作为中标的保证。</w:t>
      </w:r>
    </w:p>
    <w:p w14:paraId="66292108">
      <w:pPr>
        <w:pStyle w:val="33"/>
        <w:spacing w:after="0" w:line="360" w:lineRule="auto"/>
        <w:ind w:left="0" w:leftChars="0"/>
        <w:rPr>
          <w:rFonts w:hint="eastAsia" w:ascii="宋体" w:hAnsi="宋体" w:eastAsia="宋体" w:cs="宋体"/>
        </w:rPr>
      </w:pPr>
      <w:r>
        <w:rPr>
          <w:rFonts w:hint="eastAsia" w:ascii="宋体" w:hAnsi="宋体" w:eastAsia="宋体" w:cs="宋体"/>
        </w:rPr>
        <w:t>7</w:t>
      </w:r>
      <w:r>
        <w:rPr>
          <w:rFonts w:hint="eastAsia" w:ascii="宋体" w:hAnsi="宋体" w:cs="宋体"/>
          <w:lang w:val="en-US" w:eastAsia="zh-CN"/>
        </w:rPr>
        <w:t>.</w:t>
      </w:r>
      <w:r>
        <w:rPr>
          <w:rFonts w:hint="eastAsia" w:ascii="宋体" w:hAnsi="宋体" w:eastAsia="宋体" w:cs="宋体"/>
        </w:rPr>
        <w:t xml:space="preserve">其他补充说明在“其他材料”中列明。 </w:t>
      </w:r>
    </w:p>
    <w:p w14:paraId="42F23420">
      <w:pPr>
        <w:spacing w:line="360" w:lineRule="auto"/>
        <w:rPr>
          <w:rFonts w:hint="eastAsia" w:ascii="宋体" w:hAnsi="宋体" w:eastAsia="宋体" w:cs="宋体"/>
          <w:sz w:val="21"/>
          <w:szCs w:val="21"/>
        </w:rPr>
      </w:pPr>
    </w:p>
    <w:p w14:paraId="73888B4D">
      <w:pPr>
        <w:spacing w:line="360" w:lineRule="auto"/>
        <w:ind w:right="420"/>
        <w:jc w:val="center"/>
        <w:rPr>
          <w:rFonts w:hint="eastAsia" w:ascii="宋体" w:hAnsi="宋体" w:eastAsia="宋体" w:cs="宋体"/>
          <w:sz w:val="21"/>
          <w:szCs w:val="21"/>
        </w:rPr>
      </w:pPr>
    </w:p>
    <w:p w14:paraId="174087DD">
      <w:pPr>
        <w:spacing w:line="360" w:lineRule="auto"/>
        <w:ind w:right="420"/>
        <w:jc w:val="center"/>
        <w:rPr>
          <w:rFonts w:hint="eastAsia" w:ascii="宋体" w:hAnsi="宋体" w:eastAsia="宋体" w:cs="宋体"/>
          <w:sz w:val="21"/>
          <w:szCs w:val="21"/>
        </w:rPr>
      </w:pPr>
    </w:p>
    <w:p w14:paraId="6C0BD193">
      <w:pPr>
        <w:spacing w:line="360" w:lineRule="auto"/>
        <w:ind w:right="420"/>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2E483195">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425A978C">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3F3FD4B">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6A81C13B">
      <w:pPr>
        <w:pStyle w:val="33"/>
        <w:ind w:left="480"/>
        <w:rPr>
          <w:rFonts w:hint="eastAsia" w:ascii="宋体" w:hAnsi="宋体" w:eastAsia="宋体" w:cs="宋体"/>
          <w:szCs w:val="21"/>
        </w:rPr>
      </w:pPr>
    </w:p>
    <w:p w14:paraId="31904D46">
      <w:pPr>
        <w:widowControl/>
        <w:jc w:val="left"/>
        <w:rPr>
          <w:rFonts w:hint="eastAsia" w:ascii="宋体" w:hAnsi="宋体" w:eastAsia="宋体" w:cs="宋体"/>
          <w:sz w:val="28"/>
          <w:szCs w:val="28"/>
        </w:rPr>
      </w:pPr>
      <w:bookmarkStart w:id="436" w:name="_Toc45177868"/>
      <w:r>
        <w:rPr>
          <w:rFonts w:hint="eastAsia" w:ascii="宋体" w:hAnsi="宋体" w:eastAsia="宋体" w:cs="宋体"/>
          <w:sz w:val="28"/>
          <w:szCs w:val="28"/>
        </w:rPr>
        <w:br w:type="page"/>
      </w:r>
    </w:p>
    <w:p w14:paraId="53B738C1">
      <w:pPr>
        <w:spacing w:before="326" w:beforeLines="100" w:after="163" w:afterLines="50"/>
        <w:jc w:val="center"/>
        <w:outlineLvl w:val="1"/>
        <w:rPr>
          <w:rFonts w:hint="eastAsia" w:ascii="宋体" w:hAnsi="宋体" w:eastAsia="宋体" w:cs="宋体"/>
          <w:b/>
          <w:sz w:val="28"/>
          <w:szCs w:val="28"/>
        </w:rPr>
      </w:pPr>
      <w:bookmarkStart w:id="437" w:name="_Toc3507"/>
      <w:r>
        <w:rPr>
          <w:rFonts w:hint="eastAsia" w:ascii="宋体" w:hAnsi="宋体" w:eastAsia="宋体" w:cs="宋体"/>
          <w:b/>
          <w:sz w:val="28"/>
          <w:szCs w:val="28"/>
        </w:rPr>
        <w:t>二、</w:t>
      </w:r>
      <w:r>
        <w:rPr>
          <w:rFonts w:hint="eastAsia" w:ascii="宋体" w:hAnsi="宋体" w:eastAsia="宋体" w:cs="宋体"/>
          <w:b/>
          <w:sz w:val="28"/>
          <w:szCs w:val="28"/>
          <w:lang w:val="en-US" w:eastAsia="zh-CN"/>
        </w:rPr>
        <w:t>磋商</w:t>
      </w:r>
      <w:r>
        <w:rPr>
          <w:rFonts w:hint="eastAsia" w:ascii="宋体" w:hAnsi="宋体" w:eastAsia="宋体" w:cs="宋体"/>
          <w:b/>
          <w:sz w:val="28"/>
          <w:szCs w:val="28"/>
        </w:rPr>
        <w:t>报价表</w:t>
      </w:r>
      <w:bookmarkEnd w:id="436"/>
      <w:bookmarkEnd w:id="437"/>
    </w:p>
    <w:tbl>
      <w:tblPr>
        <w:tblStyle w:val="34"/>
        <w:tblW w:w="9739" w:type="dxa"/>
        <w:jc w:val="center"/>
        <w:tblLayout w:type="fixed"/>
        <w:tblCellMar>
          <w:top w:w="0" w:type="dxa"/>
          <w:left w:w="0" w:type="dxa"/>
          <w:bottom w:w="0" w:type="dxa"/>
          <w:right w:w="0" w:type="dxa"/>
        </w:tblCellMar>
      </w:tblPr>
      <w:tblGrid>
        <w:gridCol w:w="2551"/>
        <w:gridCol w:w="7188"/>
      </w:tblGrid>
      <w:tr w14:paraId="398F9590">
        <w:tblPrEx>
          <w:tblCellMar>
            <w:top w:w="0" w:type="dxa"/>
            <w:left w:w="0" w:type="dxa"/>
            <w:bottom w:w="0" w:type="dxa"/>
            <w:right w:w="0" w:type="dxa"/>
          </w:tblCellMar>
        </w:tblPrEx>
        <w:trPr>
          <w:trHeight w:val="941" w:hRule="exact"/>
          <w:jc w:val="center"/>
        </w:trPr>
        <w:tc>
          <w:tcPr>
            <w:tcW w:w="2551" w:type="dxa"/>
            <w:tcBorders>
              <w:top w:val="single" w:color="auto" w:sz="4" w:space="0"/>
              <w:left w:val="single" w:color="auto" w:sz="4" w:space="0"/>
              <w:bottom w:val="nil"/>
              <w:right w:val="nil"/>
            </w:tcBorders>
            <w:shd w:val="clear" w:color="auto" w:fill="FFFFFF"/>
            <w:vAlign w:val="center"/>
          </w:tcPr>
          <w:p w14:paraId="05DBA738">
            <w:pPr>
              <w:jc w:val="center"/>
              <w:rPr>
                <w:rFonts w:hint="default" w:ascii="宋体" w:hAnsi="宋体" w:eastAsia="宋体" w:cs="宋体"/>
                <w:sz w:val="21"/>
                <w:szCs w:val="21"/>
                <w:lang w:val="en-US" w:eastAsia="zh-CN"/>
              </w:rPr>
            </w:pPr>
            <w:bookmarkStart w:id="438" w:name="_Toc298522708"/>
            <w:bookmarkStart w:id="439" w:name="_Toc298522540"/>
            <w:bookmarkStart w:id="440" w:name="_Toc258440232"/>
            <w:bookmarkStart w:id="441" w:name="_Toc258505710"/>
            <w:bookmarkStart w:id="442" w:name="_Toc258441081"/>
            <w:bookmarkStart w:id="443" w:name="_Toc258431082"/>
            <w:r>
              <w:rPr>
                <w:rFonts w:hint="eastAsia" w:ascii="宋体" w:hAnsi="宋体" w:eastAsia="宋体" w:cs="宋体"/>
                <w:sz w:val="21"/>
                <w:szCs w:val="21"/>
                <w:lang w:val="en-US" w:eastAsia="zh-CN"/>
              </w:rPr>
              <w:t>项目名称及标段</w:t>
            </w:r>
          </w:p>
        </w:tc>
        <w:tc>
          <w:tcPr>
            <w:tcW w:w="7188" w:type="dxa"/>
            <w:tcBorders>
              <w:top w:val="single" w:color="auto" w:sz="4" w:space="0"/>
              <w:left w:val="single" w:color="auto" w:sz="4" w:space="0"/>
              <w:bottom w:val="nil"/>
              <w:right w:val="single" w:color="auto" w:sz="4" w:space="0"/>
            </w:tcBorders>
            <w:shd w:val="clear" w:color="auto" w:fill="FFFFFF"/>
          </w:tcPr>
          <w:p w14:paraId="47BD8CB0">
            <w:pPr>
              <w:rPr>
                <w:rFonts w:hint="eastAsia" w:ascii="宋体" w:hAnsi="宋体" w:eastAsia="宋体" w:cs="宋体"/>
                <w:sz w:val="21"/>
                <w:szCs w:val="21"/>
              </w:rPr>
            </w:pPr>
          </w:p>
        </w:tc>
      </w:tr>
      <w:tr w14:paraId="272344EE">
        <w:tblPrEx>
          <w:tblCellMar>
            <w:top w:w="0" w:type="dxa"/>
            <w:left w:w="0" w:type="dxa"/>
            <w:bottom w:w="0" w:type="dxa"/>
            <w:right w:w="0" w:type="dxa"/>
          </w:tblCellMar>
        </w:tblPrEx>
        <w:trPr>
          <w:trHeight w:val="941" w:hRule="exact"/>
          <w:jc w:val="center"/>
        </w:trPr>
        <w:tc>
          <w:tcPr>
            <w:tcW w:w="2551" w:type="dxa"/>
            <w:tcBorders>
              <w:top w:val="single" w:color="auto" w:sz="4" w:space="0"/>
              <w:left w:val="single" w:color="auto" w:sz="4" w:space="0"/>
              <w:bottom w:val="nil"/>
              <w:right w:val="nil"/>
            </w:tcBorders>
            <w:shd w:val="clear" w:color="auto" w:fill="FFFFFF"/>
            <w:vAlign w:val="center"/>
          </w:tcPr>
          <w:p w14:paraId="4EBB7608">
            <w:pPr>
              <w:jc w:val="center"/>
              <w:rPr>
                <w:rFonts w:hint="eastAsia" w:ascii="宋体" w:hAnsi="宋体" w:eastAsia="宋体" w:cs="宋体"/>
                <w:sz w:val="21"/>
                <w:szCs w:val="21"/>
              </w:rPr>
            </w:pPr>
            <w:r>
              <w:rPr>
                <w:rFonts w:hint="eastAsia" w:ascii="宋体" w:hAnsi="宋体" w:eastAsia="宋体" w:cs="宋体"/>
                <w:sz w:val="21"/>
                <w:szCs w:val="21"/>
              </w:rPr>
              <w:t>供应商名称</w:t>
            </w:r>
          </w:p>
        </w:tc>
        <w:tc>
          <w:tcPr>
            <w:tcW w:w="7188" w:type="dxa"/>
            <w:tcBorders>
              <w:top w:val="single" w:color="auto" w:sz="4" w:space="0"/>
              <w:left w:val="single" w:color="auto" w:sz="4" w:space="0"/>
              <w:bottom w:val="nil"/>
              <w:right w:val="single" w:color="auto" w:sz="4" w:space="0"/>
            </w:tcBorders>
            <w:shd w:val="clear" w:color="auto" w:fill="FFFFFF"/>
          </w:tcPr>
          <w:p w14:paraId="51389B81">
            <w:pPr>
              <w:rPr>
                <w:rFonts w:hint="eastAsia" w:ascii="宋体" w:hAnsi="宋体" w:eastAsia="宋体" w:cs="宋体"/>
                <w:sz w:val="21"/>
                <w:szCs w:val="21"/>
              </w:rPr>
            </w:pPr>
          </w:p>
        </w:tc>
      </w:tr>
      <w:tr w14:paraId="42F797FC">
        <w:tblPrEx>
          <w:tblCellMar>
            <w:top w:w="0" w:type="dxa"/>
            <w:left w:w="0" w:type="dxa"/>
            <w:bottom w:w="0" w:type="dxa"/>
            <w:right w:w="0" w:type="dxa"/>
          </w:tblCellMar>
        </w:tblPrEx>
        <w:trPr>
          <w:trHeight w:val="937" w:hRule="exact"/>
          <w:jc w:val="center"/>
        </w:trPr>
        <w:tc>
          <w:tcPr>
            <w:tcW w:w="2551" w:type="dxa"/>
            <w:tcBorders>
              <w:top w:val="single" w:color="auto" w:sz="4" w:space="0"/>
              <w:left w:val="single" w:color="auto" w:sz="4" w:space="0"/>
              <w:bottom w:val="nil"/>
              <w:right w:val="nil"/>
            </w:tcBorders>
            <w:shd w:val="clear" w:color="auto" w:fill="FFFFFF"/>
            <w:vAlign w:val="center"/>
          </w:tcPr>
          <w:p w14:paraId="332CCBD7">
            <w:pPr>
              <w:jc w:val="center"/>
              <w:rPr>
                <w:rFonts w:hint="eastAsia" w:ascii="宋体" w:hAnsi="宋体" w:eastAsia="宋体" w:cs="宋体"/>
                <w:sz w:val="21"/>
                <w:szCs w:val="21"/>
              </w:rPr>
            </w:pPr>
            <w:r>
              <w:rPr>
                <w:rFonts w:hint="eastAsia" w:ascii="宋体" w:hAnsi="宋体" w:eastAsia="宋体" w:cs="宋体"/>
                <w:sz w:val="21"/>
                <w:szCs w:val="21"/>
              </w:rPr>
              <w:t>首次磋商报价</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5BC9C093">
            <w:pPr>
              <w:rPr>
                <w:rFonts w:hint="eastAsia" w:ascii="宋体" w:hAnsi="宋体" w:eastAsia="宋体" w:cs="宋体"/>
                <w:sz w:val="21"/>
                <w:szCs w:val="21"/>
              </w:rPr>
            </w:pPr>
            <w:r>
              <w:rPr>
                <w:rFonts w:hint="eastAsia" w:ascii="宋体" w:hAnsi="宋体" w:eastAsia="宋体" w:cs="宋体"/>
                <w:sz w:val="21"/>
                <w:szCs w:val="21"/>
              </w:rPr>
              <w:t>大写：</w:t>
            </w:r>
          </w:p>
          <w:p w14:paraId="1AE17E6F">
            <w:pPr>
              <w:rPr>
                <w:rFonts w:hint="eastAsia" w:ascii="宋体" w:hAnsi="宋体" w:eastAsia="宋体" w:cs="宋体"/>
                <w:sz w:val="21"/>
                <w:szCs w:val="21"/>
              </w:rPr>
            </w:pPr>
            <w:r>
              <w:rPr>
                <w:rFonts w:hint="eastAsia" w:ascii="宋体" w:hAnsi="宋体" w:eastAsia="宋体" w:cs="宋体"/>
                <w:sz w:val="21"/>
                <w:szCs w:val="21"/>
              </w:rPr>
              <w:t>小写：</w:t>
            </w:r>
          </w:p>
        </w:tc>
      </w:tr>
      <w:tr w14:paraId="0716AA39">
        <w:tblPrEx>
          <w:tblCellMar>
            <w:top w:w="0" w:type="dxa"/>
            <w:left w:w="0" w:type="dxa"/>
            <w:bottom w:w="0" w:type="dxa"/>
            <w:right w:w="0" w:type="dxa"/>
          </w:tblCellMar>
        </w:tblPrEx>
        <w:trPr>
          <w:trHeight w:val="786" w:hRule="exact"/>
          <w:jc w:val="center"/>
        </w:trPr>
        <w:tc>
          <w:tcPr>
            <w:tcW w:w="2551" w:type="dxa"/>
            <w:tcBorders>
              <w:top w:val="single" w:color="auto" w:sz="4" w:space="0"/>
              <w:left w:val="single" w:color="auto" w:sz="4" w:space="0"/>
              <w:bottom w:val="nil"/>
              <w:right w:val="nil"/>
            </w:tcBorders>
            <w:shd w:val="clear" w:color="auto" w:fill="FFFFFF"/>
            <w:vAlign w:val="center"/>
          </w:tcPr>
          <w:p w14:paraId="75B77C12">
            <w:pPr>
              <w:jc w:val="center"/>
              <w:rPr>
                <w:rFonts w:hint="eastAsia" w:ascii="宋体" w:hAnsi="宋体" w:eastAsia="宋体" w:cs="宋体"/>
                <w:sz w:val="21"/>
                <w:szCs w:val="21"/>
              </w:rPr>
            </w:pPr>
            <w:r>
              <w:rPr>
                <w:rFonts w:hint="eastAsia" w:ascii="宋体" w:hAnsi="宋体" w:eastAsia="宋体" w:cs="宋体"/>
                <w:bCs/>
                <w:color w:val="000000" w:themeColor="text1"/>
                <w:sz w:val="21"/>
                <w:szCs w:val="21"/>
              </w:rPr>
              <w:t>服务内容</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63664A01">
            <w:pPr>
              <w:jc w:val="center"/>
              <w:rPr>
                <w:rFonts w:hint="eastAsia" w:ascii="宋体" w:hAnsi="宋体" w:eastAsia="宋体" w:cs="宋体"/>
                <w:sz w:val="21"/>
                <w:szCs w:val="21"/>
              </w:rPr>
            </w:pPr>
          </w:p>
        </w:tc>
      </w:tr>
      <w:tr w14:paraId="04EC619F">
        <w:tblPrEx>
          <w:tblCellMar>
            <w:top w:w="0" w:type="dxa"/>
            <w:left w:w="0" w:type="dxa"/>
            <w:bottom w:w="0" w:type="dxa"/>
            <w:right w:w="0" w:type="dxa"/>
          </w:tblCellMar>
        </w:tblPrEx>
        <w:trPr>
          <w:trHeight w:val="786" w:hRule="exact"/>
          <w:jc w:val="center"/>
        </w:trPr>
        <w:tc>
          <w:tcPr>
            <w:tcW w:w="2551" w:type="dxa"/>
            <w:tcBorders>
              <w:top w:val="single" w:color="auto" w:sz="4" w:space="0"/>
              <w:left w:val="single" w:color="auto" w:sz="4" w:space="0"/>
              <w:bottom w:val="nil"/>
              <w:right w:val="nil"/>
            </w:tcBorders>
            <w:shd w:val="clear" w:color="auto" w:fill="FFFFFF"/>
            <w:vAlign w:val="center"/>
          </w:tcPr>
          <w:p w14:paraId="2B40FD47">
            <w:pPr>
              <w:jc w:val="center"/>
              <w:rPr>
                <w:rFonts w:hint="eastAsia" w:ascii="宋体" w:hAnsi="宋体" w:eastAsia="宋体" w:cs="宋体"/>
                <w:sz w:val="21"/>
                <w:szCs w:val="21"/>
              </w:rPr>
            </w:pPr>
            <w:r>
              <w:rPr>
                <w:rFonts w:hint="eastAsia" w:ascii="宋体" w:hAnsi="宋体" w:eastAsia="宋体" w:cs="宋体"/>
                <w:sz w:val="21"/>
                <w:szCs w:val="21"/>
              </w:rPr>
              <w:t>服务期限</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3A829FCA">
            <w:pPr>
              <w:jc w:val="center"/>
              <w:rPr>
                <w:rFonts w:hint="eastAsia" w:ascii="宋体" w:hAnsi="宋体" w:eastAsia="宋体" w:cs="宋体"/>
                <w:sz w:val="21"/>
                <w:szCs w:val="21"/>
              </w:rPr>
            </w:pPr>
          </w:p>
        </w:tc>
      </w:tr>
      <w:tr w14:paraId="0E67C91C">
        <w:tblPrEx>
          <w:tblCellMar>
            <w:top w:w="0" w:type="dxa"/>
            <w:left w:w="0" w:type="dxa"/>
            <w:bottom w:w="0" w:type="dxa"/>
            <w:right w:w="0" w:type="dxa"/>
          </w:tblCellMar>
        </w:tblPrEx>
        <w:trPr>
          <w:trHeight w:val="786" w:hRule="exact"/>
          <w:jc w:val="center"/>
        </w:trPr>
        <w:tc>
          <w:tcPr>
            <w:tcW w:w="2551" w:type="dxa"/>
            <w:tcBorders>
              <w:top w:val="single" w:color="auto" w:sz="4" w:space="0"/>
              <w:left w:val="single" w:color="auto" w:sz="4" w:space="0"/>
              <w:bottom w:val="nil"/>
              <w:right w:val="nil"/>
            </w:tcBorders>
            <w:shd w:val="clear" w:color="auto" w:fill="FFFFFF"/>
            <w:vAlign w:val="center"/>
          </w:tcPr>
          <w:p w14:paraId="5AF1DE4B">
            <w:pPr>
              <w:jc w:val="center"/>
              <w:rPr>
                <w:rFonts w:hint="eastAsia" w:ascii="宋体" w:hAnsi="宋体" w:eastAsia="宋体" w:cs="宋体"/>
                <w:sz w:val="21"/>
                <w:szCs w:val="21"/>
              </w:rPr>
            </w:pPr>
            <w:r>
              <w:rPr>
                <w:rFonts w:hint="eastAsia" w:ascii="宋体" w:hAnsi="宋体" w:eastAsia="宋体" w:cs="宋体"/>
                <w:sz w:val="21"/>
                <w:szCs w:val="21"/>
                <w:lang w:val="en-US" w:eastAsia="zh-CN"/>
              </w:rPr>
              <w:t>服务</w:t>
            </w:r>
            <w:r>
              <w:rPr>
                <w:rFonts w:hint="eastAsia" w:ascii="宋体" w:hAnsi="宋体" w:eastAsia="宋体" w:cs="宋体"/>
                <w:sz w:val="21"/>
                <w:szCs w:val="21"/>
              </w:rPr>
              <w:t>质量</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6936C156">
            <w:pPr>
              <w:jc w:val="center"/>
              <w:rPr>
                <w:rFonts w:hint="eastAsia" w:ascii="宋体" w:hAnsi="宋体" w:eastAsia="宋体" w:cs="宋体"/>
                <w:sz w:val="21"/>
                <w:szCs w:val="21"/>
              </w:rPr>
            </w:pPr>
          </w:p>
        </w:tc>
      </w:tr>
      <w:tr w14:paraId="14AAAEBE">
        <w:tblPrEx>
          <w:tblCellMar>
            <w:top w:w="0" w:type="dxa"/>
            <w:left w:w="0" w:type="dxa"/>
            <w:bottom w:w="0" w:type="dxa"/>
            <w:right w:w="0" w:type="dxa"/>
          </w:tblCellMar>
        </w:tblPrEx>
        <w:trPr>
          <w:trHeight w:val="786" w:hRule="exact"/>
          <w:jc w:val="center"/>
        </w:trPr>
        <w:tc>
          <w:tcPr>
            <w:tcW w:w="2551" w:type="dxa"/>
            <w:tcBorders>
              <w:top w:val="single" w:color="auto" w:sz="4" w:space="0"/>
              <w:left w:val="single" w:color="auto" w:sz="4" w:space="0"/>
              <w:bottom w:val="nil"/>
              <w:right w:val="nil"/>
            </w:tcBorders>
            <w:shd w:val="clear" w:color="auto" w:fill="FFFFFF"/>
            <w:vAlign w:val="center"/>
          </w:tcPr>
          <w:p w14:paraId="204E23D8">
            <w:pPr>
              <w:jc w:val="center"/>
              <w:rPr>
                <w:rFonts w:hint="eastAsia" w:ascii="宋体" w:hAnsi="宋体" w:eastAsia="宋体" w:cs="宋体"/>
                <w:sz w:val="21"/>
                <w:szCs w:val="21"/>
              </w:rPr>
            </w:pPr>
            <w:r>
              <w:rPr>
                <w:rFonts w:hint="eastAsia" w:ascii="宋体" w:hAnsi="宋体" w:eastAsia="宋体" w:cs="宋体"/>
                <w:sz w:val="21"/>
                <w:szCs w:val="21"/>
              </w:rPr>
              <w:t>投标有效期</w:t>
            </w:r>
          </w:p>
        </w:tc>
        <w:tc>
          <w:tcPr>
            <w:tcW w:w="7188" w:type="dxa"/>
            <w:tcBorders>
              <w:top w:val="single" w:color="auto" w:sz="4" w:space="0"/>
              <w:left w:val="single" w:color="auto" w:sz="4" w:space="0"/>
              <w:bottom w:val="nil"/>
              <w:right w:val="single" w:color="auto" w:sz="4" w:space="0"/>
            </w:tcBorders>
            <w:shd w:val="clear" w:color="auto" w:fill="FFFFFF"/>
            <w:vAlign w:val="center"/>
          </w:tcPr>
          <w:p w14:paraId="707523FB">
            <w:pPr>
              <w:jc w:val="center"/>
              <w:rPr>
                <w:rFonts w:hint="eastAsia" w:ascii="宋体" w:hAnsi="宋体" w:eastAsia="宋体" w:cs="宋体"/>
                <w:sz w:val="21"/>
                <w:szCs w:val="21"/>
              </w:rPr>
            </w:pPr>
          </w:p>
        </w:tc>
      </w:tr>
      <w:tr w14:paraId="05FA2FC7">
        <w:tblPrEx>
          <w:tblCellMar>
            <w:top w:w="0" w:type="dxa"/>
            <w:left w:w="0" w:type="dxa"/>
            <w:bottom w:w="0" w:type="dxa"/>
            <w:right w:w="0" w:type="dxa"/>
          </w:tblCellMar>
        </w:tblPrEx>
        <w:trPr>
          <w:trHeight w:val="789" w:hRule="exact"/>
          <w:jc w:val="center"/>
        </w:trPr>
        <w:tc>
          <w:tcPr>
            <w:tcW w:w="2551" w:type="dxa"/>
            <w:tcBorders>
              <w:top w:val="single" w:color="auto" w:sz="4" w:space="0"/>
              <w:left w:val="single" w:color="auto" w:sz="4" w:space="0"/>
              <w:bottom w:val="single" w:color="auto" w:sz="4" w:space="0"/>
              <w:right w:val="nil"/>
            </w:tcBorders>
            <w:shd w:val="clear" w:color="auto" w:fill="FFFFFF"/>
            <w:vAlign w:val="center"/>
          </w:tcPr>
          <w:p w14:paraId="3F3ABF3E">
            <w:pPr>
              <w:jc w:val="center"/>
              <w:rPr>
                <w:rFonts w:hint="eastAsia" w:ascii="宋体" w:hAnsi="宋体" w:eastAsia="宋体" w:cs="宋体"/>
                <w:sz w:val="21"/>
                <w:szCs w:val="21"/>
              </w:rPr>
            </w:pPr>
            <w:r>
              <w:rPr>
                <w:rFonts w:hint="eastAsia" w:ascii="宋体" w:hAnsi="宋体" w:eastAsia="宋体" w:cs="宋体"/>
                <w:sz w:val="21"/>
                <w:szCs w:val="21"/>
              </w:rPr>
              <w:t>项目负责人</w:t>
            </w:r>
          </w:p>
        </w:tc>
        <w:tc>
          <w:tcPr>
            <w:tcW w:w="7188" w:type="dxa"/>
            <w:tcBorders>
              <w:top w:val="single" w:color="auto" w:sz="4" w:space="0"/>
              <w:left w:val="single" w:color="auto" w:sz="4" w:space="0"/>
              <w:bottom w:val="single" w:color="auto" w:sz="4" w:space="0"/>
              <w:right w:val="single" w:color="auto" w:sz="4" w:space="0"/>
            </w:tcBorders>
            <w:shd w:val="clear" w:color="auto" w:fill="FFFFFF"/>
            <w:vAlign w:val="center"/>
          </w:tcPr>
          <w:p w14:paraId="237D7EED">
            <w:pPr>
              <w:jc w:val="center"/>
              <w:rPr>
                <w:rFonts w:hint="eastAsia" w:ascii="宋体" w:hAnsi="宋体" w:eastAsia="宋体" w:cs="宋体"/>
                <w:sz w:val="21"/>
                <w:szCs w:val="21"/>
              </w:rPr>
            </w:pPr>
          </w:p>
        </w:tc>
      </w:tr>
      <w:tr w14:paraId="653E9C86">
        <w:tblPrEx>
          <w:tblCellMar>
            <w:top w:w="0" w:type="dxa"/>
            <w:left w:w="0" w:type="dxa"/>
            <w:bottom w:w="0" w:type="dxa"/>
            <w:right w:w="0" w:type="dxa"/>
          </w:tblCellMar>
        </w:tblPrEx>
        <w:trPr>
          <w:trHeight w:val="789" w:hRule="exact"/>
          <w:jc w:val="center"/>
        </w:trPr>
        <w:tc>
          <w:tcPr>
            <w:tcW w:w="2551" w:type="dxa"/>
            <w:tcBorders>
              <w:top w:val="single" w:color="auto" w:sz="4" w:space="0"/>
              <w:left w:val="single" w:color="auto" w:sz="4" w:space="0"/>
              <w:bottom w:val="single" w:color="auto" w:sz="4" w:space="0"/>
              <w:right w:val="nil"/>
            </w:tcBorders>
            <w:shd w:val="clear" w:color="auto" w:fill="FFFFFF"/>
            <w:vAlign w:val="center"/>
          </w:tcPr>
          <w:p w14:paraId="49497496">
            <w:pPr>
              <w:jc w:val="center"/>
              <w:rPr>
                <w:rFonts w:hint="eastAsia" w:ascii="宋体" w:hAnsi="宋体" w:eastAsia="宋体" w:cs="宋体"/>
                <w:sz w:val="21"/>
                <w:szCs w:val="21"/>
              </w:rPr>
            </w:pPr>
            <w:r>
              <w:rPr>
                <w:rFonts w:hint="eastAsia" w:ascii="宋体" w:hAnsi="宋体" w:eastAsia="宋体" w:cs="宋体"/>
                <w:sz w:val="21"/>
                <w:szCs w:val="21"/>
              </w:rPr>
              <w:t>委托代理人姓名</w:t>
            </w:r>
            <w:r>
              <w:rPr>
                <w:rFonts w:hint="eastAsia" w:ascii="宋体" w:hAnsi="宋体" w:eastAsia="宋体" w:cs="宋体"/>
                <w:sz w:val="21"/>
                <w:szCs w:val="21"/>
                <w:lang w:eastAsia="zh-CN"/>
              </w:rPr>
              <w:t>、</w:t>
            </w:r>
            <w:r>
              <w:rPr>
                <w:rFonts w:hint="eastAsia" w:ascii="宋体" w:hAnsi="宋体" w:eastAsia="宋体" w:cs="宋体"/>
                <w:sz w:val="21"/>
                <w:szCs w:val="21"/>
              </w:rPr>
              <w:t>联系方式及</w:t>
            </w:r>
            <w:r>
              <w:rPr>
                <w:rFonts w:hint="eastAsia" w:ascii="宋体" w:hAnsi="宋体" w:eastAsia="宋体" w:cs="宋体"/>
                <w:sz w:val="21"/>
                <w:szCs w:val="21"/>
                <w:lang w:val="en-US" w:eastAsia="zh-CN"/>
              </w:rPr>
              <w:t>公司</w:t>
            </w:r>
            <w:r>
              <w:rPr>
                <w:rFonts w:hint="eastAsia" w:ascii="宋体" w:hAnsi="宋体" w:eastAsia="宋体" w:cs="宋体"/>
                <w:sz w:val="21"/>
                <w:szCs w:val="21"/>
              </w:rPr>
              <w:t>邮箱</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公司联系地址</w:t>
            </w:r>
          </w:p>
        </w:tc>
        <w:tc>
          <w:tcPr>
            <w:tcW w:w="7188" w:type="dxa"/>
            <w:tcBorders>
              <w:top w:val="single" w:color="auto" w:sz="4" w:space="0"/>
              <w:left w:val="single" w:color="auto" w:sz="4" w:space="0"/>
              <w:bottom w:val="single" w:color="auto" w:sz="4" w:space="0"/>
              <w:right w:val="single" w:color="auto" w:sz="4" w:space="0"/>
            </w:tcBorders>
            <w:shd w:val="clear" w:color="auto" w:fill="FFFFFF"/>
            <w:vAlign w:val="center"/>
          </w:tcPr>
          <w:p w14:paraId="68BE676F">
            <w:pPr>
              <w:jc w:val="center"/>
              <w:rPr>
                <w:rFonts w:hint="eastAsia" w:ascii="宋体" w:hAnsi="宋体" w:eastAsia="宋体" w:cs="宋体"/>
                <w:sz w:val="21"/>
                <w:szCs w:val="21"/>
              </w:rPr>
            </w:pPr>
          </w:p>
        </w:tc>
      </w:tr>
      <w:tr w14:paraId="25024C2D">
        <w:tblPrEx>
          <w:tblCellMar>
            <w:top w:w="0" w:type="dxa"/>
            <w:left w:w="0" w:type="dxa"/>
            <w:bottom w:w="0" w:type="dxa"/>
            <w:right w:w="0" w:type="dxa"/>
          </w:tblCellMar>
        </w:tblPrEx>
        <w:trPr>
          <w:trHeight w:val="798" w:hRule="exact"/>
          <w:jc w:val="center"/>
        </w:trPr>
        <w:tc>
          <w:tcPr>
            <w:tcW w:w="2551" w:type="dxa"/>
            <w:tcBorders>
              <w:top w:val="single" w:color="auto" w:sz="4" w:space="0"/>
              <w:left w:val="single" w:color="auto" w:sz="4" w:space="0"/>
              <w:bottom w:val="single" w:color="auto" w:sz="4" w:space="0"/>
              <w:right w:val="nil"/>
            </w:tcBorders>
            <w:shd w:val="clear" w:color="auto" w:fill="FFFFFF"/>
            <w:vAlign w:val="center"/>
          </w:tcPr>
          <w:p w14:paraId="2E4799C2">
            <w:pPr>
              <w:jc w:val="center"/>
              <w:rPr>
                <w:rFonts w:hint="eastAsia" w:ascii="宋体" w:hAnsi="宋体" w:eastAsia="宋体" w:cs="宋体"/>
                <w:sz w:val="21"/>
                <w:szCs w:val="21"/>
              </w:rPr>
            </w:pPr>
            <w:r>
              <w:rPr>
                <w:rFonts w:hint="eastAsia" w:ascii="宋体" w:hAnsi="宋体" w:eastAsia="宋体" w:cs="宋体"/>
                <w:sz w:val="21"/>
                <w:szCs w:val="21"/>
              </w:rPr>
              <w:t>备注</w:t>
            </w:r>
          </w:p>
        </w:tc>
        <w:tc>
          <w:tcPr>
            <w:tcW w:w="7188" w:type="dxa"/>
            <w:tcBorders>
              <w:top w:val="single" w:color="auto" w:sz="4" w:space="0"/>
              <w:left w:val="single" w:color="auto" w:sz="4" w:space="0"/>
              <w:bottom w:val="single" w:color="auto" w:sz="4" w:space="0"/>
              <w:right w:val="single" w:color="auto" w:sz="4" w:space="0"/>
            </w:tcBorders>
            <w:shd w:val="clear" w:color="auto" w:fill="FFFFFF"/>
          </w:tcPr>
          <w:p w14:paraId="7003076B">
            <w:pPr>
              <w:rPr>
                <w:rFonts w:hint="eastAsia" w:ascii="宋体" w:hAnsi="宋体" w:eastAsia="宋体" w:cs="宋体"/>
                <w:sz w:val="21"/>
                <w:szCs w:val="21"/>
              </w:rPr>
            </w:pPr>
          </w:p>
        </w:tc>
      </w:tr>
    </w:tbl>
    <w:p w14:paraId="41B1A833">
      <w:pPr>
        <w:rPr>
          <w:rFonts w:hint="eastAsia" w:ascii="宋体" w:hAnsi="宋体" w:eastAsia="宋体" w:cs="宋体"/>
        </w:rPr>
      </w:pPr>
    </w:p>
    <w:p w14:paraId="766F92BA">
      <w:pPr>
        <w:rPr>
          <w:rFonts w:hint="eastAsia" w:ascii="宋体" w:hAnsi="宋体" w:eastAsia="宋体" w:cs="宋体"/>
        </w:rPr>
      </w:pPr>
    </w:p>
    <w:p w14:paraId="3DF50C92">
      <w:pPr>
        <w:rPr>
          <w:rFonts w:hint="eastAsia" w:ascii="宋体" w:hAnsi="宋体" w:eastAsia="宋体" w:cs="宋体"/>
        </w:rPr>
      </w:pPr>
    </w:p>
    <w:p w14:paraId="131C626E">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AF0AAF0">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075ABCA4">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148BADF3">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bookmarkEnd w:id="438"/>
    <w:bookmarkEnd w:id="439"/>
    <w:bookmarkEnd w:id="440"/>
    <w:bookmarkEnd w:id="441"/>
    <w:bookmarkEnd w:id="442"/>
    <w:bookmarkEnd w:id="443"/>
    <w:p w14:paraId="28F19788">
      <w:pPr>
        <w:rPr>
          <w:rFonts w:hint="eastAsia" w:ascii="宋体" w:hAnsi="宋体" w:eastAsia="宋体" w:cs="宋体"/>
          <w:b/>
          <w:sz w:val="28"/>
          <w:szCs w:val="28"/>
        </w:rPr>
      </w:pPr>
      <w:bookmarkStart w:id="444" w:name="_Toc45177869"/>
      <w:bookmarkStart w:id="445" w:name="_Toc878"/>
      <w:r>
        <w:rPr>
          <w:rFonts w:hint="eastAsia" w:ascii="宋体" w:hAnsi="宋体" w:eastAsia="宋体" w:cs="宋体"/>
          <w:b/>
          <w:sz w:val="28"/>
          <w:szCs w:val="28"/>
        </w:rPr>
        <w:br w:type="page"/>
      </w:r>
      <w:bookmarkStart w:id="446" w:name="_Toc191"/>
    </w:p>
    <w:p w14:paraId="2787B051">
      <w:pPr>
        <w:spacing w:before="326" w:beforeLines="100" w:after="163" w:afterLines="50"/>
        <w:jc w:val="center"/>
        <w:outlineLvl w:val="1"/>
        <w:rPr>
          <w:rFonts w:hint="eastAsia" w:ascii="宋体" w:hAnsi="宋体" w:eastAsia="宋体" w:cs="宋体"/>
          <w:b/>
          <w:sz w:val="28"/>
          <w:szCs w:val="28"/>
        </w:rPr>
      </w:pPr>
      <w:r>
        <w:rPr>
          <w:rFonts w:hint="eastAsia" w:ascii="宋体" w:hAnsi="宋体" w:eastAsia="宋体" w:cs="宋体"/>
          <w:b/>
          <w:sz w:val="28"/>
          <w:szCs w:val="28"/>
        </w:rPr>
        <w:t>三、</w:t>
      </w:r>
      <w:bookmarkEnd w:id="444"/>
      <w:bookmarkEnd w:id="445"/>
      <w:bookmarkEnd w:id="446"/>
      <w:r>
        <w:rPr>
          <w:rFonts w:hint="eastAsia" w:ascii="宋体" w:hAnsi="宋体" w:eastAsia="宋体" w:cs="宋体"/>
          <w:b/>
          <w:sz w:val="28"/>
          <w:szCs w:val="28"/>
        </w:rPr>
        <w:t>法定代表人</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负责人</w:t>
      </w:r>
      <w:r>
        <w:rPr>
          <w:rFonts w:hint="eastAsia" w:ascii="宋体" w:hAnsi="宋体" w:eastAsia="宋体" w:cs="宋体"/>
          <w:b/>
          <w:sz w:val="28"/>
          <w:szCs w:val="28"/>
          <w:lang w:eastAsia="zh-CN"/>
        </w:rPr>
        <w:t>）</w:t>
      </w:r>
      <w:r>
        <w:rPr>
          <w:rFonts w:hint="eastAsia" w:ascii="宋体" w:hAnsi="宋体" w:eastAsia="宋体" w:cs="宋体"/>
          <w:b/>
          <w:sz w:val="28"/>
          <w:szCs w:val="28"/>
        </w:rPr>
        <w:t>身份证明</w:t>
      </w:r>
    </w:p>
    <w:p w14:paraId="4B3541D4">
      <w:pPr>
        <w:spacing w:line="500" w:lineRule="exact"/>
        <w:rPr>
          <w:rFonts w:hint="eastAsia" w:ascii="宋体" w:hAnsi="宋体" w:eastAsia="宋体" w:cs="宋体"/>
          <w:sz w:val="21"/>
          <w:szCs w:val="21"/>
        </w:rPr>
      </w:pPr>
      <w:r>
        <w:rPr>
          <w:rFonts w:hint="eastAsia" w:ascii="宋体" w:hAnsi="宋体" w:eastAsia="宋体" w:cs="宋体"/>
          <w:sz w:val="21"/>
          <w:szCs w:val="21"/>
        </w:rPr>
        <w:t>供应商名称：</w:t>
      </w:r>
      <w:r>
        <w:rPr>
          <w:rFonts w:hint="eastAsia" w:ascii="宋体" w:hAnsi="宋体" w:eastAsia="宋体" w:cs="宋体"/>
          <w:sz w:val="21"/>
          <w:szCs w:val="21"/>
          <w:u w:val="single"/>
        </w:rPr>
        <w:t xml:space="preserve">                                                        </w:t>
      </w:r>
    </w:p>
    <w:p w14:paraId="4150BADE">
      <w:pPr>
        <w:spacing w:line="500" w:lineRule="exact"/>
        <w:rPr>
          <w:rFonts w:hint="eastAsia" w:ascii="宋体" w:hAnsi="宋体" w:eastAsia="宋体" w:cs="宋体"/>
          <w:sz w:val="21"/>
          <w:szCs w:val="21"/>
        </w:rPr>
      </w:pPr>
      <w:r>
        <w:rPr>
          <w:rFonts w:hint="eastAsia" w:ascii="宋体" w:hAnsi="宋体" w:eastAsia="宋体" w:cs="宋体"/>
          <w:sz w:val="21"/>
          <w:szCs w:val="21"/>
        </w:rPr>
        <w:t>单位性质：</w:t>
      </w:r>
      <w:r>
        <w:rPr>
          <w:rFonts w:hint="eastAsia" w:ascii="宋体" w:hAnsi="宋体" w:eastAsia="宋体" w:cs="宋体"/>
          <w:sz w:val="21"/>
          <w:szCs w:val="21"/>
          <w:u w:val="single"/>
        </w:rPr>
        <w:t xml:space="preserve">                                                        </w:t>
      </w:r>
    </w:p>
    <w:p w14:paraId="16750905">
      <w:pPr>
        <w:spacing w:line="500" w:lineRule="exact"/>
        <w:rPr>
          <w:rFonts w:hint="eastAsia" w:ascii="宋体" w:hAnsi="宋体" w:eastAsia="宋体" w:cs="宋体"/>
          <w:sz w:val="21"/>
          <w:szCs w:val="21"/>
        </w:rPr>
      </w:pPr>
      <w:r>
        <w:rPr>
          <w:rFonts w:hint="eastAsia" w:ascii="宋体" w:hAnsi="宋体" w:eastAsia="宋体" w:cs="宋体"/>
          <w:sz w:val="21"/>
          <w:szCs w:val="21"/>
        </w:rPr>
        <w:t>地址：</w:t>
      </w:r>
      <w:r>
        <w:rPr>
          <w:rFonts w:hint="eastAsia" w:ascii="宋体" w:hAnsi="宋体" w:eastAsia="宋体" w:cs="宋体"/>
          <w:sz w:val="21"/>
          <w:szCs w:val="21"/>
          <w:u w:val="single"/>
        </w:rPr>
        <w:t xml:space="preserve">                                                        </w:t>
      </w:r>
    </w:p>
    <w:p w14:paraId="4DD0F2FD">
      <w:pPr>
        <w:spacing w:line="500" w:lineRule="exact"/>
        <w:rPr>
          <w:rFonts w:hint="eastAsia" w:ascii="宋体" w:hAnsi="宋体" w:eastAsia="宋体" w:cs="宋体"/>
          <w:sz w:val="21"/>
          <w:szCs w:val="21"/>
        </w:rPr>
      </w:pPr>
      <w:r>
        <w:rPr>
          <w:rFonts w:hint="eastAsia" w:ascii="宋体" w:hAnsi="宋体" w:eastAsia="宋体" w:cs="宋体"/>
          <w:sz w:val="21"/>
          <w:szCs w:val="21"/>
        </w:rPr>
        <w:t>成立时间：</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098BE1E6">
      <w:pPr>
        <w:spacing w:line="500" w:lineRule="exact"/>
        <w:rPr>
          <w:rFonts w:hint="eastAsia" w:ascii="宋体" w:hAnsi="宋体" w:eastAsia="宋体" w:cs="宋体"/>
          <w:sz w:val="21"/>
          <w:szCs w:val="21"/>
        </w:rPr>
      </w:pPr>
      <w:r>
        <w:rPr>
          <w:rFonts w:hint="eastAsia" w:ascii="宋体" w:hAnsi="宋体" w:eastAsia="宋体" w:cs="宋体"/>
          <w:sz w:val="21"/>
          <w:szCs w:val="21"/>
        </w:rPr>
        <w:t>经营期限：</w:t>
      </w:r>
      <w:r>
        <w:rPr>
          <w:rFonts w:hint="eastAsia" w:ascii="宋体" w:hAnsi="宋体" w:eastAsia="宋体" w:cs="宋体"/>
          <w:sz w:val="21"/>
          <w:szCs w:val="21"/>
          <w:u w:val="single"/>
        </w:rPr>
        <w:t xml:space="preserve">                                                        </w:t>
      </w:r>
    </w:p>
    <w:p w14:paraId="1D820B6D">
      <w:pPr>
        <w:spacing w:line="500" w:lineRule="exact"/>
        <w:rPr>
          <w:rFonts w:hint="eastAsia" w:ascii="宋体" w:hAnsi="宋体" w:eastAsia="宋体" w:cs="宋体"/>
          <w:sz w:val="21"/>
          <w:szCs w:val="21"/>
        </w:rPr>
      </w:pPr>
      <w:r>
        <w:rPr>
          <w:rFonts w:hint="eastAsia" w:ascii="宋体" w:hAnsi="宋体" w:eastAsia="宋体" w:cs="宋体"/>
          <w:sz w:val="21"/>
          <w:szCs w:val="21"/>
        </w:rPr>
        <w:t>姓名：</w:t>
      </w:r>
      <w:r>
        <w:rPr>
          <w:rFonts w:hint="eastAsia" w:ascii="宋体" w:hAnsi="宋体" w:eastAsia="宋体" w:cs="宋体"/>
          <w:sz w:val="21"/>
          <w:szCs w:val="21"/>
          <w:u w:val="single"/>
        </w:rPr>
        <w:t xml:space="preserve">                          </w:t>
      </w:r>
      <w:r>
        <w:rPr>
          <w:rFonts w:hint="eastAsia" w:ascii="宋体" w:hAnsi="宋体" w:eastAsia="宋体" w:cs="宋体"/>
          <w:sz w:val="21"/>
          <w:szCs w:val="21"/>
        </w:rPr>
        <w:t>性别：</w:t>
      </w:r>
      <w:r>
        <w:rPr>
          <w:rFonts w:hint="eastAsia" w:ascii="宋体" w:hAnsi="宋体" w:eastAsia="宋体" w:cs="宋体"/>
          <w:sz w:val="21"/>
          <w:szCs w:val="21"/>
          <w:u w:val="single"/>
        </w:rPr>
        <w:t xml:space="preserve">                </w:t>
      </w:r>
    </w:p>
    <w:p w14:paraId="7E5C3BAA">
      <w:pPr>
        <w:spacing w:line="500" w:lineRule="exact"/>
        <w:rPr>
          <w:rFonts w:hint="eastAsia" w:ascii="宋体" w:hAnsi="宋体" w:eastAsia="宋体" w:cs="宋体"/>
          <w:sz w:val="21"/>
          <w:szCs w:val="21"/>
        </w:rPr>
      </w:pPr>
      <w:r>
        <w:rPr>
          <w:rFonts w:hint="eastAsia" w:ascii="宋体" w:hAnsi="宋体" w:eastAsia="宋体" w:cs="宋体"/>
          <w:sz w:val="21"/>
          <w:szCs w:val="21"/>
        </w:rPr>
        <w:t>年龄：</w:t>
      </w:r>
      <w:r>
        <w:rPr>
          <w:rFonts w:hint="eastAsia" w:ascii="宋体" w:hAnsi="宋体" w:eastAsia="宋体" w:cs="宋体"/>
          <w:sz w:val="21"/>
          <w:szCs w:val="21"/>
          <w:u w:val="single"/>
        </w:rPr>
        <w:t xml:space="preserve">                          </w:t>
      </w:r>
      <w:r>
        <w:rPr>
          <w:rFonts w:hint="eastAsia" w:ascii="宋体" w:hAnsi="宋体" w:eastAsia="宋体" w:cs="宋体"/>
          <w:sz w:val="21"/>
          <w:szCs w:val="21"/>
        </w:rPr>
        <w:t>职务：</w:t>
      </w:r>
      <w:r>
        <w:rPr>
          <w:rFonts w:hint="eastAsia" w:ascii="宋体" w:hAnsi="宋体" w:eastAsia="宋体" w:cs="宋体"/>
          <w:sz w:val="21"/>
          <w:szCs w:val="21"/>
          <w:u w:val="single"/>
        </w:rPr>
        <w:t xml:space="preserve">                </w:t>
      </w:r>
    </w:p>
    <w:p w14:paraId="10A37E6B">
      <w:pPr>
        <w:spacing w:line="500" w:lineRule="exact"/>
        <w:rPr>
          <w:rFonts w:hint="eastAsia" w:ascii="宋体" w:hAnsi="宋体" w:eastAsia="宋体" w:cs="宋体"/>
          <w:sz w:val="21"/>
          <w:szCs w:val="21"/>
        </w:rPr>
      </w:pPr>
      <w:r>
        <w:rPr>
          <w:rFonts w:hint="eastAsia" w:ascii="宋体" w:hAnsi="宋体" w:eastAsia="宋体" w:cs="宋体"/>
          <w:sz w:val="21"/>
          <w:szCs w:val="21"/>
        </w:rPr>
        <w:t>系</w:t>
      </w:r>
      <w:r>
        <w:rPr>
          <w:rFonts w:hint="eastAsia" w:ascii="宋体" w:hAnsi="宋体" w:eastAsia="宋体" w:cs="宋体"/>
          <w:sz w:val="21"/>
          <w:szCs w:val="21"/>
          <w:u w:val="single"/>
        </w:rPr>
        <w:t xml:space="preserve">                                                 </w:t>
      </w:r>
      <w:r>
        <w:rPr>
          <w:rFonts w:hint="eastAsia" w:ascii="宋体" w:hAnsi="宋体" w:eastAsia="宋体" w:cs="宋体"/>
          <w:sz w:val="21"/>
          <w:szCs w:val="21"/>
        </w:rPr>
        <w:t>（供应商名称）的法定代表人。</w:t>
      </w:r>
    </w:p>
    <w:p w14:paraId="11A0972E">
      <w:pPr>
        <w:spacing w:line="5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特此证明。</w:t>
      </w:r>
    </w:p>
    <w:p w14:paraId="70F351F9">
      <w:pPr>
        <w:spacing w:line="500" w:lineRule="exact"/>
        <w:rPr>
          <w:rFonts w:hint="eastAsia" w:ascii="宋体" w:hAnsi="宋体" w:eastAsia="宋体" w:cs="宋体"/>
          <w:sz w:val="21"/>
          <w:szCs w:val="21"/>
        </w:rPr>
      </w:pPr>
      <w:r>
        <w:rPr>
          <w:rFonts w:hint="eastAsia" w:ascii="宋体" w:hAnsi="宋体" w:eastAsia="宋体" w:cs="宋体"/>
          <w:sz w:val="21"/>
          <w:szCs w:val="21"/>
        </w:rPr>
        <w:t>附</w:t>
      </w:r>
      <w:r>
        <w:rPr>
          <w:rFonts w:hint="eastAsia" w:ascii="宋体" w:hAnsi="宋体" w:eastAsia="宋体" w:cs="宋体"/>
          <w:sz w:val="21"/>
          <w:szCs w:val="21"/>
          <w:lang w:eastAsia="zh-CN"/>
        </w:rPr>
        <w:t>：</w:t>
      </w:r>
      <w:r>
        <w:rPr>
          <w:rFonts w:hint="eastAsia" w:ascii="宋体" w:hAnsi="宋体" w:eastAsia="宋体" w:cs="宋体"/>
          <w:sz w:val="21"/>
          <w:szCs w:val="21"/>
        </w:rPr>
        <w:t>法定代表人身份证</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正、反</w:t>
      </w:r>
      <w:r>
        <w:rPr>
          <w:rFonts w:hint="eastAsia" w:ascii="宋体" w:hAnsi="宋体" w:eastAsia="宋体" w:cs="宋体"/>
          <w:sz w:val="21"/>
          <w:szCs w:val="21"/>
          <w:lang w:eastAsia="zh-CN"/>
        </w:rPr>
        <w:t>）</w:t>
      </w:r>
      <w:r>
        <w:rPr>
          <w:rFonts w:hint="eastAsia" w:ascii="宋体" w:hAnsi="宋体" w:eastAsia="宋体" w:cs="宋体"/>
          <w:sz w:val="21"/>
          <w:szCs w:val="21"/>
        </w:rPr>
        <w:t>扫描件</w:t>
      </w:r>
    </w:p>
    <w:p w14:paraId="45F169C1">
      <w:pPr>
        <w:spacing w:line="500" w:lineRule="exact"/>
        <w:rPr>
          <w:rFonts w:hint="eastAsia" w:ascii="宋体" w:hAnsi="宋体" w:eastAsia="宋体" w:cs="宋体"/>
          <w:sz w:val="21"/>
          <w:szCs w:val="21"/>
        </w:rPr>
      </w:pPr>
    </w:p>
    <w:p w14:paraId="149337C3">
      <w:pPr>
        <w:spacing w:line="500" w:lineRule="exact"/>
        <w:rPr>
          <w:rFonts w:hint="eastAsia" w:ascii="宋体" w:hAnsi="宋体" w:eastAsia="宋体" w:cs="宋体"/>
          <w:sz w:val="21"/>
          <w:szCs w:val="21"/>
        </w:rPr>
      </w:pPr>
    </w:p>
    <w:p w14:paraId="013F3CC9">
      <w:pPr>
        <w:spacing w:line="500" w:lineRule="exact"/>
        <w:rPr>
          <w:rFonts w:hint="eastAsia" w:ascii="宋体" w:hAnsi="宋体" w:eastAsia="宋体" w:cs="宋体"/>
          <w:sz w:val="21"/>
          <w:szCs w:val="21"/>
        </w:rPr>
      </w:pPr>
    </w:p>
    <w:p w14:paraId="00BEB0AE">
      <w:pPr>
        <w:spacing w:line="500" w:lineRule="exact"/>
        <w:rPr>
          <w:rFonts w:hint="eastAsia" w:ascii="宋体" w:hAnsi="宋体" w:eastAsia="宋体" w:cs="宋体"/>
          <w:sz w:val="21"/>
          <w:szCs w:val="21"/>
        </w:rPr>
      </w:pPr>
    </w:p>
    <w:p w14:paraId="53897A22">
      <w:pPr>
        <w:rPr>
          <w:rFonts w:hint="eastAsia" w:ascii="宋体" w:hAnsi="宋体" w:eastAsia="宋体" w:cs="宋体"/>
        </w:rPr>
      </w:pPr>
    </w:p>
    <w:p w14:paraId="1E754239">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AA1D5A7">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298F9DAB">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6687F22E">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7B9EF082">
      <w:pPr>
        <w:wordWrap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  </w:t>
      </w:r>
    </w:p>
    <w:p w14:paraId="501D2D5F">
      <w:pPr>
        <w:spacing w:before="326" w:beforeLines="100" w:after="163" w:afterLines="50"/>
        <w:jc w:val="center"/>
        <w:outlineLvl w:val="1"/>
        <w:rPr>
          <w:rFonts w:hint="eastAsia" w:ascii="宋体" w:hAnsi="宋体" w:eastAsia="宋体" w:cs="宋体"/>
          <w:sz w:val="28"/>
          <w:szCs w:val="28"/>
        </w:rPr>
      </w:pPr>
      <w:r>
        <w:rPr>
          <w:rFonts w:hint="eastAsia" w:ascii="宋体" w:hAnsi="宋体" w:eastAsia="宋体" w:cs="宋体"/>
          <w:szCs w:val="21"/>
        </w:rPr>
        <w:br w:type="page"/>
      </w:r>
      <w:bookmarkStart w:id="447" w:name="_Toc45177870"/>
      <w:bookmarkStart w:id="448" w:name="_Toc24479"/>
      <w:bookmarkStart w:id="449" w:name="_Toc10500"/>
      <w:r>
        <w:rPr>
          <w:rFonts w:hint="eastAsia" w:ascii="宋体" w:hAnsi="宋体" w:eastAsia="宋体" w:cs="宋体"/>
          <w:b/>
          <w:sz w:val="28"/>
          <w:szCs w:val="28"/>
        </w:rPr>
        <w:t>四、</w:t>
      </w:r>
      <w:bookmarkEnd w:id="447"/>
      <w:bookmarkEnd w:id="448"/>
      <w:bookmarkEnd w:id="449"/>
      <w:r>
        <w:rPr>
          <w:rFonts w:hint="eastAsia" w:ascii="宋体" w:hAnsi="宋体" w:eastAsia="宋体" w:cs="宋体"/>
          <w:b/>
          <w:sz w:val="28"/>
          <w:szCs w:val="28"/>
        </w:rPr>
        <w:t>法定代表人</w:t>
      </w: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负责人</w:t>
      </w:r>
      <w:r>
        <w:rPr>
          <w:rFonts w:hint="eastAsia" w:ascii="宋体" w:hAnsi="宋体" w:eastAsia="宋体" w:cs="宋体"/>
          <w:b/>
          <w:sz w:val="28"/>
          <w:szCs w:val="28"/>
          <w:lang w:eastAsia="zh-CN"/>
        </w:rPr>
        <w:t>）</w:t>
      </w:r>
      <w:r>
        <w:rPr>
          <w:rFonts w:hint="eastAsia" w:ascii="宋体" w:hAnsi="宋体" w:eastAsia="宋体" w:cs="宋体"/>
          <w:b/>
          <w:sz w:val="28"/>
          <w:szCs w:val="28"/>
        </w:rPr>
        <w:t>授权委托书</w:t>
      </w:r>
    </w:p>
    <w:p w14:paraId="47C81AE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本人 </w:t>
      </w:r>
      <w:r>
        <w:rPr>
          <w:rFonts w:hint="eastAsia" w:ascii="宋体" w:hAnsi="宋体" w:eastAsia="宋体" w:cs="宋体"/>
          <w:sz w:val="21"/>
          <w:szCs w:val="21"/>
          <w:u w:val="single"/>
        </w:rPr>
        <w:t xml:space="preserve">      </w:t>
      </w:r>
      <w:r>
        <w:rPr>
          <w:rFonts w:hint="eastAsia" w:ascii="宋体" w:hAnsi="宋体" w:eastAsia="宋体" w:cs="宋体"/>
          <w:sz w:val="21"/>
          <w:szCs w:val="21"/>
        </w:rPr>
        <w:t>（姓名）系</w:t>
      </w:r>
      <w:r>
        <w:rPr>
          <w:rFonts w:hint="eastAsia" w:ascii="宋体" w:hAnsi="宋体" w:eastAsia="宋体" w:cs="宋体"/>
          <w:sz w:val="21"/>
          <w:szCs w:val="21"/>
          <w:u w:val="single"/>
        </w:rPr>
        <w:t xml:space="preserve">        </w:t>
      </w:r>
      <w:r>
        <w:rPr>
          <w:rFonts w:hint="eastAsia" w:ascii="宋体" w:hAnsi="宋体" w:eastAsia="宋体" w:cs="宋体"/>
          <w:sz w:val="21"/>
          <w:szCs w:val="21"/>
        </w:rPr>
        <w:t>（供应商名称）的法定代表人，现委托</w:t>
      </w:r>
      <w:r>
        <w:rPr>
          <w:rFonts w:hint="eastAsia" w:ascii="宋体" w:hAnsi="宋体" w:eastAsia="宋体" w:cs="宋体"/>
          <w:sz w:val="21"/>
          <w:szCs w:val="21"/>
          <w:u w:val="single"/>
        </w:rPr>
        <w:t xml:space="preserve">        </w:t>
      </w:r>
      <w:r>
        <w:rPr>
          <w:rFonts w:hint="eastAsia" w:ascii="宋体" w:hAnsi="宋体" w:eastAsia="宋体" w:cs="宋体"/>
          <w:sz w:val="21"/>
          <w:szCs w:val="21"/>
        </w:rPr>
        <w:t>（姓名）为我方代理人。代理人根据授权，以我方名义签署、澄清、说明、补正、递交、撤回、修改</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w:t>
      </w:r>
      <w:r>
        <w:rPr>
          <w:rFonts w:hint="eastAsia" w:ascii="宋体" w:hAnsi="宋体" w:eastAsia="宋体" w:cs="宋体"/>
          <w:sz w:val="21"/>
          <w:szCs w:val="21"/>
          <w:lang w:val="en-US" w:eastAsia="zh-CN"/>
        </w:rPr>
        <w:t>及标段</w:t>
      </w:r>
      <w:r>
        <w:rPr>
          <w:rFonts w:hint="eastAsia" w:ascii="宋体" w:hAnsi="宋体" w:eastAsia="宋体" w:cs="宋体"/>
          <w:sz w:val="21"/>
          <w:szCs w:val="21"/>
        </w:rPr>
        <w:t>）竞争性磋商响应文件、签订合同和处理有关事宜，其法律后果由我方承担。</w:t>
      </w:r>
    </w:p>
    <w:p w14:paraId="59C579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委托期限：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2510E0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代理人无转委托权。</w:t>
      </w:r>
    </w:p>
    <w:p w14:paraId="6469320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附：委托代理人身份证</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正、反</w:t>
      </w:r>
      <w:r>
        <w:rPr>
          <w:rFonts w:hint="eastAsia" w:ascii="宋体" w:hAnsi="宋体" w:eastAsia="宋体" w:cs="宋体"/>
          <w:sz w:val="21"/>
          <w:szCs w:val="21"/>
          <w:lang w:eastAsia="zh-CN"/>
        </w:rPr>
        <w:t>）</w:t>
      </w:r>
      <w:r>
        <w:rPr>
          <w:rFonts w:hint="eastAsia" w:ascii="宋体" w:hAnsi="宋体" w:eastAsia="宋体" w:cs="宋体"/>
          <w:sz w:val="21"/>
          <w:szCs w:val="21"/>
        </w:rPr>
        <w:t>扫描件</w:t>
      </w:r>
    </w:p>
    <w:p w14:paraId="4FD3DBFA">
      <w:pPr>
        <w:spacing w:line="360" w:lineRule="auto"/>
        <w:ind w:firstLine="420" w:firstLineChars="200"/>
        <w:rPr>
          <w:rFonts w:hint="eastAsia" w:ascii="宋体" w:hAnsi="宋体" w:eastAsia="宋体" w:cs="宋体"/>
          <w:sz w:val="21"/>
          <w:szCs w:val="21"/>
        </w:rPr>
      </w:pPr>
    </w:p>
    <w:p w14:paraId="51BAE38D">
      <w:pPr>
        <w:rPr>
          <w:rFonts w:hint="eastAsia" w:ascii="宋体" w:hAnsi="宋体" w:eastAsia="宋体" w:cs="宋体"/>
          <w:sz w:val="21"/>
          <w:szCs w:val="21"/>
        </w:rPr>
      </w:pPr>
    </w:p>
    <w:p w14:paraId="456B6985">
      <w:pPr>
        <w:rPr>
          <w:rFonts w:hint="eastAsia" w:ascii="宋体" w:hAnsi="宋体" w:eastAsia="宋体" w:cs="宋体"/>
          <w:sz w:val="21"/>
          <w:szCs w:val="21"/>
        </w:rPr>
      </w:pPr>
    </w:p>
    <w:p w14:paraId="1EC5484C">
      <w:pPr>
        <w:rPr>
          <w:rFonts w:hint="eastAsia" w:ascii="宋体" w:hAnsi="宋体" w:eastAsia="宋体" w:cs="宋体"/>
          <w:sz w:val="21"/>
          <w:szCs w:val="21"/>
        </w:rPr>
      </w:pPr>
    </w:p>
    <w:p w14:paraId="0B1CAAAB">
      <w:pPr>
        <w:rPr>
          <w:rFonts w:hint="eastAsia" w:ascii="宋体" w:hAnsi="宋体" w:eastAsia="宋体" w:cs="宋体"/>
          <w:sz w:val="21"/>
          <w:szCs w:val="21"/>
        </w:rPr>
      </w:pPr>
    </w:p>
    <w:p w14:paraId="1A0AD5E1">
      <w:pPr>
        <w:rPr>
          <w:rFonts w:hint="eastAsia" w:ascii="宋体" w:hAnsi="宋体" w:eastAsia="宋体" w:cs="宋体"/>
          <w:sz w:val="21"/>
          <w:szCs w:val="21"/>
        </w:rPr>
      </w:pPr>
    </w:p>
    <w:p w14:paraId="6A4ED9A4">
      <w:pPr>
        <w:rPr>
          <w:rFonts w:hint="eastAsia" w:ascii="宋体" w:hAnsi="宋体" w:eastAsia="宋体" w:cs="宋体"/>
          <w:sz w:val="21"/>
          <w:szCs w:val="21"/>
        </w:rPr>
      </w:pPr>
    </w:p>
    <w:p w14:paraId="6911802C">
      <w:pPr>
        <w:rPr>
          <w:rFonts w:hint="eastAsia" w:ascii="宋体" w:hAnsi="宋体" w:eastAsia="宋体" w:cs="宋体"/>
          <w:sz w:val="21"/>
          <w:szCs w:val="21"/>
        </w:rPr>
      </w:pPr>
    </w:p>
    <w:p w14:paraId="54DAEAD3">
      <w:pPr>
        <w:rPr>
          <w:rFonts w:hint="eastAsia" w:ascii="宋体" w:hAnsi="宋体" w:eastAsia="宋体" w:cs="宋体"/>
          <w:sz w:val="21"/>
          <w:szCs w:val="21"/>
        </w:rPr>
      </w:pPr>
    </w:p>
    <w:p w14:paraId="02AFA869">
      <w:pPr>
        <w:rPr>
          <w:rFonts w:hint="eastAsia" w:ascii="宋体" w:hAnsi="宋体" w:eastAsia="宋体" w:cs="宋体"/>
          <w:sz w:val="21"/>
          <w:szCs w:val="21"/>
        </w:rPr>
      </w:pPr>
    </w:p>
    <w:p w14:paraId="544CB3C7">
      <w:pPr>
        <w:rPr>
          <w:rFonts w:hint="eastAsia" w:ascii="宋体" w:hAnsi="宋体" w:eastAsia="宋体" w:cs="宋体"/>
          <w:sz w:val="21"/>
          <w:szCs w:val="21"/>
        </w:rPr>
      </w:pPr>
    </w:p>
    <w:p w14:paraId="62105E18">
      <w:pPr>
        <w:rPr>
          <w:rFonts w:hint="eastAsia" w:ascii="宋体" w:hAnsi="宋体" w:eastAsia="宋体" w:cs="宋体"/>
          <w:sz w:val="21"/>
          <w:szCs w:val="21"/>
        </w:rPr>
      </w:pPr>
    </w:p>
    <w:p w14:paraId="1BA064F2">
      <w:pPr>
        <w:rPr>
          <w:rFonts w:hint="eastAsia" w:ascii="宋体" w:hAnsi="宋体" w:eastAsia="宋体" w:cs="宋体"/>
          <w:sz w:val="21"/>
          <w:szCs w:val="21"/>
        </w:rPr>
      </w:pPr>
    </w:p>
    <w:p w14:paraId="151B4290">
      <w:pPr>
        <w:rPr>
          <w:rFonts w:hint="eastAsia" w:ascii="宋体" w:hAnsi="宋体" w:eastAsia="宋体" w:cs="宋体"/>
          <w:sz w:val="21"/>
          <w:szCs w:val="21"/>
        </w:rPr>
      </w:pPr>
    </w:p>
    <w:p w14:paraId="1663475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0702C095">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739E1E4">
      <w:pPr>
        <w:spacing w:line="360" w:lineRule="auto"/>
        <w:rPr>
          <w:rFonts w:hint="eastAsia" w:ascii="宋体" w:hAnsi="宋体" w:eastAsia="宋体" w:cs="宋体"/>
          <w:b/>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w:t>
      </w:r>
    </w:p>
    <w:p w14:paraId="58FA6236">
      <w:pPr>
        <w:spacing w:before="326" w:beforeLines="100" w:after="163" w:afterLines="50"/>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 w:val="21"/>
          <w:szCs w:val="18"/>
        </w:rPr>
        <w:t>注：供应商“法定代表人 ”直接参加投标及签署相关文件的无须提供该委托书。</w:t>
      </w:r>
    </w:p>
    <w:p w14:paraId="076ADA65">
      <w:pPr>
        <w:spacing w:before="326" w:beforeLines="100" w:after="163" w:afterLines="50"/>
        <w:jc w:val="center"/>
        <w:outlineLvl w:val="1"/>
        <w:rPr>
          <w:rFonts w:hint="eastAsia" w:ascii="宋体" w:hAnsi="宋体" w:eastAsia="宋体" w:cs="宋体"/>
          <w:b/>
          <w:sz w:val="28"/>
          <w:szCs w:val="28"/>
        </w:rPr>
      </w:pPr>
      <w:r>
        <w:rPr>
          <w:rFonts w:hint="eastAsia" w:ascii="宋体" w:hAnsi="宋体" w:eastAsia="宋体" w:cs="宋体"/>
          <w:sz w:val="28"/>
          <w:szCs w:val="28"/>
        </w:rPr>
        <w:br w:type="page"/>
      </w:r>
      <w:bookmarkStart w:id="450" w:name="_Toc31192"/>
      <w:bookmarkStart w:id="451" w:name="_Toc935"/>
      <w:bookmarkStart w:id="452" w:name="_Toc45177872"/>
      <w:r>
        <w:rPr>
          <w:rFonts w:hint="eastAsia" w:ascii="宋体" w:hAnsi="宋体" w:eastAsia="宋体" w:cs="宋体"/>
          <w:b/>
          <w:sz w:val="28"/>
          <w:szCs w:val="28"/>
        </w:rPr>
        <w:t>五、资格审查资料</w:t>
      </w:r>
      <w:bookmarkEnd w:id="450"/>
      <w:bookmarkEnd w:id="451"/>
      <w:bookmarkEnd w:id="452"/>
    </w:p>
    <w:p w14:paraId="72D89F13">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2"/>
        <w:rPr>
          <w:rFonts w:ascii="宋体" w:hAnsi="宋体"/>
          <w:sz w:val="24"/>
          <w:szCs w:val="24"/>
        </w:rPr>
      </w:pPr>
      <w:bookmarkStart w:id="453" w:name="_Toc485232666"/>
      <w:bookmarkStart w:id="454" w:name="_Toc486261829"/>
      <w:bookmarkStart w:id="455" w:name="_Toc62456156"/>
      <w:bookmarkStart w:id="456" w:name="_Toc45177875"/>
      <w:bookmarkStart w:id="457" w:name="_Toc8678"/>
      <w:bookmarkStart w:id="458" w:name="_Toc13470"/>
      <w:r>
        <w:rPr>
          <w:rFonts w:ascii="宋体" w:hAnsi="宋体"/>
          <w:sz w:val="24"/>
          <w:szCs w:val="24"/>
        </w:rPr>
        <w:t>（一）供应商基本情况表</w:t>
      </w:r>
      <w:bookmarkEnd w:id="453"/>
      <w:bookmarkEnd w:id="454"/>
      <w:bookmarkEnd w:id="455"/>
    </w:p>
    <w:tbl>
      <w:tblPr>
        <w:tblStyle w:val="34"/>
        <w:tblW w:w="91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2109"/>
        <w:gridCol w:w="1455"/>
        <w:gridCol w:w="2934"/>
      </w:tblGrid>
      <w:tr w14:paraId="4166E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31DA89E0">
            <w:pPr>
              <w:topLinePunct/>
              <w:spacing w:line="440" w:lineRule="exact"/>
              <w:jc w:val="center"/>
              <w:rPr>
                <w:rFonts w:ascii="宋体" w:hAnsi="宋体"/>
                <w:sz w:val="21"/>
                <w:szCs w:val="21"/>
              </w:rPr>
            </w:pPr>
            <w:r>
              <w:rPr>
                <w:rFonts w:ascii="宋体" w:hAnsi="宋体"/>
                <w:sz w:val="21"/>
                <w:szCs w:val="21"/>
              </w:rPr>
              <w:t>供应商名称</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3E1014FB">
            <w:pPr>
              <w:topLinePunct/>
              <w:spacing w:line="440" w:lineRule="exact"/>
              <w:jc w:val="center"/>
              <w:rPr>
                <w:rFonts w:ascii="宋体" w:hAnsi="宋体"/>
                <w:sz w:val="21"/>
                <w:szCs w:val="21"/>
              </w:rPr>
            </w:pPr>
          </w:p>
        </w:tc>
      </w:tr>
      <w:tr w14:paraId="59627B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046A609A">
            <w:pPr>
              <w:topLinePunct/>
              <w:spacing w:line="440" w:lineRule="exact"/>
              <w:jc w:val="center"/>
              <w:rPr>
                <w:rFonts w:ascii="宋体" w:hAnsi="宋体"/>
                <w:sz w:val="21"/>
                <w:szCs w:val="21"/>
              </w:rPr>
            </w:pPr>
            <w:r>
              <w:rPr>
                <w:rFonts w:ascii="宋体" w:hAnsi="宋体"/>
                <w:sz w:val="21"/>
                <w:szCs w:val="21"/>
              </w:rPr>
              <w:t>注册地址</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1755EB82">
            <w:pPr>
              <w:topLinePunct/>
              <w:spacing w:line="440" w:lineRule="exact"/>
              <w:jc w:val="center"/>
              <w:rPr>
                <w:rFonts w:ascii="宋体" w:hAnsi="宋体"/>
                <w:sz w:val="21"/>
                <w:szCs w:val="21"/>
              </w:rPr>
            </w:pPr>
          </w:p>
        </w:tc>
      </w:tr>
      <w:tr w14:paraId="7239A0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0E86316C">
            <w:pPr>
              <w:topLinePunct/>
              <w:spacing w:line="440" w:lineRule="exact"/>
              <w:jc w:val="center"/>
              <w:rPr>
                <w:rFonts w:ascii="宋体" w:hAnsi="宋体"/>
                <w:sz w:val="21"/>
                <w:szCs w:val="21"/>
              </w:rPr>
            </w:pPr>
            <w:r>
              <w:rPr>
                <w:rFonts w:ascii="宋体" w:hAnsi="宋体"/>
                <w:sz w:val="21"/>
                <w:szCs w:val="21"/>
              </w:rPr>
              <w:t>邮政编码</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30F9C26D">
            <w:pPr>
              <w:topLinePunct/>
              <w:spacing w:line="440" w:lineRule="exact"/>
              <w:jc w:val="center"/>
              <w:rPr>
                <w:rFonts w:ascii="宋体" w:hAnsi="宋体"/>
                <w:sz w:val="21"/>
                <w:szCs w:val="21"/>
              </w:rPr>
            </w:pPr>
          </w:p>
        </w:tc>
      </w:tr>
      <w:tr w14:paraId="4F4109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7787B991">
            <w:pPr>
              <w:topLinePunct/>
              <w:spacing w:line="440" w:lineRule="exact"/>
              <w:jc w:val="center"/>
              <w:rPr>
                <w:rFonts w:ascii="宋体" w:hAnsi="宋体"/>
                <w:sz w:val="21"/>
                <w:szCs w:val="21"/>
              </w:rPr>
            </w:pPr>
            <w:r>
              <w:rPr>
                <w:rFonts w:ascii="宋体" w:hAnsi="宋体"/>
                <w:sz w:val="21"/>
                <w:szCs w:val="21"/>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61961B2">
            <w:pPr>
              <w:topLinePunct/>
              <w:spacing w:line="440" w:lineRule="exact"/>
              <w:jc w:val="center"/>
              <w:rPr>
                <w:rFonts w:ascii="宋体" w:hAnsi="宋体"/>
                <w:sz w:val="21"/>
                <w:szCs w:val="21"/>
              </w:rPr>
            </w:pPr>
            <w:r>
              <w:rPr>
                <w:rFonts w:ascii="宋体" w:hAnsi="宋体"/>
                <w:sz w:val="21"/>
                <w:szCs w:val="21"/>
              </w:rPr>
              <w:t>联系人</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5155FECB">
            <w:pPr>
              <w:topLinePunct/>
              <w:spacing w:line="440" w:lineRule="exact"/>
              <w:jc w:val="center"/>
              <w:rPr>
                <w:rFonts w:ascii="宋体" w:hAnsi="宋体"/>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43FABEA0">
            <w:pPr>
              <w:topLinePunct/>
              <w:spacing w:line="440" w:lineRule="exact"/>
              <w:jc w:val="center"/>
              <w:rPr>
                <w:rFonts w:hint="default" w:ascii="宋体" w:hAnsi="宋体" w:eastAsia="宋体"/>
                <w:sz w:val="21"/>
                <w:szCs w:val="21"/>
                <w:lang w:val="en-US" w:eastAsia="zh-CN"/>
              </w:rPr>
            </w:pPr>
            <w:r>
              <w:rPr>
                <w:rFonts w:hint="eastAsia" w:ascii="宋体" w:hAnsi="宋体"/>
                <w:sz w:val="21"/>
                <w:szCs w:val="21"/>
                <w:lang w:val="en-US" w:eastAsia="zh-CN"/>
              </w:rPr>
              <w:t>手 机</w:t>
            </w:r>
          </w:p>
        </w:tc>
        <w:tc>
          <w:tcPr>
            <w:tcW w:w="2934" w:type="dxa"/>
            <w:tcBorders>
              <w:top w:val="single" w:color="auto" w:sz="4" w:space="0"/>
              <w:left w:val="single" w:color="auto" w:sz="4" w:space="0"/>
              <w:bottom w:val="single" w:color="auto" w:sz="4" w:space="0"/>
              <w:right w:val="single" w:color="auto" w:sz="4" w:space="0"/>
            </w:tcBorders>
            <w:noWrap w:val="0"/>
            <w:vAlign w:val="center"/>
          </w:tcPr>
          <w:p w14:paraId="34284466">
            <w:pPr>
              <w:topLinePunct/>
              <w:spacing w:line="440" w:lineRule="exact"/>
              <w:jc w:val="center"/>
              <w:rPr>
                <w:rFonts w:ascii="宋体" w:hAnsi="宋体"/>
                <w:sz w:val="21"/>
                <w:szCs w:val="21"/>
              </w:rPr>
            </w:pPr>
          </w:p>
        </w:tc>
      </w:tr>
      <w:tr w14:paraId="44AD9F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62449B04">
            <w:pPr>
              <w:topLinePunct/>
              <w:spacing w:line="440" w:lineRule="exact"/>
              <w:jc w:val="center"/>
              <w:rPr>
                <w:rFonts w:ascii="宋体" w:hAnsi="宋体"/>
                <w:sz w:val="21"/>
                <w:szCs w:val="21"/>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5B8E7F8">
            <w:pPr>
              <w:topLinePunct/>
              <w:spacing w:line="440" w:lineRule="exact"/>
              <w:jc w:val="center"/>
              <w:rPr>
                <w:rFonts w:ascii="宋体" w:hAnsi="宋体"/>
                <w:sz w:val="21"/>
                <w:szCs w:val="21"/>
              </w:rPr>
            </w:pPr>
            <w:r>
              <w:rPr>
                <w:rFonts w:ascii="宋体" w:hAnsi="宋体"/>
                <w:sz w:val="21"/>
                <w:szCs w:val="21"/>
              </w:rPr>
              <w:t>传  真</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327B452D">
            <w:pPr>
              <w:topLinePunct/>
              <w:spacing w:line="440" w:lineRule="exact"/>
              <w:jc w:val="center"/>
              <w:rPr>
                <w:rFonts w:ascii="宋体" w:hAnsi="宋体"/>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B29CE8D">
            <w:pPr>
              <w:topLinePunct/>
              <w:spacing w:line="440" w:lineRule="exact"/>
              <w:jc w:val="center"/>
              <w:rPr>
                <w:rFonts w:hint="default" w:ascii="宋体" w:hAnsi="宋体" w:eastAsia="宋体"/>
                <w:sz w:val="21"/>
                <w:szCs w:val="21"/>
                <w:lang w:val="en-US" w:eastAsia="zh-CN"/>
              </w:rPr>
            </w:pPr>
            <w:r>
              <w:rPr>
                <w:rFonts w:hint="eastAsia" w:ascii="宋体" w:hAnsi="宋体"/>
                <w:sz w:val="21"/>
                <w:szCs w:val="21"/>
                <w:lang w:val="en-US" w:eastAsia="zh-CN"/>
              </w:rPr>
              <w:t>邮 箱</w:t>
            </w:r>
          </w:p>
        </w:tc>
        <w:tc>
          <w:tcPr>
            <w:tcW w:w="2934" w:type="dxa"/>
            <w:tcBorders>
              <w:top w:val="single" w:color="auto" w:sz="4" w:space="0"/>
              <w:left w:val="single" w:color="auto" w:sz="4" w:space="0"/>
              <w:bottom w:val="single" w:color="auto" w:sz="4" w:space="0"/>
              <w:right w:val="single" w:color="auto" w:sz="4" w:space="0"/>
            </w:tcBorders>
            <w:noWrap w:val="0"/>
            <w:vAlign w:val="center"/>
          </w:tcPr>
          <w:p w14:paraId="602BD779">
            <w:pPr>
              <w:topLinePunct/>
              <w:spacing w:line="440" w:lineRule="exact"/>
              <w:jc w:val="center"/>
              <w:rPr>
                <w:rFonts w:ascii="宋体" w:hAnsi="宋体"/>
                <w:sz w:val="21"/>
                <w:szCs w:val="21"/>
              </w:rPr>
            </w:pPr>
          </w:p>
        </w:tc>
      </w:tr>
      <w:tr w14:paraId="51357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7D35889A">
            <w:pPr>
              <w:topLinePunct/>
              <w:spacing w:line="440" w:lineRule="exact"/>
              <w:jc w:val="center"/>
              <w:rPr>
                <w:rFonts w:ascii="宋体" w:hAnsi="宋体"/>
                <w:sz w:val="21"/>
                <w:szCs w:val="21"/>
              </w:rPr>
            </w:pPr>
            <w:r>
              <w:rPr>
                <w:rFonts w:ascii="宋体" w:hAnsi="宋体"/>
                <w:sz w:val="21"/>
                <w:szCs w:val="21"/>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0585F96">
            <w:pPr>
              <w:topLinePunct/>
              <w:spacing w:line="440" w:lineRule="exact"/>
              <w:jc w:val="center"/>
              <w:rPr>
                <w:rFonts w:ascii="宋体" w:hAnsi="宋体"/>
                <w:sz w:val="21"/>
                <w:szCs w:val="21"/>
              </w:rPr>
            </w:pPr>
            <w:r>
              <w:rPr>
                <w:rFonts w:ascii="宋体" w:hAnsi="宋体"/>
                <w:sz w:val="21"/>
                <w:szCs w:val="21"/>
              </w:rPr>
              <w:t>姓</w:t>
            </w:r>
            <w:r>
              <w:rPr>
                <w:rFonts w:hint="eastAsia" w:ascii="宋体" w:hAnsi="宋体"/>
                <w:sz w:val="21"/>
                <w:szCs w:val="21"/>
                <w:lang w:val="en-US" w:eastAsia="zh-CN"/>
              </w:rPr>
              <w:t xml:space="preserve"> </w:t>
            </w:r>
            <w:r>
              <w:rPr>
                <w:rFonts w:ascii="宋体" w:hAnsi="宋体"/>
                <w:sz w:val="21"/>
                <w:szCs w:val="21"/>
              </w:rPr>
              <w:t>名</w:t>
            </w:r>
          </w:p>
        </w:tc>
        <w:tc>
          <w:tcPr>
            <w:tcW w:w="2109" w:type="dxa"/>
            <w:tcBorders>
              <w:top w:val="single" w:color="auto" w:sz="4" w:space="0"/>
              <w:left w:val="single" w:color="auto" w:sz="4" w:space="0"/>
              <w:bottom w:val="single" w:color="auto" w:sz="4" w:space="0"/>
              <w:right w:val="single" w:color="auto" w:sz="4" w:space="0"/>
            </w:tcBorders>
            <w:noWrap w:val="0"/>
            <w:vAlign w:val="center"/>
          </w:tcPr>
          <w:p w14:paraId="268829D5">
            <w:pPr>
              <w:topLinePunct/>
              <w:spacing w:line="440" w:lineRule="exact"/>
              <w:jc w:val="center"/>
              <w:rPr>
                <w:rFonts w:ascii="宋体" w:hAnsi="宋体"/>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CB3D1D6">
            <w:pPr>
              <w:topLinePunct/>
              <w:spacing w:line="440" w:lineRule="exact"/>
              <w:jc w:val="center"/>
              <w:rPr>
                <w:rFonts w:ascii="宋体" w:hAnsi="宋体"/>
                <w:sz w:val="21"/>
                <w:szCs w:val="21"/>
              </w:rPr>
            </w:pPr>
            <w:r>
              <w:rPr>
                <w:rFonts w:ascii="宋体" w:hAnsi="宋体"/>
                <w:sz w:val="21"/>
                <w:szCs w:val="21"/>
              </w:rPr>
              <w:t>电</w:t>
            </w:r>
            <w:r>
              <w:rPr>
                <w:rFonts w:hint="eastAsia" w:ascii="宋体" w:hAnsi="宋体"/>
                <w:sz w:val="21"/>
                <w:szCs w:val="21"/>
                <w:lang w:val="en-US" w:eastAsia="zh-CN"/>
              </w:rPr>
              <w:t xml:space="preserve"> </w:t>
            </w:r>
            <w:r>
              <w:rPr>
                <w:rFonts w:ascii="宋体" w:hAnsi="宋体"/>
                <w:sz w:val="21"/>
                <w:szCs w:val="21"/>
              </w:rPr>
              <w:t>话</w:t>
            </w:r>
          </w:p>
        </w:tc>
        <w:tc>
          <w:tcPr>
            <w:tcW w:w="2934" w:type="dxa"/>
            <w:tcBorders>
              <w:top w:val="single" w:color="auto" w:sz="4" w:space="0"/>
              <w:left w:val="single" w:color="auto" w:sz="4" w:space="0"/>
              <w:bottom w:val="single" w:color="auto" w:sz="4" w:space="0"/>
              <w:right w:val="single" w:color="auto" w:sz="4" w:space="0"/>
            </w:tcBorders>
            <w:noWrap w:val="0"/>
            <w:vAlign w:val="center"/>
          </w:tcPr>
          <w:p w14:paraId="5769401D">
            <w:pPr>
              <w:topLinePunct/>
              <w:spacing w:line="440" w:lineRule="exact"/>
              <w:jc w:val="center"/>
              <w:rPr>
                <w:rFonts w:ascii="宋体" w:hAnsi="宋体"/>
                <w:sz w:val="21"/>
                <w:szCs w:val="21"/>
              </w:rPr>
            </w:pPr>
          </w:p>
        </w:tc>
      </w:tr>
      <w:tr w14:paraId="50738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06F1C999">
            <w:pPr>
              <w:topLinePunct/>
              <w:spacing w:line="440" w:lineRule="exact"/>
              <w:jc w:val="center"/>
              <w:rPr>
                <w:rFonts w:ascii="宋体" w:hAnsi="宋体"/>
                <w:sz w:val="21"/>
                <w:szCs w:val="21"/>
              </w:rPr>
            </w:pPr>
            <w:r>
              <w:rPr>
                <w:rFonts w:ascii="宋体" w:hAnsi="宋体"/>
                <w:sz w:val="21"/>
                <w:szCs w:val="21"/>
              </w:rPr>
              <w:t>成立时间</w:t>
            </w:r>
          </w:p>
        </w:tc>
        <w:tc>
          <w:tcPr>
            <w:tcW w:w="3007" w:type="dxa"/>
            <w:gridSpan w:val="2"/>
            <w:tcBorders>
              <w:top w:val="single" w:color="auto" w:sz="4" w:space="0"/>
              <w:left w:val="single" w:color="auto" w:sz="4" w:space="0"/>
              <w:bottom w:val="single" w:color="auto" w:sz="4" w:space="0"/>
              <w:right w:val="single" w:color="auto" w:sz="4" w:space="0"/>
            </w:tcBorders>
            <w:noWrap w:val="0"/>
            <w:vAlign w:val="center"/>
          </w:tcPr>
          <w:p w14:paraId="11E928E0">
            <w:pPr>
              <w:topLinePunct/>
              <w:spacing w:line="440" w:lineRule="exact"/>
              <w:jc w:val="center"/>
              <w:rPr>
                <w:rFonts w:ascii="宋体" w:hAnsi="宋体"/>
                <w:sz w:val="21"/>
                <w:szCs w:val="21"/>
              </w:rPr>
            </w:pPr>
          </w:p>
        </w:tc>
        <w:tc>
          <w:tcPr>
            <w:tcW w:w="1455" w:type="dxa"/>
            <w:tcBorders>
              <w:top w:val="single" w:color="auto" w:sz="4" w:space="0"/>
              <w:left w:val="single" w:color="auto" w:sz="4" w:space="0"/>
              <w:bottom w:val="single" w:color="auto" w:sz="4" w:space="0"/>
              <w:right w:val="single" w:color="auto" w:sz="4" w:space="0"/>
            </w:tcBorders>
            <w:noWrap w:val="0"/>
            <w:vAlign w:val="center"/>
          </w:tcPr>
          <w:p w14:paraId="568733A1">
            <w:pPr>
              <w:topLinePunct/>
              <w:spacing w:line="440" w:lineRule="exact"/>
              <w:jc w:val="center"/>
              <w:rPr>
                <w:rFonts w:hint="default" w:ascii="宋体" w:hAnsi="宋体" w:eastAsia="宋体"/>
                <w:sz w:val="21"/>
                <w:szCs w:val="21"/>
                <w:lang w:val="en-US" w:eastAsia="zh-CN"/>
              </w:rPr>
            </w:pPr>
            <w:r>
              <w:rPr>
                <w:rFonts w:hint="eastAsia" w:ascii="宋体" w:hAnsi="宋体"/>
                <w:sz w:val="21"/>
                <w:szCs w:val="21"/>
                <w:lang w:val="en-US" w:eastAsia="zh-CN"/>
              </w:rPr>
              <w:t>员工总人数</w:t>
            </w:r>
          </w:p>
        </w:tc>
        <w:tc>
          <w:tcPr>
            <w:tcW w:w="2934" w:type="dxa"/>
            <w:tcBorders>
              <w:top w:val="single" w:color="auto" w:sz="4" w:space="0"/>
              <w:left w:val="single" w:color="auto" w:sz="4" w:space="0"/>
              <w:bottom w:val="single" w:color="auto" w:sz="4" w:space="0"/>
              <w:right w:val="single" w:color="auto" w:sz="4" w:space="0"/>
            </w:tcBorders>
            <w:noWrap w:val="0"/>
            <w:vAlign w:val="center"/>
          </w:tcPr>
          <w:p w14:paraId="2AF04800">
            <w:pPr>
              <w:topLinePunct/>
              <w:spacing w:line="440" w:lineRule="exact"/>
              <w:jc w:val="center"/>
              <w:rPr>
                <w:rFonts w:ascii="宋体" w:hAnsi="宋体"/>
                <w:sz w:val="21"/>
                <w:szCs w:val="21"/>
              </w:rPr>
            </w:pPr>
          </w:p>
        </w:tc>
      </w:tr>
      <w:tr w14:paraId="294A3C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53D72EB5">
            <w:pPr>
              <w:topLinePunct/>
              <w:spacing w:line="440" w:lineRule="exact"/>
              <w:jc w:val="center"/>
              <w:rPr>
                <w:rFonts w:ascii="宋体" w:hAnsi="宋体"/>
                <w:sz w:val="21"/>
                <w:szCs w:val="21"/>
              </w:rPr>
            </w:pPr>
            <w:r>
              <w:rPr>
                <w:rFonts w:ascii="宋体" w:hAnsi="宋体"/>
                <w:sz w:val="21"/>
                <w:szCs w:val="21"/>
              </w:rPr>
              <w:t>统一社会信用代码</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3FACA816">
            <w:pPr>
              <w:topLinePunct/>
              <w:spacing w:line="440" w:lineRule="exact"/>
              <w:jc w:val="center"/>
              <w:rPr>
                <w:rFonts w:ascii="宋体" w:hAnsi="宋体"/>
                <w:sz w:val="21"/>
                <w:szCs w:val="21"/>
              </w:rPr>
            </w:pPr>
          </w:p>
        </w:tc>
      </w:tr>
      <w:tr w14:paraId="1EA23E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3B515080">
            <w:pPr>
              <w:topLinePunct/>
              <w:spacing w:line="440" w:lineRule="exact"/>
              <w:jc w:val="center"/>
              <w:rPr>
                <w:rFonts w:ascii="宋体" w:hAnsi="宋体"/>
                <w:sz w:val="21"/>
                <w:szCs w:val="21"/>
              </w:rPr>
            </w:pPr>
            <w:r>
              <w:rPr>
                <w:rFonts w:ascii="宋体" w:hAnsi="宋体"/>
                <w:sz w:val="21"/>
                <w:szCs w:val="21"/>
              </w:rPr>
              <w:t>注册资金</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70474011">
            <w:pPr>
              <w:topLinePunct/>
              <w:spacing w:line="440" w:lineRule="exact"/>
              <w:jc w:val="center"/>
              <w:rPr>
                <w:rFonts w:ascii="宋体" w:hAnsi="宋体"/>
                <w:sz w:val="21"/>
                <w:szCs w:val="21"/>
              </w:rPr>
            </w:pPr>
          </w:p>
        </w:tc>
      </w:tr>
      <w:tr w14:paraId="62B6DF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295CD6B2">
            <w:pPr>
              <w:topLinePunct/>
              <w:spacing w:line="440" w:lineRule="exact"/>
              <w:jc w:val="center"/>
              <w:rPr>
                <w:rFonts w:ascii="宋体" w:hAnsi="宋体"/>
                <w:sz w:val="21"/>
                <w:szCs w:val="21"/>
              </w:rPr>
            </w:pPr>
            <w:r>
              <w:rPr>
                <w:rFonts w:ascii="宋体" w:hAnsi="宋体"/>
                <w:sz w:val="21"/>
                <w:szCs w:val="21"/>
              </w:rPr>
              <w:t>开户银行</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729B2540">
            <w:pPr>
              <w:topLinePunct/>
              <w:spacing w:line="440" w:lineRule="exact"/>
              <w:jc w:val="center"/>
              <w:rPr>
                <w:rFonts w:ascii="宋体" w:hAnsi="宋体"/>
                <w:sz w:val="21"/>
                <w:szCs w:val="21"/>
              </w:rPr>
            </w:pPr>
          </w:p>
        </w:tc>
      </w:tr>
      <w:tr w14:paraId="7C8CAD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16FED59D">
            <w:pPr>
              <w:topLinePunct/>
              <w:spacing w:line="440" w:lineRule="exact"/>
              <w:jc w:val="center"/>
              <w:rPr>
                <w:rFonts w:ascii="宋体" w:hAnsi="宋体"/>
                <w:sz w:val="21"/>
                <w:szCs w:val="21"/>
              </w:rPr>
            </w:pPr>
            <w:r>
              <w:rPr>
                <w:rFonts w:ascii="宋体" w:hAnsi="宋体"/>
                <w:sz w:val="21"/>
                <w:szCs w:val="21"/>
              </w:rPr>
              <w:t>账号</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5F8A62B5">
            <w:pPr>
              <w:topLinePunct/>
              <w:spacing w:line="440" w:lineRule="exact"/>
              <w:jc w:val="center"/>
              <w:rPr>
                <w:rFonts w:ascii="宋体" w:hAnsi="宋体"/>
                <w:sz w:val="21"/>
                <w:szCs w:val="21"/>
              </w:rPr>
            </w:pPr>
          </w:p>
        </w:tc>
      </w:tr>
      <w:tr w14:paraId="1AA474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left w:val="single" w:color="auto" w:sz="4" w:space="0"/>
              <w:right w:val="single" w:color="auto" w:sz="4" w:space="0"/>
            </w:tcBorders>
            <w:noWrap w:val="0"/>
            <w:vAlign w:val="center"/>
          </w:tcPr>
          <w:p w14:paraId="38DCFAD0">
            <w:pPr>
              <w:topLinePunct/>
              <w:spacing w:line="440" w:lineRule="exact"/>
              <w:ind w:firstLine="210" w:firstLineChars="100"/>
              <w:jc w:val="center"/>
              <w:rPr>
                <w:rFonts w:ascii="宋体" w:hAnsi="宋体"/>
                <w:sz w:val="21"/>
                <w:szCs w:val="21"/>
              </w:rPr>
            </w:pPr>
            <w:r>
              <w:rPr>
                <w:rFonts w:ascii="宋体" w:hAnsi="宋体"/>
                <w:sz w:val="21"/>
                <w:szCs w:val="21"/>
              </w:rPr>
              <w:t>经营范围</w:t>
            </w:r>
          </w:p>
        </w:tc>
        <w:tc>
          <w:tcPr>
            <w:tcW w:w="7396" w:type="dxa"/>
            <w:gridSpan w:val="4"/>
            <w:tcBorders>
              <w:top w:val="single" w:color="auto" w:sz="4" w:space="0"/>
              <w:left w:val="single" w:color="auto" w:sz="4" w:space="0"/>
              <w:right w:val="single" w:color="auto" w:sz="4" w:space="0"/>
            </w:tcBorders>
            <w:noWrap w:val="0"/>
            <w:vAlign w:val="center"/>
          </w:tcPr>
          <w:p w14:paraId="787889C4">
            <w:pPr>
              <w:topLinePunct/>
              <w:spacing w:line="440" w:lineRule="exact"/>
              <w:jc w:val="center"/>
              <w:rPr>
                <w:rFonts w:ascii="宋体" w:hAnsi="宋体"/>
                <w:sz w:val="21"/>
                <w:szCs w:val="21"/>
              </w:rPr>
            </w:pPr>
          </w:p>
          <w:p w14:paraId="3869DBB2">
            <w:pPr>
              <w:topLinePunct/>
              <w:spacing w:line="440" w:lineRule="exact"/>
              <w:jc w:val="center"/>
              <w:rPr>
                <w:rFonts w:ascii="宋体" w:hAnsi="宋体"/>
                <w:sz w:val="21"/>
                <w:szCs w:val="21"/>
              </w:rPr>
            </w:pPr>
          </w:p>
          <w:p w14:paraId="21C89A94">
            <w:pPr>
              <w:topLinePunct/>
              <w:spacing w:line="440" w:lineRule="exact"/>
              <w:jc w:val="center"/>
              <w:rPr>
                <w:rFonts w:ascii="宋体" w:hAnsi="宋体"/>
                <w:sz w:val="21"/>
                <w:szCs w:val="21"/>
              </w:rPr>
            </w:pPr>
          </w:p>
          <w:p w14:paraId="142A1CD0">
            <w:pPr>
              <w:topLinePunct/>
              <w:spacing w:line="440" w:lineRule="exact"/>
              <w:jc w:val="center"/>
              <w:rPr>
                <w:rFonts w:ascii="宋体" w:hAnsi="宋体"/>
                <w:sz w:val="21"/>
                <w:szCs w:val="21"/>
              </w:rPr>
            </w:pPr>
          </w:p>
          <w:p w14:paraId="45882919">
            <w:pPr>
              <w:topLinePunct/>
              <w:spacing w:line="440" w:lineRule="exact"/>
              <w:rPr>
                <w:rFonts w:ascii="宋体" w:hAnsi="宋体"/>
                <w:sz w:val="21"/>
                <w:szCs w:val="21"/>
              </w:rPr>
            </w:pPr>
          </w:p>
        </w:tc>
      </w:tr>
      <w:tr w14:paraId="7AA762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noWrap w:val="0"/>
            <w:vAlign w:val="center"/>
          </w:tcPr>
          <w:p w14:paraId="46CE7B90">
            <w:pPr>
              <w:topLinePunct/>
              <w:spacing w:line="440" w:lineRule="exact"/>
              <w:jc w:val="center"/>
              <w:rPr>
                <w:rFonts w:ascii="宋体" w:hAnsi="宋体"/>
                <w:sz w:val="21"/>
                <w:szCs w:val="21"/>
              </w:rPr>
            </w:pPr>
            <w:r>
              <w:rPr>
                <w:rFonts w:ascii="宋体" w:hAnsi="宋体"/>
                <w:sz w:val="21"/>
                <w:szCs w:val="21"/>
              </w:rPr>
              <w:t>备注</w:t>
            </w:r>
          </w:p>
        </w:tc>
        <w:tc>
          <w:tcPr>
            <w:tcW w:w="7396" w:type="dxa"/>
            <w:gridSpan w:val="4"/>
            <w:tcBorders>
              <w:top w:val="single" w:color="auto" w:sz="4" w:space="0"/>
              <w:left w:val="single" w:color="auto" w:sz="4" w:space="0"/>
              <w:bottom w:val="single" w:color="auto" w:sz="4" w:space="0"/>
              <w:right w:val="single" w:color="auto" w:sz="4" w:space="0"/>
            </w:tcBorders>
            <w:noWrap w:val="0"/>
            <w:vAlign w:val="center"/>
          </w:tcPr>
          <w:p w14:paraId="006CBAB4">
            <w:pPr>
              <w:topLinePunct/>
              <w:spacing w:line="440" w:lineRule="exact"/>
              <w:jc w:val="center"/>
              <w:rPr>
                <w:rFonts w:ascii="宋体" w:hAnsi="宋体"/>
                <w:sz w:val="21"/>
                <w:szCs w:val="21"/>
              </w:rPr>
            </w:pPr>
          </w:p>
        </w:tc>
      </w:tr>
    </w:tbl>
    <w:p w14:paraId="4E076725">
      <w:pPr>
        <w:topLinePunct/>
        <w:spacing w:line="440" w:lineRule="exact"/>
        <w:jc w:val="left"/>
        <w:rPr>
          <w:rFonts w:ascii="宋体" w:hAnsi="宋体"/>
          <w:sz w:val="20"/>
        </w:rPr>
      </w:pPr>
    </w:p>
    <w:p w14:paraId="5B02C13C">
      <w:pPr>
        <w:rPr>
          <w:rFonts w:hint="eastAsia" w:ascii="宋体" w:hAnsi="宋体" w:eastAsia="宋体" w:cs="宋体"/>
          <w:bCs/>
          <w:color w:val="000000" w:themeColor="text1"/>
          <w:szCs w:val="18"/>
        </w:rPr>
      </w:pPr>
      <w:bookmarkStart w:id="459" w:name="_Toc6643"/>
      <w:bookmarkStart w:id="460" w:name="_Toc14588"/>
      <w:r>
        <w:rPr>
          <w:rFonts w:hint="eastAsia" w:ascii="宋体" w:hAnsi="宋体" w:eastAsia="宋体" w:cs="宋体"/>
          <w:bCs/>
          <w:color w:val="000000" w:themeColor="text1"/>
          <w:szCs w:val="18"/>
        </w:rPr>
        <w:br w:type="page"/>
      </w:r>
    </w:p>
    <w:p w14:paraId="2A18999B">
      <w:pPr>
        <w:spacing w:line="360" w:lineRule="auto"/>
        <w:ind w:firstLine="480" w:firstLineChars="200"/>
        <w:jc w:val="center"/>
        <w:outlineLvl w:val="2"/>
        <w:rPr>
          <w:rFonts w:hint="eastAsia" w:ascii="宋体" w:hAnsi="宋体" w:eastAsia="宋体" w:cs="宋体"/>
          <w:bCs/>
          <w:color w:val="000000" w:themeColor="text1"/>
          <w:szCs w:val="18"/>
        </w:rPr>
      </w:pPr>
      <w:r>
        <w:rPr>
          <w:rFonts w:hint="eastAsia" w:ascii="宋体" w:hAnsi="宋体" w:eastAsia="宋体" w:cs="宋体"/>
          <w:bCs/>
          <w:color w:val="000000" w:themeColor="text1"/>
          <w:szCs w:val="18"/>
        </w:rPr>
        <w:t>（</w:t>
      </w:r>
      <w:r>
        <w:rPr>
          <w:rFonts w:hint="eastAsia" w:ascii="宋体" w:hAnsi="宋体" w:cs="宋体"/>
          <w:bCs/>
          <w:color w:val="000000" w:themeColor="text1"/>
          <w:szCs w:val="18"/>
          <w:lang w:val="en-US" w:eastAsia="zh-CN"/>
        </w:rPr>
        <w:t>二</w:t>
      </w:r>
      <w:r>
        <w:rPr>
          <w:rFonts w:hint="eastAsia" w:ascii="宋体" w:hAnsi="宋体" w:eastAsia="宋体" w:cs="宋体"/>
          <w:bCs/>
          <w:color w:val="000000" w:themeColor="text1"/>
          <w:szCs w:val="18"/>
        </w:rPr>
        <w:t>）政府采购供应商信用承诺函</w:t>
      </w:r>
      <w:bookmarkEnd w:id="459"/>
      <w:bookmarkEnd w:id="460"/>
    </w:p>
    <w:p w14:paraId="0CC9906D">
      <w:pPr>
        <w:spacing w:line="360" w:lineRule="auto"/>
        <w:ind w:firstLine="482" w:firstLineChars="200"/>
        <w:jc w:val="center"/>
        <w:rPr>
          <w:rFonts w:hint="eastAsia" w:ascii="宋体" w:hAnsi="宋体" w:eastAsia="宋体" w:cs="宋体"/>
          <w:b/>
          <w:bCs/>
          <w:color w:val="000000" w:themeColor="text1"/>
          <w:szCs w:val="18"/>
        </w:rPr>
      </w:pPr>
    </w:p>
    <w:p w14:paraId="2BB6532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致（采购人或采购代理机构）：</w:t>
      </w:r>
    </w:p>
    <w:p w14:paraId="0CA0E9C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单位名称：                                  </w:t>
      </w:r>
    </w:p>
    <w:p w14:paraId="1435D66F">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统一社会信用代码：                          </w:t>
      </w:r>
    </w:p>
    <w:p w14:paraId="707010F3">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法定代表人：                                </w:t>
      </w:r>
    </w:p>
    <w:p w14:paraId="16473610">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 xml:space="preserve">联系地址和电话：                            </w:t>
      </w:r>
    </w:p>
    <w:p w14:paraId="44F1B9FC">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0878DEE7">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（一）</w:t>
      </w:r>
      <w:r>
        <w:rPr>
          <w:rFonts w:hint="eastAsia" w:ascii="宋体" w:hAnsi="宋体" w:eastAsia="宋体" w:cs="宋体"/>
          <w:color w:val="000000" w:themeColor="text1"/>
          <w:sz w:val="21"/>
          <w:szCs w:val="15"/>
        </w:rPr>
        <w:t>具有独立承担民事责任的能力；</w:t>
      </w:r>
    </w:p>
    <w:p w14:paraId="200BFC0B">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（二）</w:t>
      </w:r>
      <w:r>
        <w:rPr>
          <w:rFonts w:hint="eastAsia" w:ascii="宋体" w:hAnsi="宋体" w:eastAsia="宋体" w:cs="宋体"/>
          <w:color w:val="000000" w:themeColor="text1"/>
          <w:sz w:val="21"/>
          <w:szCs w:val="15"/>
        </w:rPr>
        <w:t>具有良好的商业信誉和健全的财务会计制度；</w:t>
      </w:r>
    </w:p>
    <w:p w14:paraId="06D0E759">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（三）</w:t>
      </w:r>
      <w:r>
        <w:rPr>
          <w:rFonts w:hint="eastAsia" w:ascii="宋体" w:hAnsi="宋体" w:eastAsia="宋体" w:cs="宋体"/>
          <w:color w:val="000000" w:themeColor="text1"/>
          <w:sz w:val="21"/>
          <w:szCs w:val="15"/>
        </w:rPr>
        <w:t>具有履行合同所必需的设备和专业技术能力；</w:t>
      </w:r>
    </w:p>
    <w:p w14:paraId="1748016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（四）</w:t>
      </w:r>
      <w:r>
        <w:rPr>
          <w:rFonts w:hint="eastAsia" w:ascii="宋体" w:hAnsi="宋体" w:eastAsia="宋体" w:cs="宋体"/>
          <w:color w:val="000000" w:themeColor="text1"/>
          <w:sz w:val="21"/>
          <w:szCs w:val="15"/>
        </w:rPr>
        <w:t>有依法缴纳税收和社会保障资金的良好记录；</w:t>
      </w:r>
    </w:p>
    <w:p w14:paraId="16DB9AD7">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lang w:eastAsia="zh-CN"/>
        </w:rPr>
        <w:t>（五）</w:t>
      </w:r>
      <w:r>
        <w:rPr>
          <w:rFonts w:hint="eastAsia" w:ascii="宋体" w:hAnsi="宋体" w:eastAsia="宋体" w:cs="宋体"/>
          <w:color w:val="000000" w:themeColor="text1"/>
          <w:sz w:val="21"/>
          <w:szCs w:val="15"/>
        </w:rPr>
        <w:t>参加政府采购活动前三年内，在经营活动中没有重大违法记录；</w:t>
      </w:r>
    </w:p>
    <w:p w14:paraId="4CB71408">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（六）法律、行政法规规定的其他条件。</w:t>
      </w:r>
    </w:p>
    <w:p w14:paraId="26885DB6">
      <w:pPr>
        <w:spacing w:line="360" w:lineRule="auto"/>
        <w:ind w:firstLine="420" w:firstLineChars="200"/>
        <w:rPr>
          <w:rFonts w:hint="eastAsia" w:ascii="宋体" w:hAnsi="宋体" w:eastAsia="宋体" w:cs="宋体"/>
          <w:color w:val="000000" w:themeColor="text1"/>
          <w:sz w:val="21"/>
          <w:szCs w:val="15"/>
        </w:rPr>
      </w:pPr>
      <w:r>
        <w:rPr>
          <w:rFonts w:hint="eastAsia" w:ascii="宋体" w:hAnsi="宋体" w:eastAsia="宋体" w:cs="宋体"/>
          <w:color w:val="000000" w:themeColor="text1"/>
          <w:sz w:val="21"/>
          <w:szCs w:val="15"/>
        </w:rPr>
        <w:t>我单位保证上述承诺事项的真实性，如有弄虚作假或其他违法违规行为，愿意承担一切法律责任，并承担因此所造成的一切损失。</w:t>
      </w:r>
    </w:p>
    <w:p w14:paraId="587FCAAF">
      <w:pPr>
        <w:spacing w:before="326" w:beforeLines="100" w:after="163" w:afterLines="50"/>
        <w:rPr>
          <w:rFonts w:hint="eastAsia" w:ascii="宋体" w:hAnsi="宋体" w:eastAsia="宋体" w:cs="宋体"/>
          <w:color w:val="000000" w:themeColor="text1"/>
          <w:sz w:val="21"/>
          <w:szCs w:val="15"/>
        </w:rPr>
      </w:pPr>
    </w:p>
    <w:p w14:paraId="398F84ED">
      <w:pPr>
        <w:pStyle w:val="33"/>
        <w:ind w:left="0" w:leftChars="0" w:firstLine="0" w:firstLineChars="0"/>
      </w:pPr>
    </w:p>
    <w:p w14:paraId="54F14ACA">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2E108C2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6BAB57D5">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387F75D3">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5CFB3088">
      <w:pPr>
        <w:rPr>
          <w:rFonts w:hint="eastAsia" w:ascii="宋体" w:hAnsi="宋体" w:eastAsia="宋体" w:cs="宋体"/>
          <w:bCs/>
          <w:color w:val="000000" w:themeColor="text1"/>
          <w:szCs w:val="18"/>
        </w:rPr>
      </w:pPr>
      <w:r>
        <w:rPr>
          <w:rFonts w:hint="eastAsia" w:ascii="宋体" w:hAnsi="宋体" w:eastAsia="宋体" w:cs="宋体"/>
          <w:bCs/>
          <w:color w:val="000000" w:themeColor="text1"/>
          <w:szCs w:val="18"/>
        </w:rPr>
        <w:br w:type="page"/>
      </w:r>
    </w:p>
    <w:p w14:paraId="6354B145">
      <w:pPr>
        <w:numPr>
          <w:ilvl w:val="0"/>
          <w:numId w:val="0"/>
        </w:numPr>
        <w:jc w:val="center"/>
        <w:rPr>
          <w:rFonts w:hint="default" w:ascii="宋体" w:hAnsi="宋体" w:eastAsia="宋体" w:cs="宋体"/>
          <w:bCs/>
          <w:color w:val="000000" w:themeColor="text1"/>
          <w:szCs w:val="18"/>
          <w:lang w:val="en-US" w:eastAsia="zh-CN"/>
        </w:rPr>
      </w:pPr>
      <w:r>
        <w:rPr>
          <w:rFonts w:hint="eastAsia" w:ascii="宋体" w:hAnsi="宋体" w:eastAsia="宋体" w:cs="宋体"/>
          <w:bCs/>
          <w:color w:val="000000" w:themeColor="text1"/>
          <w:kern w:val="2"/>
          <w:sz w:val="24"/>
          <w:szCs w:val="18"/>
          <w:lang w:val="en-US" w:eastAsia="zh-CN" w:bidi="ar-SA"/>
        </w:rPr>
        <w:t>（三）</w:t>
      </w:r>
      <w:r>
        <w:rPr>
          <w:rFonts w:hint="eastAsia" w:ascii="宋体" w:hAnsi="宋体" w:eastAsia="宋体" w:cs="宋体"/>
          <w:bCs/>
          <w:color w:val="000000" w:themeColor="text1"/>
          <w:szCs w:val="18"/>
          <w:lang w:val="en-US" w:eastAsia="zh-CN"/>
        </w:rPr>
        <w:t>其他资格证明材料</w:t>
      </w:r>
    </w:p>
    <w:p w14:paraId="014BE97C">
      <w:pPr>
        <w:rPr>
          <w:rFonts w:hint="eastAsia"/>
        </w:rPr>
      </w:pPr>
    </w:p>
    <w:p w14:paraId="5D78DBCF">
      <w:pPr>
        <w:rPr>
          <w:rFonts w:hint="eastAsia"/>
        </w:rPr>
      </w:pPr>
    </w:p>
    <w:p w14:paraId="71C29CA9">
      <w:pPr>
        <w:rPr>
          <w:rFonts w:hint="eastAsia"/>
        </w:rPr>
      </w:pPr>
    </w:p>
    <w:p w14:paraId="098393B1">
      <w:pPr>
        <w:rPr>
          <w:rFonts w:hint="eastAsia"/>
        </w:rPr>
      </w:pPr>
    </w:p>
    <w:p w14:paraId="1546D95E">
      <w:pPr>
        <w:pStyle w:val="3"/>
        <w:keepNext w:val="0"/>
        <w:widowControl w:val="0"/>
        <w:jc w:val="center"/>
        <w:rPr>
          <w:rFonts w:hint="eastAsia" w:ascii="宋体" w:hAnsi="宋体" w:eastAsia="宋体" w:cs="Times New Roman"/>
          <w:b/>
          <w:bCs/>
          <w:sz w:val="30"/>
          <w:szCs w:val="30"/>
          <w:lang w:eastAsia="zh-CN"/>
        </w:rPr>
      </w:pPr>
      <w:r>
        <w:rPr>
          <w:rFonts w:hint="eastAsia" w:ascii="宋体" w:hAnsi="宋体" w:eastAsia="宋体" w:cs="宋体"/>
          <w:b/>
          <w:sz w:val="28"/>
          <w:szCs w:val="28"/>
        </w:rPr>
        <w:br w:type="page"/>
      </w:r>
      <w:bookmarkStart w:id="461" w:name="_Toc153789129"/>
      <w:r>
        <w:rPr>
          <w:rFonts w:hint="eastAsia" w:ascii="宋体" w:hAnsi="宋体" w:eastAsia="宋体" w:cs="宋体"/>
          <w:b/>
          <w:sz w:val="28"/>
          <w:szCs w:val="28"/>
          <w:lang w:val="en-US" w:eastAsia="zh-CN"/>
        </w:rPr>
        <w:t>六</w:t>
      </w:r>
      <w:r>
        <w:rPr>
          <w:rFonts w:hint="eastAsia" w:ascii="宋体" w:hAnsi="宋体" w:eastAsia="宋体" w:cs="Times New Roman"/>
          <w:b/>
          <w:bCs/>
          <w:sz w:val="30"/>
          <w:szCs w:val="30"/>
        </w:rPr>
        <w:t>、</w:t>
      </w:r>
      <w:bookmarkEnd w:id="461"/>
      <w:r>
        <w:rPr>
          <w:rFonts w:hint="eastAsia" w:ascii="宋体" w:hAnsi="宋体" w:eastAsia="宋体" w:cs="Times New Roman"/>
          <w:b/>
          <w:bCs/>
          <w:sz w:val="30"/>
          <w:szCs w:val="30"/>
          <w:lang w:eastAsia="zh-CN"/>
        </w:rPr>
        <w:t>拟投入本项目人员一览表</w:t>
      </w:r>
    </w:p>
    <w:tbl>
      <w:tblPr>
        <w:tblStyle w:val="34"/>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8"/>
        <w:gridCol w:w="2314"/>
        <w:gridCol w:w="3262"/>
        <w:gridCol w:w="2416"/>
      </w:tblGrid>
      <w:tr w14:paraId="77FFC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1388" w:type="dxa"/>
            <w:noWrap w:val="0"/>
            <w:vAlign w:val="center"/>
          </w:tcPr>
          <w:p w14:paraId="6856B457">
            <w:pPr>
              <w:tabs>
                <w:tab w:val="left" w:pos="420"/>
              </w:tabs>
              <w:jc w:val="center"/>
              <w:rPr>
                <w:rFonts w:ascii="宋体" w:hAnsi="宋体"/>
                <w:b/>
                <w:bCs/>
                <w:sz w:val="21"/>
                <w:szCs w:val="21"/>
              </w:rPr>
            </w:pPr>
            <w:r>
              <w:rPr>
                <w:rFonts w:hint="eastAsia" w:ascii="宋体" w:hAnsi="宋体"/>
                <w:b/>
                <w:bCs/>
                <w:sz w:val="21"/>
                <w:szCs w:val="21"/>
              </w:rPr>
              <w:t>项目</w:t>
            </w:r>
          </w:p>
        </w:tc>
        <w:tc>
          <w:tcPr>
            <w:tcW w:w="2314" w:type="dxa"/>
            <w:noWrap w:val="0"/>
            <w:vAlign w:val="center"/>
          </w:tcPr>
          <w:p w14:paraId="7E32D8C6">
            <w:pPr>
              <w:tabs>
                <w:tab w:val="left" w:pos="420"/>
              </w:tabs>
              <w:jc w:val="center"/>
              <w:rPr>
                <w:rFonts w:ascii="宋体" w:hAnsi="宋体"/>
                <w:b/>
                <w:bCs/>
                <w:sz w:val="21"/>
                <w:szCs w:val="21"/>
              </w:rPr>
            </w:pPr>
            <w:r>
              <w:rPr>
                <w:rFonts w:hint="eastAsia" w:ascii="宋体" w:hAnsi="宋体"/>
                <w:b/>
                <w:bCs/>
                <w:sz w:val="21"/>
                <w:szCs w:val="21"/>
              </w:rPr>
              <w:t>人员姓名</w:t>
            </w:r>
          </w:p>
        </w:tc>
        <w:tc>
          <w:tcPr>
            <w:tcW w:w="3262" w:type="dxa"/>
            <w:noWrap w:val="0"/>
            <w:vAlign w:val="center"/>
          </w:tcPr>
          <w:p w14:paraId="5B50F172">
            <w:pPr>
              <w:tabs>
                <w:tab w:val="left" w:pos="420"/>
              </w:tabs>
              <w:jc w:val="center"/>
              <w:rPr>
                <w:rFonts w:ascii="宋体" w:hAnsi="宋体"/>
                <w:b/>
                <w:bCs/>
                <w:sz w:val="21"/>
                <w:szCs w:val="21"/>
              </w:rPr>
            </w:pPr>
            <w:r>
              <w:rPr>
                <w:rFonts w:hint="eastAsia" w:ascii="宋体" w:hAnsi="宋体"/>
                <w:b/>
                <w:bCs/>
                <w:sz w:val="21"/>
                <w:szCs w:val="21"/>
              </w:rPr>
              <w:t>职责</w:t>
            </w:r>
          </w:p>
        </w:tc>
        <w:tc>
          <w:tcPr>
            <w:tcW w:w="2416" w:type="dxa"/>
            <w:noWrap w:val="0"/>
            <w:vAlign w:val="center"/>
          </w:tcPr>
          <w:p w14:paraId="664E6B6A">
            <w:pPr>
              <w:tabs>
                <w:tab w:val="left" w:pos="420"/>
              </w:tabs>
              <w:jc w:val="center"/>
              <w:rPr>
                <w:rFonts w:ascii="宋体" w:hAnsi="宋体"/>
                <w:b/>
                <w:bCs/>
                <w:sz w:val="21"/>
                <w:szCs w:val="21"/>
              </w:rPr>
            </w:pPr>
            <w:r>
              <w:rPr>
                <w:rFonts w:hint="eastAsia" w:ascii="宋体" w:hAnsi="宋体"/>
                <w:b/>
                <w:bCs/>
                <w:sz w:val="21"/>
                <w:szCs w:val="21"/>
              </w:rPr>
              <w:t>职务（职称）</w:t>
            </w:r>
          </w:p>
        </w:tc>
      </w:tr>
      <w:tr w14:paraId="3B8D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88" w:type="dxa"/>
            <w:vMerge w:val="restart"/>
            <w:noWrap w:val="0"/>
            <w:vAlign w:val="center"/>
          </w:tcPr>
          <w:p w14:paraId="0EC2AF98">
            <w:pPr>
              <w:tabs>
                <w:tab w:val="left" w:pos="420"/>
              </w:tabs>
              <w:jc w:val="center"/>
              <w:rPr>
                <w:rFonts w:ascii="宋体" w:hAnsi="宋体" w:cs="宋体"/>
                <w:sz w:val="21"/>
                <w:szCs w:val="21"/>
              </w:rPr>
            </w:pPr>
            <w:r>
              <w:rPr>
                <w:rFonts w:hint="eastAsia" w:ascii="宋体" w:hAnsi="宋体" w:cs="宋体"/>
                <w:sz w:val="21"/>
                <w:szCs w:val="21"/>
              </w:rPr>
              <w:t>领导</w:t>
            </w:r>
          </w:p>
          <w:p w14:paraId="28A427D8">
            <w:pPr>
              <w:tabs>
                <w:tab w:val="left" w:pos="420"/>
              </w:tabs>
              <w:jc w:val="center"/>
              <w:rPr>
                <w:rFonts w:ascii="宋体" w:hAnsi="宋体"/>
                <w:sz w:val="21"/>
                <w:szCs w:val="21"/>
              </w:rPr>
            </w:pPr>
            <w:r>
              <w:rPr>
                <w:rFonts w:hint="eastAsia" w:ascii="宋体" w:hAnsi="宋体" w:cs="宋体"/>
                <w:sz w:val="21"/>
                <w:szCs w:val="21"/>
              </w:rPr>
              <w:t>小组</w:t>
            </w:r>
          </w:p>
        </w:tc>
        <w:tc>
          <w:tcPr>
            <w:tcW w:w="2314" w:type="dxa"/>
            <w:noWrap w:val="0"/>
            <w:vAlign w:val="center"/>
          </w:tcPr>
          <w:p w14:paraId="4CD1193F">
            <w:pPr>
              <w:tabs>
                <w:tab w:val="left" w:pos="420"/>
              </w:tabs>
              <w:jc w:val="center"/>
              <w:rPr>
                <w:rFonts w:ascii="宋体" w:hAnsi="宋体"/>
                <w:sz w:val="21"/>
                <w:szCs w:val="21"/>
              </w:rPr>
            </w:pPr>
          </w:p>
        </w:tc>
        <w:tc>
          <w:tcPr>
            <w:tcW w:w="3262" w:type="dxa"/>
            <w:noWrap w:val="0"/>
            <w:vAlign w:val="center"/>
          </w:tcPr>
          <w:p w14:paraId="4C2AC8A5">
            <w:pPr>
              <w:tabs>
                <w:tab w:val="left" w:pos="420"/>
              </w:tabs>
              <w:jc w:val="center"/>
              <w:rPr>
                <w:rFonts w:ascii="宋体" w:hAnsi="宋体"/>
                <w:sz w:val="21"/>
                <w:szCs w:val="21"/>
              </w:rPr>
            </w:pPr>
          </w:p>
        </w:tc>
        <w:tc>
          <w:tcPr>
            <w:tcW w:w="2416" w:type="dxa"/>
            <w:noWrap w:val="0"/>
            <w:vAlign w:val="center"/>
          </w:tcPr>
          <w:p w14:paraId="50E1AE70">
            <w:pPr>
              <w:tabs>
                <w:tab w:val="left" w:pos="420"/>
              </w:tabs>
              <w:jc w:val="center"/>
              <w:rPr>
                <w:rFonts w:ascii="宋体" w:hAnsi="宋体"/>
                <w:sz w:val="21"/>
                <w:szCs w:val="21"/>
              </w:rPr>
            </w:pPr>
          </w:p>
        </w:tc>
      </w:tr>
      <w:tr w14:paraId="42DA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1388" w:type="dxa"/>
            <w:vMerge w:val="continue"/>
            <w:noWrap w:val="0"/>
            <w:vAlign w:val="center"/>
          </w:tcPr>
          <w:p w14:paraId="35F9553B">
            <w:pPr>
              <w:tabs>
                <w:tab w:val="left" w:pos="420"/>
              </w:tabs>
              <w:jc w:val="center"/>
              <w:rPr>
                <w:rFonts w:ascii="宋体" w:hAnsi="宋体"/>
                <w:sz w:val="21"/>
                <w:szCs w:val="21"/>
              </w:rPr>
            </w:pPr>
          </w:p>
        </w:tc>
        <w:tc>
          <w:tcPr>
            <w:tcW w:w="2314" w:type="dxa"/>
            <w:noWrap w:val="0"/>
            <w:vAlign w:val="center"/>
          </w:tcPr>
          <w:p w14:paraId="36C0B5C6">
            <w:pPr>
              <w:tabs>
                <w:tab w:val="left" w:pos="420"/>
              </w:tabs>
              <w:jc w:val="center"/>
              <w:rPr>
                <w:rFonts w:ascii="宋体" w:hAnsi="宋体"/>
                <w:sz w:val="21"/>
                <w:szCs w:val="21"/>
              </w:rPr>
            </w:pPr>
          </w:p>
        </w:tc>
        <w:tc>
          <w:tcPr>
            <w:tcW w:w="3262" w:type="dxa"/>
            <w:noWrap w:val="0"/>
            <w:vAlign w:val="center"/>
          </w:tcPr>
          <w:p w14:paraId="30BA8462">
            <w:pPr>
              <w:tabs>
                <w:tab w:val="left" w:pos="420"/>
              </w:tabs>
              <w:jc w:val="center"/>
              <w:rPr>
                <w:rFonts w:ascii="宋体" w:hAnsi="宋体"/>
                <w:sz w:val="21"/>
                <w:szCs w:val="21"/>
              </w:rPr>
            </w:pPr>
          </w:p>
        </w:tc>
        <w:tc>
          <w:tcPr>
            <w:tcW w:w="2416" w:type="dxa"/>
            <w:noWrap w:val="0"/>
            <w:vAlign w:val="center"/>
          </w:tcPr>
          <w:p w14:paraId="77BA4535">
            <w:pPr>
              <w:tabs>
                <w:tab w:val="left" w:pos="420"/>
              </w:tabs>
              <w:jc w:val="center"/>
              <w:rPr>
                <w:rFonts w:ascii="宋体" w:hAnsi="宋体"/>
                <w:sz w:val="21"/>
                <w:szCs w:val="21"/>
              </w:rPr>
            </w:pPr>
          </w:p>
        </w:tc>
      </w:tr>
      <w:tr w14:paraId="4273D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388" w:type="dxa"/>
            <w:vMerge w:val="continue"/>
            <w:noWrap w:val="0"/>
            <w:vAlign w:val="center"/>
          </w:tcPr>
          <w:p w14:paraId="0E4303CE">
            <w:pPr>
              <w:tabs>
                <w:tab w:val="left" w:pos="420"/>
              </w:tabs>
              <w:jc w:val="center"/>
              <w:rPr>
                <w:rFonts w:ascii="宋体" w:hAnsi="宋体"/>
                <w:sz w:val="21"/>
                <w:szCs w:val="21"/>
              </w:rPr>
            </w:pPr>
          </w:p>
        </w:tc>
        <w:tc>
          <w:tcPr>
            <w:tcW w:w="2314" w:type="dxa"/>
            <w:noWrap w:val="0"/>
            <w:vAlign w:val="center"/>
          </w:tcPr>
          <w:p w14:paraId="002B8CFA">
            <w:pPr>
              <w:tabs>
                <w:tab w:val="left" w:pos="420"/>
              </w:tabs>
              <w:jc w:val="center"/>
              <w:rPr>
                <w:rFonts w:ascii="宋体" w:hAnsi="宋体"/>
                <w:sz w:val="21"/>
                <w:szCs w:val="21"/>
              </w:rPr>
            </w:pPr>
          </w:p>
        </w:tc>
        <w:tc>
          <w:tcPr>
            <w:tcW w:w="3262" w:type="dxa"/>
            <w:noWrap w:val="0"/>
            <w:vAlign w:val="center"/>
          </w:tcPr>
          <w:p w14:paraId="135E0F12">
            <w:pPr>
              <w:tabs>
                <w:tab w:val="left" w:pos="420"/>
              </w:tabs>
              <w:jc w:val="center"/>
              <w:rPr>
                <w:rFonts w:ascii="宋体" w:hAnsi="宋体"/>
                <w:sz w:val="21"/>
                <w:szCs w:val="21"/>
              </w:rPr>
            </w:pPr>
          </w:p>
        </w:tc>
        <w:tc>
          <w:tcPr>
            <w:tcW w:w="2416" w:type="dxa"/>
            <w:noWrap w:val="0"/>
            <w:vAlign w:val="center"/>
          </w:tcPr>
          <w:p w14:paraId="1838662C">
            <w:pPr>
              <w:tabs>
                <w:tab w:val="left" w:pos="420"/>
              </w:tabs>
              <w:jc w:val="center"/>
              <w:rPr>
                <w:rFonts w:ascii="宋体" w:hAnsi="宋体"/>
                <w:sz w:val="21"/>
                <w:szCs w:val="21"/>
              </w:rPr>
            </w:pPr>
          </w:p>
        </w:tc>
      </w:tr>
      <w:tr w14:paraId="41BEF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1388" w:type="dxa"/>
            <w:vMerge w:val="continue"/>
            <w:noWrap w:val="0"/>
            <w:vAlign w:val="center"/>
          </w:tcPr>
          <w:p w14:paraId="78753D06">
            <w:pPr>
              <w:tabs>
                <w:tab w:val="left" w:pos="420"/>
              </w:tabs>
              <w:jc w:val="center"/>
              <w:rPr>
                <w:rFonts w:ascii="宋体" w:hAnsi="宋体"/>
                <w:sz w:val="21"/>
                <w:szCs w:val="21"/>
              </w:rPr>
            </w:pPr>
          </w:p>
        </w:tc>
        <w:tc>
          <w:tcPr>
            <w:tcW w:w="2314" w:type="dxa"/>
            <w:noWrap w:val="0"/>
            <w:vAlign w:val="center"/>
          </w:tcPr>
          <w:p w14:paraId="4A20BE58">
            <w:pPr>
              <w:tabs>
                <w:tab w:val="left" w:pos="420"/>
              </w:tabs>
              <w:jc w:val="center"/>
              <w:rPr>
                <w:rFonts w:ascii="宋体" w:hAnsi="宋体"/>
                <w:sz w:val="21"/>
                <w:szCs w:val="21"/>
              </w:rPr>
            </w:pPr>
          </w:p>
        </w:tc>
        <w:tc>
          <w:tcPr>
            <w:tcW w:w="3262" w:type="dxa"/>
            <w:noWrap w:val="0"/>
            <w:vAlign w:val="center"/>
          </w:tcPr>
          <w:p w14:paraId="5E4E2F2B">
            <w:pPr>
              <w:tabs>
                <w:tab w:val="left" w:pos="420"/>
              </w:tabs>
              <w:jc w:val="center"/>
              <w:rPr>
                <w:rFonts w:ascii="宋体" w:hAnsi="宋体"/>
                <w:sz w:val="21"/>
                <w:szCs w:val="21"/>
              </w:rPr>
            </w:pPr>
          </w:p>
        </w:tc>
        <w:tc>
          <w:tcPr>
            <w:tcW w:w="2416" w:type="dxa"/>
            <w:noWrap w:val="0"/>
            <w:vAlign w:val="center"/>
          </w:tcPr>
          <w:p w14:paraId="60A4C2AE">
            <w:pPr>
              <w:tabs>
                <w:tab w:val="left" w:pos="420"/>
              </w:tabs>
              <w:jc w:val="center"/>
              <w:rPr>
                <w:rFonts w:ascii="宋体" w:hAnsi="宋体"/>
                <w:sz w:val="21"/>
                <w:szCs w:val="21"/>
              </w:rPr>
            </w:pPr>
          </w:p>
        </w:tc>
      </w:tr>
      <w:tr w14:paraId="62EEE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trPr>
        <w:tc>
          <w:tcPr>
            <w:tcW w:w="1388" w:type="dxa"/>
            <w:vMerge w:val="continue"/>
            <w:noWrap w:val="0"/>
            <w:vAlign w:val="center"/>
          </w:tcPr>
          <w:p w14:paraId="6728D71E">
            <w:pPr>
              <w:tabs>
                <w:tab w:val="left" w:pos="420"/>
              </w:tabs>
              <w:jc w:val="center"/>
              <w:rPr>
                <w:rFonts w:ascii="宋体" w:hAnsi="宋体"/>
                <w:sz w:val="21"/>
                <w:szCs w:val="21"/>
              </w:rPr>
            </w:pPr>
          </w:p>
        </w:tc>
        <w:tc>
          <w:tcPr>
            <w:tcW w:w="2314" w:type="dxa"/>
            <w:noWrap w:val="0"/>
            <w:vAlign w:val="center"/>
          </w:tcPr>
          <w:p w14:paraId="61E3AF13">
            <w:pPr>
              <w:tabs>
                <w:tab w:val="left" w:pos="420"/>
              </w:tabs>
              <w:jc w:val="center"/>
              <w:rPr>
                <w:rFonts w:ascii="宋体" w:hAnsi="宋体"/>
                <w:sz w:val="21"/>
                <w:szCs w:val="21"/>
              </w:rPr>
            </w:pPr>
          </w:p>
        </w:tc>
        <w:tc>
          <w:tcPr>
            <w:tcW w:w="3262" w:type="dxa"/>
            <w:noWrap w:val="0"/>
            <w:vAlign w:val="center"/>
          </w:tcPr>
          <w:p w14:paraId="25D0F2DB">
            <w:pPr>
              <w:tabs>
                <w:tab w:val="left" w:pos="420"/>
              </w:tabs>
              <w:jc w:val="center"/>
              <w:rPr>
                <w:rFonts w:ascii="宋体" w:hAnsi="宋体"/>
                <w:sz w:val="21"/>
                <w:szCs w:val="21"/>
              </w:rPr>
            </w:pPr>
          </w:p>
        </w:tc>
        <w:tc>
          <w:tcPr>
            <w:tcW w:w="2416" w:type="dxa"/>
            <w:noWrap w:val="0"/>
            <w:vAlign w:val="center"/>
          </w:tcPr>
          <w:p w14:paraId="649489F7">
            <w:pPr>
              <w:tabs>
                <w:tab w:val="left" w:pos="420"/>
              </w:tabs>
              <w:jc w:val="center"/>
              <w:rPr>
                <w:rFonts w:ascii="宋体" w:hAnsi="宋体"/>
                <w:sz w:val="21"/>
                <w:szCs w:val="21"/>
              </w:rPr>
            </w:pPr>
          </w:p>
        </w:tc>
      </w:tr>
      <w:tr w14:paraId="71993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trPr>
        <w:tc>
          <w:tcPr>
            <w:tcW w:w="1388" w:type="dxa"/>
            <w:vMerge w:val="restart"/>
            <w:noWrap w:val="0"/>
            <w:vAlign w:val="center"/>
          </w:tcPr>
          <w:p w14:paraId="7E27FA1A">
            <w:pPr>
              <w:tabs>
                <w:tab w:val="left" w:pos="420"/>
              </w:tabs>
              <w:jc w:val="center"/>
              <w:rPr>
                <w:rFonts w:ascii="宋体" w:hAnsi="宋体" w:cs="宋体"/>
                <w:sz w:val="21"/>
                <w:szCs w:val="21"/>
              </w:rPr>
            </w:pPr>
            <w:r>
              <w:rPr>
                <w:rFonts w:hint="eastAsia" w:ascii="宋体" w:hAnsi="宋体" w:cs="宋体"/>
                <w:sz w:val="21"/>
                <w:szCs w:val="21"/>
              </w:rPr>
              <w:t>承保</w:t>
            </w:r>
          </w:p>
          <w:p w14:paraId="0C234ECB">
            <w:pPr>
              <w:tabs>
                <w:tab w:val="left" w:pos="420"/>
              </w:tabs>
              <w:jc w:val="center"/>
              <w:rPr>
                <w:rFonts w:ascii="宋体" w:hAnsi="宋体"/>
                <w:sz w:val="21"/>
                <w:szCs w:val="21"/>
              </w:rPr>
            </w:pPr>
            <w:r>
              <w:rPr>
                <w:rFonts w:hint="eastAsia" w:ascii="宋体" w:hAnsi="宋体" w:cs="宋体"/>
                <w:sz w:val="21"/>
                <w:szCs w:val="21"/>
              </w:rPr>
              <w:t>小组</w:t>
            </w:r>
          </w:p>
        </w:tc>
        <w:tc>
          <w:tcPr>
            <w:tcW w:w="2314" w:type="dxa"/>
            <w:noWrap w:val="0"/>
            <w:vAlign w:val="center"/>
          </w:tcPr>
          <w:p w14:paraId="760298A6">
            <w:pPr>
              <w:tabs>
                <w:tab w:val="left" w:pos="420"/>
              </w:tabs>
              <w:jc w:val="center"/>
              <w:rPr>
                <w:rFonts w:ascii="宋体" w:hAnsi="宋体"/>
                <w:sz w:val="21"/>
                <w:szCs w:val="21"/>
              </w:rPr>
            </w:pPr>
          </w:p>
        </w:tc>
        <w:tc>
          <w:tcPr>
            <w:tcW w:w="3262" w:type="dxa"/>
            <w:noWrap w:val="0"/>
            <w:vAlign w:val="center"/>
          </w:tcPr>
          <w:p w14:paraId="2FA95020">
            <w:pPr>
              <w:tabs>
                <w:tab w:val="left" w:pos="420"/>
              </w:tabs>
              <w:jc w:val="center"/>
              <w:rPr>
                <w:rFonts w:ascii="宋体" w:hAnsi="宋体"/>
                <w:sz w:val="21"/>
                <w:szCs w:val="21"/>
              </w:rPr>
            </w:pPr>
          </w:p>
        </w:tc>
        <w:tc>
          <w:tcPr>
            <w:tcW w:w="2416" w:type="dxa"/>
            <w:noWrap w:val="0"/>
            <w:vAlign w:val="center"/>
          </w:tcPr>
          <w:p w14:paraId="78CDE0EF">
            <w:pPr>
              <w:tabs>
                <w:tab w:val="left" w:pos="420"/>
              </w:tabs>
              <w:jc w:val="center"/>
              <w:rPr>
                <w:rFonts w:ascii="宋体" w:hAnsi="宋体"/>
                <w:sz w:val="21"/>
                <w:szCs w:val="21"/>
              </w:rPr>
            </w:pPr>
          </w:p>
        </w:tc>
      </w:tr>
      <w:tr w14:paraId="4465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1388" w:type="dxa"/>
            <w:vMerge w:val="continue"/>
            <w:noWrap w:val="0"/>
            <w:vAlign w:val="center"/>
          </w:tcPr>
          <w:p w14:paraId="717B336F">
            <w:pPr>
              <w:tabs>
                <w:tab w:val="left" w:pos="420"/>
              </w:tabs>
              <w:jc w:val="center"/>
              <w:rPr>
                <w:rFonts w:ascii="宋体" w:hAnsi="宋体"/>
                <w:sz w:val="21"/>
                <w:szCs w:val="21"/>
              </w:rPr>
            </w:pPr>
          </w:p>
        </w:tc>
        <w:tc>
          <w:tcPr>
            <w:tcW w:w="2314" w:type="dxa"/>
            <w:noWrap w:val="0"/>
            <w:vAlign w:val="center"/>
          </w:tcPr>
          <w:p w14:paraId="0D710E92">
            <w:pPr>
              <w:tabs>
                <w:tab w:val="left" w:pos="420"/>
              </w:tabs>
              <w:jc w:val="center"/>
              <w:rPr>
                <w:rFonts w:ascii="宋体" w:hAnsi="宋体"/>
                <w:sz w:val="21"/>
                <w:szCs w:val="21"/>
              </w:rPr>
            </w:pPr>
          </w:p>
        </w:tc>
        <w:tc>
          <w:tcPr>
            <w:tcW w:w="3262" w:type="dxa"/>
            <w:noWrap w:val="0"/>
            <w:vAlign w:val="center"/>
          </w:tcPr>
          <w:p w14:paraId="4DD10587">
            <w:pPr>
              <w:tabs>
                <w:tab w:val="left" w:pos="420"/>
              </w:tabs>
              <w:jc w:val="center"/>
              <w:rPr>
                <w:rFonts w:ascii="宋体" w:hAnsi="宋体"/>
                <w:sz w:val="21"/>
                <w:szCs w:val="21"/>
              </w:rPr>
            </w:pPr>
          </w:p>
        </w:tc>
        <w:tc>
          <w:tcPr>
            <w:tcW w:w="2416" w:type="dxa"/>
            <w:noWrap w:val="0"/>
            <w:vAlign w:val="center"/>
          </w:tcPr>
          <w:p w14:paraId="58C30B4B">
            <w:pPr>
              <w:tabs>
                <w:tab w:val="left" w:pos="420"/>
              </w:tabs>
              <w:jc w:val="center"/>
              <w:rPr>
                <w:rFonts w:ascii="宋体" w:hAnsi="宋体"/>
                <w:sz w:val="21"/>
                <w:szCs w:val="21"/>
              </w:rPr>
            </w:pPr>
          </w:p>
        </w:tc>
      </w:tr>
      <w:tr w14:paraId="662C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1388" w:type="dxa"/>
            <w:vMerge w:val="continue"/>
            <w:noWrap w:val="0"/>
            <w:vAlign w:val="center"/>
          </w:tcPr>
          <w:p w14:paraId="3C985035">
            <w:pPr>
              <w:tabs>
                <w:tab w:val="left" w:pos="420"/>
              </w:tabs>
              <w:jc w:val="center"/>
              <w:rPr>
                <w:rFonts w:ascii="宋体" w:hAnsi="宋体"/>
                <w:sz w:val="21"/>
                <w:szCs w:val="21"/>
              </w:rPr>
            </w:pPr>
          </w:p>
        </w:tc>
        <w:tc>
          <w:tcPr>
            <w:tcW w:w="2314" w:type="dxa"/>
            <w:noWrap w:val="0"/>
            <w:vAlign w:val="center"/>
          </w:tcPr>
          <w:p w14:paraId="4A271552">
            <w:pPr>
              <w:tabs>
                <w:tab w:val="left" w:pos="420"/>
              </w:tabs>
              <w:jc w:val="center"/>
              <w:rPr>
                <w:rFonts w:ascii="宋体" w:hAnsi="宋体"/>
                <w:sz w:val="21"/>
                <w:szCs w:val="21"/>
              </w:rPr>
            </w:pPr>
          </w:p>
        </w:tc>
        <w:tc>
          <w:tcPr>
            <w:tcW w:w="3262" w:type="dxa"/>
            <w:noWrap w:val="0"/>
            <w:vAlign w:val="center"/>
          </w:tcPr>
          <w:p w14:paraId="52DDCE23">
            <w:pPr>
              <w:tabs>
                <w:tab w:val="left" w:pos="420"/>
              </w:tabs>
              <w:jc w:val="center"/>
              <w:rPr>
                <w:rFonts w:ascii="宋体" w:hAnsi="宋体"/>
                <w:sz w:val="21"/>
                <w:szCs w:val="21"/>
              </w:rPr>
            </w:pPr>
          </w:p>
        </w:tc>
        <w:tc>
          <w:tcPr>
            <w:tcW w:w="2416" w:type="dxa"/>
            <w:noWrap w:val="0"/>
            <w:vAlign w:val="center"/>
          </w:tcPr>
          <w:p w14:paraId="246DDA2F">
            <w:pPr>
              <w:tabs>
                <w:tab w:val="left" w:pos="420"/>
              </w:tabs>
              <w:jc w:val="center"/>
              <w:rPr>
                <w:rFonts w:ascii="宋体" w:hAnsi="宋体"/>
                <w:sz w:val="21"/>
                <w:szCs w:val="21"/>
              </w:rPr>
            </w:pPr>
          </w:p>
        </w:tc>
      </w:tr>
      <w:tr w14:paraId="55249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trPr>
        <w:tc>
          <w:tcPr>
            <w:tcW w:w="1388" w:type="dxa"/>
            <w:vMerge w:val="continue"/>
            <w:noWrap w:val="0"/>
            <w:vAlign w:val="center"/>
          </w:tcPr>
          <w:p w14:paraId="141BC644">
            <w:pPr>
              <w:tabs>
                <w:tab w:val="left" w:pos="420"/>
              </w:tabs>
              <w:jc w:val="center"/>
              <w:rPr>
                <w:rFonts w:ascii="宋体" w:hAnsi="宋体"/>
                <w:sz w:val="21"/>
                <w:szCs w:val="21"/>
              </w:rPr>
            </w:pPr>
          </w:p>
        </w:tc>
        <w:tc>
          <w:tcPr>
            <w:tcW w:w="2314" w:type="dxa"/>
            <w:noWrap w:val="0"/>
            <w:vAlign w:val="center"/>
          </w:tcPr>
          <w:p w14:paraId="73138873">
            <w:pPr>
              <w:tabs>
                <w:tab w:val="left" w:pos="420"/>
              </w:tabs>
              <w:jc w:val="center"/>
              <w:rPr>
                <w:rFonts w:ascii="宋体" w:hAnsi="宋体"/>
                <w:sz w:val="21"/>
                <w:szCs w:val="21"/>
              </w:rPr>
            </w:pPr>
          </w:p>
        </w:tc>
        <w:tc>
          <w:tcPr>
            <w:tcW w:w="3262" w:type="dxa"/>
            <w:noWrap w:val="0"/>
            <w:vAlign w:val="center"/>
          </w:tcPr>
          <w:p w14:paraId="46FC6CB8">
            <w:pPr>
              <w:tabs>
                <w:tab w:val="left" w:pos="420"/>
              </w:tabs>
              <w:jc w:val="center"/>
              <w:rPr>
                <w:rFonts w:ascii="宋体" w:hAnsi="宋体"/>
                <w:sz w:val="21"/>
                <w:szCs w:val="21"/>
              </w:rPr>
            </w:pPr>
          </w:p>
        </w:tc>
        <w:tc>
          <w:tcPr>
            <w:tcW w:w="2416" w:type="dxa"/>
            <w:noWrap w:val="0"/>
            <w:vAlign w:val="center"/>
          </w:tcPr>
          <w:p w14:paraId="0C57D696">
            <w:pPr>
              <w:tabs>
                <w:tab w:val="left" w:pos="420"/>
              </w:tabs>
              <w:jc w:val="center"/>
              <w:rPr>
                <w:rFonts w:ascii="宋体" w:hAnsi="宋体"/>
                <w:sz w:val="21"/>
                <w:szCs w:val="21"/>
              </w:rPr>
            </w:pPr>
          </w:p>
        </w:tc>
      </w:tr>
      <w:tr w14:paraId="6A525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1388" w:type="dxa"/>
            <w:vMerge w:val="continue"/>
            <w:noWrap w:val="0"/>
            <w:vAlign w:val="center"/>
          </w:tcPr>
          <w:p w14:paraId="309AEA3A">
            <w:pPr>
              <w:tabs>
                <w:tab w:val="left" w:pos="420"/>
              </w:tabs>
              <w:jc w:val="center"/>
              <w:rPr>
                <w:rFonts w:ascii="宋体" w:hAnsi="宋体"/>
                <w:sz w:val="21"/>
                <w:szCs w:val="21"/>
              </w:rPr>
            </w:pPr>
          </w:p>
        </w:tc>
        <w:tc>
          <w:tcPr>
            <w:tcW w:w="2314" w:type="dxa"/>
            <w:noWrap w:val="0"/>
            <w:vAlign w:val="center"/>
          </w:tcPr>
          <w:p w14:paraId="71016318">
            <w:pPr>
              <w:tabs>
                <w:tab w:val="left" w:pos="420"/>
              </w:tabs>
              <w:jc w:val="center"/>
              <w:rPr>
                <w:rFonts w:ascii="宋体" w:hAnsi="宋体"/>
                <w:sz w:val="21"/>
                <w:szCs w:val="21"/>
              </w:rPr>
            </w:pPr>
          </w:p>
        </w:tc>
        <w:tc>
          <w:tcPr>
            <w:tcW w:w="3262" w:type="dxa"/>
            <w:noWrap w:val="0"/>
            <w:vAlign w:val="center"/>
          </w:tcPr>
          <w:p w14:paraId="03D95F93">
            <w:pPr>
              <w:tabs>
                <w:tab w:val="left" w:pos="420"/>
              </w:tabs>
              <w:jc w:val="center"/>
              <w:rPr>
                <w:rFonts w:ascii="宋体" w:hAnsi="宋体"/>
                <w:sz w:val="21"/>
                <w:szCs w:val="21"/>
              </w:rPr>
            </w:pPr>
          </w:p>
        </w:tc>
        <w:tc>
          <w:tcPr>
            <w:tcW w:w="2416" w:type="dxa"/>
            <w:noWrap w:val="0"/>
            <w:vAlign w:val="center"/>
          </w:tcPr>
          <w:p w14:paraId="79CCABEA">
            <w:pPr>
              <w:tabs>
                <w:tab w:val="left" w:pos="420"/>
              </w:tabs>
              <w:jc w:val="center"/>
              <w:rPr>
                <w:rFonts w:ascii="宋体" w:hAnsi="宋体"/>
                <w:sz w:val="21"/>
                <w:szCs w:val="21"/>
              </w:rPr>
            </w:pPr>
          </w:p>
        </w:tc>
      </w:tr>
      <w:tr w14:paraId="4A4C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continue"/>
            <w:noWrap w:val="0"/>
            <w:vAlign w:val="center"/>
          </w:tcPr>
          <w:p w14:paraId="73CEE50F">
            <w:pPr>
              <w:tabs>
                <w:tab w:val="left" w:pos="420"/>
              </w:tabs>
              <w:jc w:val="center"/>
              <w:rPr>
                <w:rFonts w:ascii="宋体" w:hAnsi="宋体"/>
                <w:sz w:val="21"/>
                <w:szCs w:val="21"/>
              </w:rPr>
            </w:pPr>
          </w:p>
        </w:tc>
        <w:tc>
          <w:tcPr>
            <w:tcW w:w="2314" w:type="dxa"/>
            <w:noWrap w:val="0"/>
            <w:vAlign w:val="center"/>
          </w:tcPr>
          <w:p w14:paraId="004771B6">
            <w:pPr>
              <w:tabs>
                <w:tab w:val="left" w:pos="420"/>
              </w:tabs>
              <w:jc w:val="center"/>
              <w:rPr>
                <w:rFonts w:ascii="宋体" w:hAnsi="宋体"/>
                <w:sz w:val="21"/>
                <w:szCs w:val="21"/>
              </w:rPr>
            </w:pPr>
          </w:p>
        </w:tc>
        <w:tc>
          <w:tcPr>
            <w:tcW w:w="3262" w:type="dxa"/>
            <w:noWrap w:val="0"/>
            <w:vAlign w:val="center"/>
          </w:tcPr>
          <w:p w14:paraId="67978B06">
            <w:pPr>
              <w:tabs>
                <w:tab w:val="left" w:pos="420"/>
              </w:tabs>
              <w:jc w:val="center"/>
              <w:rPr>
                <w:rFonts w:ascii="宋体" w:hAnsi="宋体"/>
                <w:sz w:val="21"/>
                <w:szCs w:val="21"/>
              </w:rPr>
            </w:pPr>
          </w:p>
        </w:tc>
        <w:tc>
          <w:tcPr>
            <w:tcW w:w="2416" w:type="dxa"/>
            <w:noWrap w:val="0"/>
            <w:vAlign w:val="center"/>
          </w:tcPr>
          <w:p w14:paraId="3F7B0CB6">
            <w:pPr>
              <w:tabs>
                <w:tab w:val="left" w:pos="420"/>
              </w:tabs>
              <w:jc w:val="center"/>
              <w:rPr>
                <w:rFonts w:ascii="宋体" w:hAnsi="宋体"/>
                <w:sz w:val="21"/>
                <w:szCs w:val="21"/>
              </w:rPr>
            </w:pPr>
          </w:p>
        </w:tc>
      </w:tr>
      <w:tr w14:paraId="6D375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restart"/>
            <w:noWrap w:val="0"/>
            <w:vAlign w:val="center"/>
          </w:tcPr>
          <w:p w14:paraId="250D455B">
            <w:pPr>
              <w:tabs>
                <w:tab w:val="left" w:pos="420"/>
              </w:tabs>
              <w:jc w:val="center"/>
              <w:rPr>
                <w:rFonts w:ascii="宋体" w:hAnsi="宋体" w:cs="宋体"/>
                <w:sz w:val="21"/>
                <w:szCs w:val="21"/>
              </w:rPr>
            </w:pPr>
            <w:r>
              <w:rPr>
                <w:rFonts w:hint="eastAsia" w:ascii="宋体" w:hAnsi="宋体" w:cs="宋体"/>
                <w:sz w:val="21"/>
                <w:szCs w:val="21"/>
              </w:rPr>
              <w:t>理赔</w:t>
            </w:r>
          </w:p>
          <w:p w14:paraId="3F1AB3F1">
            <w:pPr>
              <w:tabs>
                <w:tab w:val="left" w:pos="420"/>
              </w:tabs>
              <w:jc w:val="center"/>
              <w:rPr>
                <w:rFonts w:ascii="宋体" w:hAnsi="宋体"/>
                <w:sz w:val="21"/>
                <w:szCs w:val="21"/>
              </w:rPr>
            </w:pPr>
            <w:r>
              <w:rPr>
                <w:rFonts w:hint="eastAsia" w:ascii="宋体" w:hAnsi="宋体" w:cs="宋体"/>
                <w:sz w:val="21"/>
                <w:szCs w:val="21"/>
              </w:rPr>
              <w:t>小组</w:t>
            </w:r>
          </w:p>
        </w:tc>
        <w:tc>
          <w:tcPr>
            <w:tcW w:w="2314" w:type="dxa"/>
            <w:noWrap w:val="0"/>
            <w:vAlign w:val="center"/>
          </w:tcPr>
          <w:p w14:paraId="352BF0BB">
            <w:pPr>
              <w:tabs>
                <w:tab w:val="left" w:pos="420"/>
              </w:tabs>
              <w:jc w:val="center"/>
              <w:rPr>
                <w:rFonts w:ascii="宋体" w:hAnsi="宋体"/>
                <w:sz w:val="21"/>
                <w:szCs w:val="21"/>
              </w:rPr>
            </w:pPr>
          </w:p>
        </w:tc>
        <w:tc>
          <w:tcPr>
            <w:tcW w:w="3262" w:type="dxa"/>
            <w:noWrap w:val="0"/>
            <w:vAlign w:val="center"/>
          </w:tcPr>
          <w:p w14:paraId="1F3420D3">
            <w:pPr>
              <w:tabs>
                <w:tab w:val="left" w:pos="420"/>
              </w:tabs>
              <w:jc w:val="center"/>
              <w:rPr>
                <w:rFonts w:ascii="宋体" w:hAnsi="宋体"/>
                <w:sz w:val="21"/>
                <w:szCs w:val="21"/>
              </w:rPr>
            </w:pPr>
          </w:p>
        </w:tc>
        <w:tc>
          <w:tcPr>
            <w:tcW w:w="2416" w:type="dxa"/>
            <w:noWrap w:val="0"/>
            <w:vAlign w:val="center"/>
          </w:tcPr>
          <w:p w14:paraId="615CA7D4">
            <w:pPr>
              <w:tabs>
                <w:tab w:val="left" w:pos="420"/>
              </w:tabs>
              <w:jc w:val="center"/>
              <w:rPr>
                <w:rFonts w:ascii="宋体" w:hAnsi="宋体"/>
                <w:sz w:val="21"/>
                <w:szCs w:val="21"/>
              </w:rPr>
            </w:pPr>
          </w:p>
        </w:tc>
      </w:tr>
      <w:tr w14:paraId="1992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continue"/>
            <w:noWrap w:val="0"/>
            <w:vAlign w:val="center"/>
          </w:tcPr>
          <w:p w14:paraId="552A8C0D">
            <w:pPr>
              <w:tabs>
                <w:tab w:val="left" w:pos="420"/>
              </w:tabs>
              <w:jc w:val="center"/>
              <w:rPr>
                <w:rFonts w:ascii="宋体" w:hAnsi="宋体"/>
                <w:sz w:val="21"/>
                <w:szCs w:val="21"/>
              </w:rPr>
            </w:pPr>
          </w:p>
        </w:tc>
        <w:tc>
          <w:tcPr>
            <w:tcW w:w="2314" w:type="dxa"/>
            <w:noWrap w:val="0"/>
            <w:vAlign w:val="center"/>
          </w:tcPr>
          <w:p w14:paraId="3FD85A1A">
            <w:pPr>
              <w:tabs>
                <w:tab w:val="left" w:pos="420"/>
              </w:tabs>
              <w:jc w:val="center"/>
              <w:rPr>
                <w:rFonts w:ascii="宋体" w:hAnsi="宋体"/>
                <w:sz w:val="21"/>
                <w:szCs w:val="21"/>
              </w:rPr>
            </w:pPr>
          </w:p>
        </w:tc>
        <w:tc>
          <w:tcPr>
            <w:tcW w:w="3262" w:type="dxa"/>
            <w:noWrap w:val="0"/>
            <w:vAlign w:val="center"/>
          </w:tcPr>
          <w:p w14:paraId="07049E4C">
            <w:pPr>
              <w:tabs>
                <w:tab w:val="left" w:pos="420"/>
              </w:tabs>
              <w:jc w:val="center"/>
              <w:rPr>
                <w:rFonts w:ascii="宋体" w:hAnsi="宋体"/>
                <w:sz w:val="21"/>
                <w:szCs w:val="21"/>
              </w:rPr>
            </w:pPr>
          </w:p>
        </w:tc>
        <w:tc>
          <w:tcPr>
            <w:tcW w:w="2416" w:type="dxa"/>
            <w:noWrap w:val="0"/>
            <w:vAlign w:val="center"/>
          </w:tcPr>
          <w:p w14:paraId="548E8517">
            <w:pPr>
              <w:tabs>
                <w:tab w:val="left" w:pos="420"/>
              </w:tabs>
              <w:jc w:val="center"/>
              <w:rPr>
                <w:rFonts w:ascii="宋体" w:hAnsi="宋体"/>
                <w:sz w:val="21"/>
                <w:szCs w:val="21"/>
              </w:rPr>
            </w:pPr>
          </w:p>
        </w:tc>
      </w:tr>
      <w:tr w14:paraId="79CE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continue"/>
            <w:noWrap w:val="0"/>
            <w:vAlign w:val="center"/>
          </w:tcPr>
          <w:p w14:paraId="28F54C2C">
            <w:pPr>
              <w:tabs>
                <w:tab w:val="left" w:pos="420"/>
              </w:tabs>
              <w:jc w:val="center"/>
              <w:rPr>
                <w:rFonts w:ascii="宋体" w:hAnsi="宋体"/>
                <w:sz w:val="21"/>
                <w:szCs w:val="21"/>
              </w:rPr>
            </w:pPr>
          </w:p>
        </w:tc>
        <w:tc>
          <w:tcPr>
            <w:tcW w:w="2314" w:type="dxa"/>
            <w:noWrap w:val="0"/>
            <w:vAlign w:val="center"/>
          </w:tcPr>
          <w:p w14:paraId="66974006">
            <w:pPr>
              <w:tabs>
                <w:tab w:val="left" w:pos="420"/>
              </w:tabs>
              <w:jc w:val="center"/>
              <w:rPr>
                <w:rFonts w:ascii="宋体" w:hAnsi="宋体"/>
                <w:sz w:val="21"/>
                <w:szCs w:val="21"/>
              </w:rPr>
            </w:pPr>
          </w:p>
        </w:tc>
        <w:tc>
          <w:tcPr>
            <w:tcW w:w="3262" w:type="dxa"/>
            <w:noWrap w:val="0"/>
            <w:vAlign w:val="center"/>
          </w:tcPr>
          <w:p w14:paraId="42449C56">
            <w:pPr>
              <w:tabs>
                <w:tab w:val="left" w:pos="420"/>
              </w:tabs>
              <w:jc w:val="center"/>
              <w:rPr>
                <w:rFonts w:ascii="宋体" w:hAnsi="宋体"/>
                <w:sz w:val="21"/>
                <w:szCs w:val="21"/>
              </w:rPr>
            </w:pPr>
          </w:p>
        </w:tc>
        <w:tc>
          <w:tcPr>
            <w:tcW w:w="2416" w:type="dxa"/>
            <w:noWrap w:val="0"/>
            <w:vAlign w:val="center"/>
          </w:tcPr>
          <w:p w14:paraId="779CE855">
            <w:pPr>
              <w:tabs>
                <w:tab w:val="left" w:pos="420"/>
              </w:tabs>
              <w:jc w:val="center"/>
              <w:rPr>
                <w:rFonts w:ascii="宋体" w:hAnsi="宋体"/>
                <w:sz w:val="21"/>
                <w:szCs w:val="21"/>
              </w:rPr>
            </w:pPr>
          </w:p>
        </w:tc>
      </w:tr>
      <w:tr w14:paraId="37B32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388" w:type="dxa"/>
            <w:vMerge w:val="continue"/>
            <w:noWrap w:val="0"/>
            <w:vAlign w:val="center"/>
          </w:tcPr>
          <w:p w14:paraId="2633D19B">
            <w:pPr>
              <w:tabs>
                <w:tab w:val="left" w:pos="420"/>
              </w:tabs>
              <w:jc w:val="center"/>
              <w:rPr>
                <w:rFonts w:ascii="宋体" w:hAnsi="宋体"/>
                <w:sz w:val="21"/>
                <w:szCs w:val="21"/>
              </w:rPr>
            </w:pPr>
          </w:p>
        </w:tc>
        <w:tc>
          <w:tcPr>
            <w:tcW w:w="2314" w:type="dxa"/>
            <w:noWrap w:val="0"/>
            <w:vAlign w:val="center"/>
          </w:tcPr>
          <w:p w14:paraId="18FF0A00">
            <w:pPr>
              <w:tabs>
                <w:tab w:val="left" w:pos="420"/>
              </w:tabs>
              <w:jc w:val="center"/>
              <w:rPr>
                <w:rFonts w:ascii="宋体" w:hAnsi="宋体"/>
                <w:sz w:val="21"/>
                <w:szCs w:val="21"/>
              </w:rPr>
            </w:pPr>
          </w:p>
        </w:tc>
        <w:tc>
          <w:tcPr>
            <w:tcW w:w="3262" w:type="dxa"/>
            <w:noWrap w:val="0"/>
            <w:vAlign w:val="center"/>
          </w:tcPr>
          <w:p w14:paraId="24EAC964">
            <w:pPr>
              <w:tabs>
                <w:tab w:val="left" w:pos="420"/>
              </w:tabs>
              <w:jc w:val="center"/>
              <w:rPr>
                <w:rFonts w:ascii="宋体" w:hAnsi="宋体"/>
                <w:sz w:val="21"/>
                <w:szCs w:val="21"/>
              </w:rPr>
            </w:pPr>
          </w:p>
        </w:tc>
        <w:tc>
          <w:tcPr>
            <w:tcW w:w="2416" w:type="dxa"/>
            <w:noWrap w:val="0"/>
            <w:vAlign w:val="center"/>
          </w:tcPr>
          <w:p w14:paraId="4E6A6F91">
            <w:pPr>
              <w:tabs>
                <w:tab w:val="left" w:pos="420"/>
              </w:tabs>
              <w:jc w:val="center"/>
              <w:rPr>
                <w:rFonts w:ascii="宋体" w:hAnsi="宋体"/>
                <w:sz w:val="21"/>
                <w:szCs w:val="21"/>
              </w:rPr>
            </w:pPr>
          </w:p>
        </w:tc>
      </w:tr>
      <w:tr w14:paraId="6FB4F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trPr>
        <w:tc>
          <w:tcPr>
            <w:tcW w:w="1388" w:type="dxa"/>
            <w:vMerge w:val="continue"/>
            <w:noWrap w:val="0"/>
            <w:vAlign w:val="center"/>
          </w:tcPr>
          <w:p w14:paraId="712BB445">
            <w:pPr>
              <w:tabs>
                <w:tab w:val="left" w:pos="420"/>
              </w:tabs>
              <w:jc w:val="center"/>
              <w:rPr>
                <w:rFonts w:ascii="宋体" w:hAnsi="宋体"/>
                <w:sz w:val="21"/>
                <w:szCs w:val="21"/>
              </w:rPr>
            </w:pPr>
          </w:p>
        </w:tc>
        <w:tc>
          <w:tcPr>
            <w:tcW w:w="2314" w:type="dxa"/>
            <w:noWrap w:val="0"/>
            <w:vAlign w:val="center"/>
          </w:tcPr>
          <w:p w14:paraId="3918E402">
            <w:pPr>
              <w:tabs>
                <w:tab w:val="left" w:pos="420"/>
              </w:tabs>
              <w:jc w:val="center"/>
              <w:rPr>
                <w:rFonts w:ascii="宋体" w:hAnsi="宋体"/>
                <w:sz w:val="21"/>
                <w:szCs w:val="21"/>
              </w:rPr>
            </w:pPr>
          </w:p>
        </w:tc>
        <w:tc>
          <w:tcPr>
            <w:tcW w:w="3262" w:type="dxa"/>
            <w:noWrap w:val="0"/>
            <w:vAlign w:val="center"/>
          </w:tcPr>
          <w:p w14:paraId="5D12D97D">
            <w:pPr>
              <w:tabs>
                <w:tab w:val="left" w:pos="420"/>
              </w:tabs>
              <w:jc w:val="center"/>
              <w:rPr>
                <w:rFonts w:ascii="宋体" w:hAnsi="宋体"/>
                <w:sz w:val="21"/>
                <w:szCs w:val="21"/>
              </w:rPr>
            </w:pPr>
          </w:p>
        </w:tc>
        <w:tc>
          <w:tcPr>
            <w:tcW w:w="2416" w:type="dxa"/>
            <w:noWrap w:val="0"/>
            <w:vAlign w:val="center"/>
          </w:tcPr>
          <w:p w14:paraId="3B0480F3">
            <w:pPr>
              <w:tabs>
                <w:tab w:val="left" w:pos="420"/>
              </w:tabs>
              <w:jc w:val="center"/>
              <w:rPr>
                <w:rFonts w:ascii="宋体" w:hAnsi="宋体"/>
                <w:sz w:val="21"/>
                <w:szCs w:val="21"/>
              </w:rPr>
            </w:pPr>
          </w:p>
        </w:tc>
      </w:tr>
    </w:tbl>
    <w:p w14:paraId="4C0A40E9">
      <w:pPr>
        <w:rPr>
          <w:rFonts w:ascii="宋体" w:hAnsi="宋体"/>
        </w:rPr>
      </w:pPr>
    </w:p>
    <w:p w14:paraId="44AA62A3">
      <w:pPr>
        <w:pStyle w:val="17"/>
        <w:adjustRightInd w:val="0"/>
        <w:snapToGrid w:val="0"/>
        <w:spacing w:line="360" w:lineRule="auto"/>
        <w:ind w:right="420" w:firstLine="4920" w:firstLineChars="2050"/>
        <w:rPr>
          <w:rFonts w:hint="eastAsia" w:hAnsi="宋体" w:cs="宋体"/>
          <w:color w:val="000000"/>
          <w:sz w:val="24"/>
        </w:rPr>
      </w:pPr>
    </w:p>
    <w:p w14:paraId="76A2A08F">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512ACAF7">
      <w:pPr>
        <w:keepNext w:val="0"/>
        <w:keepLines w:val="0"/>
        <w:pageBreakBefore w:val="0"/>
        <w:widowControl w:val="0"/>
        <w:kinsoku/>
        <w:wordWrap/>
        <w:overflowPunct/>
        <w:topLinePunct w:val="0"/>
        <w:autoSpaceDE/>
        <w:autoSpaceDN/>
        <w:bidi w:val="0"/>
        <w:adjustRightInd/>
        <w:snapToGrid/>
        <w:jc w:val="both"/>
        <w:textAlignment w:val="auto"/>
        <w:rPr>
          <w:rFonts w:ascii="宋体" w:hAnsi="宋体"/>
        </w:rPr>
      </w:pPr>
      <w:r>
        <w:rPr>
          <w:rFonts w:hint="eastAsia" w:ascii="宋体" w:hAnsi="宋体" w:cs="宋体"/>
          <w:color w:val="000000"/>
          <w:sz w:val="24"/>
          <w:szCs w:val="21"/>
        </w:rPr>
        <w:t>日期：</w:t>
      </w:r>
      <w:r>
        <w:rPr>
          <w:rFonts w:hint="eastAsia" w:ascii="宋体" w:hAnsi="宋体" w:cs="宋体"/>
          <w:color w:val="000000"/>
          <w:sz w:val="24"/>
          <w:szCs w:val="21"/>
          <w:u w:val="single"/>
        </w:rPr>
        <w:t xml:space="preserve">      </w:t>
      </w:r>
      <w:r>
        <w:rPr>
          <w:rFonts w:hint="eastAsia" w:ascii="宋体" w:hAnsi="宋体" w:cs="宋体"/>
          <w:color w:val="000000"/>
          <w:sz w:val="24"/>
          <w:szCs w:val="21"/>
        </w:rPr>
        <w:t>年</w:t>
      </w:r>
      <w:r>
        <w:rPr>
          <w:rFonts w:hint="eastAsia" w:ascii="宋体" w:hAnsi="宋体" w:cs="宋体"/>
          <w:color w:val="000000"/>
          <w:sz w:val="24"/>
          <w:szCs w:val="21"/>
          <w:u w:val="single"/>
        </w:rPr>
        <w:t xml:space="preserve">        </w:t>
      </w:r>
      <w:r>
        <w:rPr>
          <w:rFonts w:hint="eastAsia" w:ascii="宋体" w:hAnsi="宋体" w:cs="宋体"/>
          <w:color w:val="000000"/>
          <w:sz w:val="24"/>
          <w:szCs w:val="21"/>
        </w:rPr>
        <w:t>月</w:t>
      </w:r>
      <w:r>
        <w:rPr>
          <w:rFonts w:hint="eastAsia" w:ascii="宋体" w:hAnsi="宋体" w:cs="宋体"/>
          <w:color w:val="000000"/>
          <w:sz w:val="24"/>
          <w:szCs w:val="21"/>
          <w:u w:val="single"/>
        </w:rPr>
        <w:t xml:space="preserve">      </w:t>
      </w:r>
      <w:r>
        <w:rPr>
          <w:rFonts w:hint="eastAsia" w:ascii="宋体" w:hAnsi="宋体" w:cs="宋体"/>
          <w:color w:val="000000"/>
          <w:sz w:val="24"/>
          <w:szCs w:val="21"/>
        </w:rPr>
        <w:t>日</w:t>
      </w:r>
    </w:p>
    <w:p w14:paraId="6F23DDFD">
      <w:pPr>
        <w:rPr>
          <w:rFonts w:hint="eastAsia" w:ascii="宋体" w:hAnsi="宋体" w:eastAsia="宋体" w:cs="宋体"/>
          <w:b/>
          <w:sz w:val="28"/>
          <w:szCs w:val="28"/>
        </w:rPr>
      </w:pPr>
    </w:p>
    <w:p w14:paraId="2294C581">
      <w:pPr>
        <w:rPr>
          <w:rFonts w:hint="eastAsia" w:ascii="宋体" w:hAnsi="宋体" w:eastAsia="宋体" w:cs="宋体"/>
          <w:b/>
          <w:sz w:val="28"/>
          <w:szCs w:val="28"/>
        </w:rPr>
      </w:pPr>
      <w:r>
        <w:rPr>
          <w:rFonts w:hint="eastAsia" w:ascii="宋体" w:hAnsi="宋体" w:eastAsia="宋体" w:cs="宋体"/>
          <w:b/>
          <w:sz w:val="28"/>
          <w:szCs w:val="28"/>
        </w:rPr>
        <w:br w:type="page"/>
      </w:r>
    </w:p>
    <w:p w14:paraId="6444E807">
      <w:pPr>
        <w:spacing w:before="326" w:beforeLines="100" w:after="163" w:afterLines="50"/>
        <w:jc w:val="center"/>
        <w:outlineLvl w:val="1"/>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七</w:t>
      </w:r>
      <w:r>
        <w:rPr>
          <w:rFonts w:hint="eastAsia" w:ascii="宋体" w:hAnsi="宋体" w:eastAsia="宋体" w:cs="宋体"/>
          <w:b/>
          <w:sz w:val="28"/>
          <w:szCs w:val="28"/>
        </w:rPr>
        <w:t>、</w:t>
      </w:r>
      <w:bookmarkEnd w:id="456"/>
      <w:bookmarkEnd w:id="457"/>
      <w:bookmarkEnd w:id="458"/>
      <w:bookmarkStart w:id="462" w:name="_Toc26441"/>
      <w:bookmarkStart w:id="463" w:name="_Toc45177878"/>
      <w:r>
        <w:rPr>
          <w:rFonts w:hint="eastAsia" w:ascii="宋体" w:hAnsi="宋体" w:eastAsia="宋体" w:cs="宋体"/>
          <w:b/>
          <w:sz w:val="28"/>
          <w:szCs w:val="28"/>
          <w:lang w:val="en-US" w:eastAsia="zh-CN"/>
        </w:rPr>
        <w:t>项目服务方案</w:t>
      </w:r>
    </w:p>
    <w:bookmarkEnd w:id="462"/>
    <w:bookmarkEnd w:id="463"/>
    <w:p w14:paraId="3ADE02CB">
      <w:pPr>
        <w:rPr>
          <w:rFonts w:hint="eastAsia" w:ascii="宋体" w:hAnsi="宋体" w:eastAsia="宋体" w:cs="宋体"/>
          <w:b/>
          <w:sz w:val="28"/>
          <w:szCs w:val="28"/>
        </w:rPr>
      </w:pPr>
      <w:bookmarkStart w:id="464" w:name="_Toc11671"/>
      <w:bookmarkStart w:id="465" w:name="_Toc22443"/>
      <w:bookmarkStart w:id="466" w:name="_Toc45177879"/>
    </w:p>
    <w:p w14:paraId="140CA018">
      <w:pPr>
        <w:rPr>
          <w:rFonts w:hint="eastAsia" w:ascii="宋体" w:hAnsi="宋体" w:eastAsia="宋体" w:cs="宋体"/>
          <w:b/>
          <w:sz w:val="28"/>
          <w:szCs w:val="28"/>
          <w:lang w:val="en-US" w:eastAsia="zh-CN"/>
        </w:rPr>
      </w:pPr>
      <w:r>
        <w:rPr>
          <w:rFonts w:hint="eastAsia" w:ascii="宋体" w:hAnsi="宋体" w:eastAsia="宋体" w:cs="宋体"/>
          <w:b/>
          <w:sz w:val="28"/>
          <w:szCs w:val="28"/>
        </w:rPr>
        <w:br w:type="page"/>
      </w:r>
    </w:p>
    <w:p w14:paraId="318BF206">
      <w:pPr>
        <w:spacing w:before="326" w:beforeLines="100" w:after="163" w:afterLines="50"/>
        <w:jc w:val="center"/>
        <w:outlineLvl w:val="1"/>
        <w:rPr>
          <w:rFonts w:hint="eastAsia" w:ascii="宋体" w:hAnsi="宋体" w:eastAsia="宋体" w:cs="宋体"/>
          <w:b/>
          <w:sz w:val="28"/>
          <w:szCs w:val="28"/>
        </w:rPr>
      </w:pPr>
      <w:r>
        <w:rPr>
          <w:rFonts w:hint="eastAsia" w:ascii="宋体" w:hAnsi="宋体" w:eastAsia="宋体" w:cs="宋体"/>
          <w:b/>
          <w:sz w:val="28"/>
          <w:szCs w:val="28"/>
          <w:lang w:val="en-US" w:eastAsia="zh-CN"/>
        </w:rPr>
        <w:t>八</w:t>
      </w:r>
      <w:r>
        <w:rPr>
          <w:rFonts w:hint="eastAsia" w:ascii="宋体" w:hAnsi="宋体" w:eastAsia="宋体" w:cs="宋体"/>
          <w:b/>
          <w:sz w:val="28"/>
          <w:szCs w:val="28"/>
        </w:rPr>
        <w:t>、其他材料</w:t>
      </w:r>
      <w:bookmarkEnd w:id="464"/>
      <w:bookmarkEnd w:id="465"/>
      <w:bookmarkEnd w:id="466"/>
    </w:p>
    <w:p w14:paraId="16C6E224">
      <w:pPr>
        <w:spacing w:before="163" w:beforeLines="50" w:after="163" w:afterLines="50" w:line="360" w:lineRule="auto"/>
        <w:jc w:val="center"/>
        <w:outlineLvl w:val="2"/>
        <w:rPr>
          <w:b w:val="0"/>
          <w:bCs w:val="0"/>
          <w:sz w:val="24"/>
          <w:szCs w:val="24"/>
        </w:rPr>
      </w:pPr>
      <w:bookmarkStart w:id="467" w:name="_Toc18554"/>
      <w:bookmarkStart w:id="468" w:name="_Toc15575"/>
      <w:bookmarkStart w:id="469" w:name="_Toc5030"/>
      <w:bookmarkStart w:id="470" w:name="_Toc9728"/>
      <w:bookmarkStart w:id="471" w:name="_Toc18024_WPSOffice_Level3"/>
      <w:r>
        <w:rPr>
          <w:b w:val="0"/>
          <w:bCs w:val="0"/>
          <w:sz w:val="24"/>
          <w:szCs w:val="24"/>
        </w:rPr>
        <w:t>（</w:t>
      </w:r>
      <w:r>
        <w:rPr>
          <w:rFonts w:eastAsia="宋体"/>
          <w:b w:val="0"/>
          <w:bCs w:val="0"/>
          <w:sz w:val="24"/>
          <w:szCs w:val="24"/>
        </w:rPr>
        <w:t>一</w:t>
      </w:r>
      <w:r>
        <w:rPr>
          <w:b w:val="0"/>
          <w:bCs w:val="0"/>
          <w:sz w:val="24"/>
          <w:szCs w:val="24"/>
        </w:rPr>
        <w:t>）近年完成的类似项目情况表</w:t>
      </w:r>
      <w:bookmarkEnd w:id="467"/>
      <w:bookmarkEnd w:id="468"/>
    </w:p>
    <w:tbl>
      <w:tblPr>
        <w:tblStyle w:val="34"/>
        <w:tblW w:w="9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577"/>
        <w:gridCol w:w="1267"/>
        <w:gridCol w:w="1297"/>
        <w:gridCol w:w="1244"/>
        <w:gridCol w:w="1093"/>
        <w:gridCol w:w="1668"/>
      </w:tblGrid>
      <w:tr w14:paraId="2EAA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644" w:type="dxa"/>
            <w:noWrap w:val="0"/>
            <w:vAlign w:val="center"/>
          </w:tcPr>
          <w:p w14:paraId="21292BBC">
            <w:pPr>
              <w:widowControl/>
              <w:jc w:val="center"/>
              <w:rPr>
                <w:rFonts w:eastAsia="新宋体"/>
                <w:bCs/>
                <w:kern w:val="0"/>
                <w:sz w:val="21"/>
                <w:szCs w:val="21"/>
                <w:lang w:bidi="en-US"/>
              </w:rPr>
            </w:pPr>
            <w:r>
              <w:rPr>
                <w:rFonts w:eastAsia="新宋体"/>
                <w:bCs/>
                <w:kern w:val="0"/>
                <w:sz w:val="21"/>
                <w:szCs w:val="21"/>
                <w:lang w:bidi="en-US"/>
              </w:rPr>
              <w:t>序号</w:t>
            </w:r>
          </w:p>
        </w:tc>
        <w:tc>
          <w:tcPr>
            <w:tcW w:w="2577" w:type="dxa"/>
            <w:noWrap w:val="0"/>
            <w:vAlign w:val="center"/>
          </w:tcPr>
          <w:p w14:paraId="317F7737">
            <w:pPr>
              <w:widowControl/>
              <w:jc w:val="center"/>
              <w:rPr>
                <w:rFonts w:eastAsia="新宋体"/>
                <w:bCs/>
                <w:kern w:val="0"/>
                <w:sz w:val="21"/>
                <w:szCs w:val="21"/>
                <w:lang w:bidi="en-US"/>
              </w:rPr>
            </w:pPr>
            <w:r>
              <w:rPr>
                <w:rFonts w:eastAsia="新宋体"/>
                <w:bCs/>
                <w:kern w:val="0"/>
                <w:sz w:val="21"/>
                <w:szCs w:val="21"/>
                <w:lang w:bidi="en-US"/>
              </w:rPr>
              <w:t>项目名称</w:t>
            </w:r>
          </w:p>
        </w:tc>
        <w:tc>
          <w:tcPr>
            <w:tcW w:w="1267" w:type="dxa"/>
            <w:noWrap w:val="0"/>
            <w:vAlign w:val="center"/>
          </w:tcPr>
          <w:p w14:paraId="755BD5DB">
            <w:pPr>
              <w:widowControl/>
              <w:jc w:val="center"/>
              <w:rPr>
                <w:rFonts w:eastAsia="新宋体"/>
                <w:bCs/>
                <w:kern w:val="0"/>
                <w:sz w:val="21"/>
                <w:szCs w:val="21"/>
                <w:lang w:bidi="en-US"/>
              </w:rPr>
            </w:pPr>
            <w:r>
              <w:rPr>
                <w:rFonts w:eastAsia="新宋体"/>
                <w:bCs/>
                <w:kern w:val="0"/>
                <w:sz w:val="21"/>
                <w:szCs w:val="21"/>
                <w:lang w:bidi="en-US"/>
              </w:rPr>
              <w:t>项目负责人</w:t>
            </w:r>
          </w:p>
        </w:tc>
        <w:tc>
          <w:tcPr>
            <w:tcW w:w="1297" w:type="dxa"/>
            <w:noWrap w:val="0"/>
            <w:vAlign w:val="center"/>
          </w:tcPr>
          <w:p w14:paraId="4635FAF3">
            <w:pPr>
              <w:widowControl/>
              <w:jc w:val="center"/>
              <w:rPr>
                <w:rFonts w:eastAsia="新宋体"/>
                <w:bCs/>
                <w:kern w:val="0"/>
                <w:sz w:val="21"/>
                <w:szCs w:val="21"/>
                <w:lang w:bidi="en-US"/>
              </w:rPr>
            </w:pPr>
            <w:r>
              <w:rPr>
                <w:rFonts w:eastAsia="新宋体"/>
                <w:bCs/>
                <w:kern w:val="0"/>
                <w:sz w:val="21"/>
                <w:szCs w:val="21"/>
                <w:lang w:bidi="en-US"/>
              </w:rPr>
              <w:t>合同金额</w:t>
            </w:r>
          </w:p>
          <w:p w14:paraId="53177A55">
            <w:pPr>
              <w:autoSpaceDE w:val="0"/>
              <w:autoSpaceDN w:val="0"/>
              <w:adjustRightInd w:val="0"/>
              <w:ind w:firstLine="210"/>
              <w:jc w:val="center"/>
              <w:rPr>
                <w:color w:val="000000"/>
                <w:kern w:val="0"/>
                <w:sz w:val="21"/>
                <w:szCs w:val="21"/>
              </w:rPr>
            </w:pPr>
            <w:r>
              <w:rPr>
                <w:rFonts w:eastAsia="新宋体"/>
                <w:bCs/>
                <w:color w:val="000000"/>
                <w:kern w:val="0"/>
                <w:sz w:val="21"/>
                <w:szCs w:val="21"/>
                <w:lang w:bidi="en-US"/>
              </w:rPr>
              <w:t>（万元）</w:t>
            </w:r>
          </w:p>
        </w:tc>
        <w:tc>
          <w:tcPr>
            <w:tcW w:w="1244" w:type="dxa"/>
            <w:noWrap w:val="0"/>
            <w:vAlign w:val="center"/>
          </w:tcPr>
          <w:p w14:paraId="09D665BB">
            <w:pPr>
              <w:widowControl/>
              <w:jc w:val="center"/>
              <w:rPr>
                <w:rFonts w:eastAsia="新宋体"/>
                <w:bCs/>
                <w:kern w:val="0"/>
                <w:sz w:val="21"/>
                <w:szCs w:val="21"/>
                <w:lang w:bidi="en-US"/>
              </w:rPr>
            </w:pPr>
            <w:r>
              <w:rPr>
                <w:rFonts w:eastAsia="新宋体"/>
                <w:bCs/>
                <w:kern w:val="0"/>
                <w:sz w:val="21"/>
                <w:szCs w:val="21"/>
                <w:lang w:bidi="en-US"/>
              </w:rPr>
              <w:t>合同签订日期</w:t>
            </w:r>
          </w:p>
        </w:tc>
        <w:tc>
          <w:tcPr>
            <w:tcW w:w="1093" w:type="dxa"/>
            <w:noWrap w:val="0"/>
            <w:vAlign w:val="center"/>
          </w:tcPr>
          <w:p w14:paraId="1DD43DC6">
            <w:pPr>
              <w:widowControl/>
              <w:jc w:val="center"/>
              <w:rPr>
                <w:rFonts w:eastAsia="新宋体"/>
                <w:bCs/>
                <w:kern w:val="0"/>
                <w:sz w:val="21"/>
                <w:szCs w:val="21"/>
                <w:lang w:bidi="en-US"/>
              </w:rPr>
            </w:pPr>
            <w:r>
              <w:rPr>
                <w:rFonts w:eastAsia="新宋体"/>
                <w:bCs/>
                <w:kern w:val="0"/>
                <w:sz w:val="21"/>
                <w:szCs w:val="21"/>
                <w:lang w:bidi="en-US"/>
              </w:rPr>
              <w:t>验收日期</w:t>
            </w:r>
          </w:p>
        </w:tc>
        <w:tc>
          <w:tcPr>
            <w:tcW w:w="1668" w:type="dxa"/>
            <w:noWrap w:val="0"/>
            <w:vAlign w:val="center"/>
          </w:tcPr>
          <w:p w14:paraId="31A3827D">
            <w:pPr>
              <w:widowControl/>
              <w:jc w:val="center"/>
              <w:rPr>
                <w:rFonts w:eastAsia="新宋体"/>
                <w:bCs/>
                <w:kern w:val="0"/>
                <w:sz w:val="21"/>
                <w:szCs w:val="21"/>
                <w:lang w:bidi="en-US"/>
              </w:rPr>
            </w:pPr>
            <w:r>
              <w:rPr>
                <w:rFonts w:eastAsia="新宋体"/>
                <w:bCs/>
                <w:kern w:val="0"/>
                <w:sz w:val="21"/>
                <w:szCs w:val="21"/>
                <w:lang w:bidi="en-US"/>
              </w:rPr>
              <w:t>中标公示查询媒体（如有）</w:t>
            </w:r>
          </w:p>
        </w:tc>
      </w:tr>
      <w:tr w14:paraId="7B69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7B10CEC7">
            <w:pPr>
              <w:widowControl/>
              <w:jc w:val="center"/>
              <w:rPr>
                <w:rFonts w:eastAsia="新宋体"/>
                <w:bCs/>
                <w:kern w:val="0"/>
                <w:sz w:val="21"/>
                <w:szCs w:val="21"/>
                <w:lang w:bidi="en-US"/>
              </w:rPr>
            </w:pPr>
          </w:p>
        </w:tc>
        <w:tc>
          <w:tcPr>
            <w:tcW w:w="2577" w:type="dxa"/>
            <w:noWrap w:val="0"/>
            <w:vAlign w:val="center"/>
          </w:tcPr>
          <w:p w14:paraId="4DDEDCAD">
            <w:pPr>
              <w:widowControl/>
              <w:jc w:val="center"/>
              <w:rPr>
                <w:rFonts w:eastAsia="新宋体"/>
                <w:bCs/>
                <w:kern w:val="0"/>
                <w:sz w:val="21"/>
                <w:szCs w:val="21"/>
                <w:lang w:bidi="en-US"/>
              </w:rPr>
            </w:pPr>
          </w:p>
        </w:tc>
        <w:tc>
          <w:tcPr>
            <w:tcW w:w="1267" w:type="dxa"/>
            <w:noWrap w:val="0"/>
            <w:vAlign w:val="center"/>
          </w:tcPr>
          <w:p w14:paraId="0BDD71AA">
            <w:pPr>
              <w:widowControl/>
              <w:jc w:val="center"/>
              <w:rPr>
                <w:rFonts w:eastAsia="新宋体"/>
                <w:bCs/>
                <w:kern w:val="0"/>
                <w:sz w:val="21"/>
                <w:szCs w:val="21"/>
                <w:lang w:bidi="en-US"/>
              </w:rPr>
            </w:pPr>
          </w:p>
        </w:tc>
        <w:tc>
          <w:tcPr>
            <w:tcW w:w="1297" w:type="dxa"/>
            <w:noWrap w:val="0"/>
            <w:vAlign w:val="center"/>
          </w:tcPr>
          <w:p w14:paraId="4A5DE04B">
            <w:pPr>
              <w:widowControl/>
              <w:jc w:val="center"/>
              <w:rPr>
                <w:rFonts w:eastAsia="新宋体"/>
                <w:bCs/>
                <w:kern w:val="0"/>
                <w:sz w:val="21"/>
                <w:szCs w:val="21"/>
                <w:lang w:bidi="en-US"/>
              </w:rPr>
            </w:pPr>
          </w:p>
        </w:tc>
        <w:tc>
          <w:tcPr>
            <w:tcW w:w="1244" w:type="dxa"/>
            <w:noWrap w:val="0"/>
            <w:vAlign w:val="center"/>
          </w:tcPr>
          <w:p w14:paraId="7855922E">
            <w:pPr>
              <w:widowControl/>
              <w:jc w:val="center"/>
              <w:rPr>
                <w:rFonts w:eastAsia="新宋体"/>
                <w:bCs/>
                <w:kern w:val="0"/>
                <w:sz w:val="21"/>
                <w:szCs w:val="21"/>
                <w:lang w:bidi="en-US"/>
              </w:rPr>
            </w:pPr>
          </w:p>
        </w:tc>
        <w:tc>
          <w:tcPr>
            <w:tcW w:w="1093" w:type="dxa"/>
            <w:noWrap w:val="0"/>
            <w:vAlign w:val="center"/>
          </w:tcPr>
          <w:p w14:paraId="01D89E6E">
            <w:pPr>
              <w:widowControl/>
              <w:jc w:val="center"/>
              <w:rPr>
                <w:rFonts w:eastAsia="新宋体"/>
                <w:bCs/>
                <w:kern w:val="0"/>
                <w:sz w:val="21"/>
                <w:szCs w:val="21"/>
                <w:lang w:bidi="en-US"/>
              </w:rPr>
            </w:pPr>
          </w:p>
        </w:tc>
        <w:tc>
          <w:tcPr>
            <w:tcW w:w="1668" w:type="dxa"/>
            <w:noWrap w:val="0"/>
            <w:vAlign w:val="center"/>
          </w:tcPr>
          <w:p w14:paraId="78256FF3">
            <w:pPr>
              <w:widowControl/>
              <w:jc w:val="center"/>
              <w:rPr>
                <w:rFonts w:eastAsia="新宋体"/>
                <w:bCs/>
                <w:kern w:val="0"/>
                <w:sz w:val="21"/>
                <w:szCs w:val="21"/>
                <w:lang w:bidi="en-US"/>
              </w:rPr>
            </w:pPr>
          </w:p>
        </w:tc>
      </w:tr>
      <w:tr w14:paraId="0218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7A05261E">
            <w:pPr>
              <w:widowControl/>
              <w:jc w:val="center"/>
              <w:rPr>
                <w:rFonts w:eastAsia="新宋体"/>
                <w:bCs/>
                <w:kern w:val="0"/>
                <w:sz w:val="21"/>
                <w:szCs w:val="21"/>
                <w:lang w:bidi="en-US"/>
              </w:rPr>
            </w:pPr>
          </w:p>
        </w:tc>
        <w:tc>
          <w:tcPr>
            <w:tcW w:w="2577" w:type="dxa"/>
            <w:noWrap w:val="0"/>
            <w:vAlign w:val="center"/>
          </w:tcPr>
          <w:p w14:paraId="7F586AAE">
            <w:pPr>
              <w:widowControl/>
              <w:jc w:val="center"/>
              <w:rPr>
                <w:rFonts w:eastAsia="新宋体"/>
                <w:bCs/>
                <w:kern w:val="0"/>
                <w:sz w:val="21"/>
                <w:szCs w:val="21"/>
                <w:lang w:bidi="en-US"/>
              </w:rPr>
            </w:pPr>
          </w:p>
        </w:tc>
        <w:tc>
          <w:tcPr>
            <w:tcW w:w="1267" w:type="dxa"/>
            <w:noWrap w:val="0"/>
            <w:vAlign w:val="center"/>
          </w:tcPr>
          <w:p w14:paraId="39D28B3C">
            <w:pPr>
              <w:widowControl/>
              <w:jc w:val="center"/>
              <w:rPr>
                <w:rFonts w:eastAsia="新宋体"/>
                <w:bCs/>
                <w:kern w:val="0"/>
                <w:sz w:val="21"/>
                <w:szCs w:val="21"/>
                <w:lang w:bidi="en-US"/>
              </w:rPr>
            </w:pPr>
          </w:p>
        </w:tc>
        <w:tc>
          <w:tcPr>
            <w:tcW w:w="1297" w:type="dxa"/>
            <w:noWrap w:val="0"/>
            <w:vAlign w:val="center"/>
          </w:tcPr>
          <w:p w14:paraId="6C4840E4">
            <w:pPr>
              <w:widowControl/>
              <w:jc w:val="center"/>
              <w:rPr>
                <w:rFonts w:eastAsia="新宋体"/>
                <w:bCs/>
                <w:kern w:val="0"/>
                <w:sz w:val="21"/>
                <w:szCs w:val="21"/>
                <w:lang w:bidi="en-US"/>
              </w:rPr>
            </w:pPr>
          </w:p>
        </w:tc>
        <w:tc>
          <w:tcPr>
            <w:tcW w:w="1244" w:type="dxa"/>
            <w:noWrap w:val="0"/>
            <w:vAlign w:val="center"/>
          </w:tcPr>
          <w:p w14:paraId="66C3D3E3">
            <w:pPr>
              <w:widowControl/>
              <w:jc w:val="center"/>
              <w:rPr>
                <w:rFonts w:eastAsia="新宋体"/>
                <w:bCs/>
                <w:kern w:val="0"/>
                <w:sz w:val="21"/>
                <w:szCs w:val="21"/>
                <w:lang w:bidi="en-US"/>
              </w:rPr>
            </w:pPr>
          </w:p>
        </w:tc>
        <w:tc>
          <w:tcPr>
            <w:tcW w:w="1093" w:type="dxa"/>
            <w:noWrap w:val="0"/>
            <w:vAlign w:val="center"/>
          </w:tcPr>
          <w:p w14:paraId="319326FE">
            <w:pPr>
              <w:widowControl/>
              <w:jc w:val="center"/>
              <w:rPr>
                <w:rFonts w:eastAsia="新宋体"/>
                <w:bCs/>
                <w:kern w:val="0"/>
                <w:sz w:val="21"/>
                <w:szCs w:val="21"/>
                <w:lang w:bidi="en-US"/>
              </w:rPr>
            </w:pPr>
          </w:p>
        </w:tc>
        <w:tc>
          <w:tcPr>
            <w:tcW w:w="1668" w:type="dxa"/>
            <w:noWrap w:val="0"/>
            <w:vAlign w:val="center"/>
          </w:tcPr>
          <w:p w14:paraId="629B3618">
            <w:pPr>
              <w:widowControl/>
              <w:jc w:val="center"/>
              <w:rPr>
                <w:rFonts w:eastAsia="新宋体"/>
                <w:bCs/>
                <w:kern w:val="0"/>
                <w:sz w:val="21"/>
                <w:szCs w:val="21"/>
                <w:lang w:bidi="en-US"/>
              </w:rPr>
            </w:pPr>
          </w:p>
        </w:tc>
      </w:tr>
      <w:tr w14:paraId="5CF5C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571D58A3">
            <w:pPr>
              <w:widowControl/>
              <w:jc w:val="center"/>
              <w:rPr>
                <w:rFonts w:eastAsia="新宋体"/>
                <w:bCs/>
                <w:kern w:val="0"/>
                <w:sz w:val="21"/>
                <w:szCs w:val="21"/>
                <w:lang w:bidi="en-US"/>
              </w:rPr>
            </w:pPr>
          </w:p>
        </w:tc>
        <w:tc>
          <w:tcPr>
            <w:tcW w:w="2577" w:type="dxa"/>
            <w:noWrap w:val="0"/>
            <w:vAlign w:val="center"/>
          </w:tcPr>
          <w:p w14:paraId="14CD0857">
            <w:pPr>
              <w:widowControl/>
              <w:jc w:val="center"/>
              <w:rPr>
                <w:rFonts w:eastAsia="新宋体"/>
                <w:bCs/>
                <w:kern w:val="0"/>
                <w:sz w:val="21"/>
                <w:szCs w:val="21"/>
                <w:lang w:bidi="en-US"/>
              </w:rPr>
            </w:pPr>
          </w:p>
        </w:tc>
        <w:tc>
          <w:tcPr>
            <w:tcW w:w="1267" w:type="dxa"/>
            <w:noWrap w:val="0"/>
            <w:vAlign w:val="center"/>
          </w:tcPr>
          <w:p w14:paraId="5A81272A">
            <w:pPr>
              <w:widowControl/>
              <w:jc w:val="center"/>
              <w:rPr>
                <w:rFonts w:eastAsia="新宋体"/>
                <w:bCs/>
                <w:kern w:val="0"/>
                <w:sz w:val="21"/>
                <w:szCs w:val="21"/>
                <w:lang w:bidi="en-US"/>
              </w:rPr>
            </w:pPr>
          </w:p>
        </w:tc>
        <w:tc>
          <w:tcPr>
            <w:tcW w:w="1297" w:type="dxa"/>
            <w:noWrap w:val="0"/>
            <w:vAlign w:val="center"/>
          </w:tcPr>
          <w:p w14:paraId="37945695">
            <w:pPr>
              <w:widowControl/>
              <w:jc w:val="center"/>
              <w:rPr>
                <w:rFonts w:eastAsia="新宋体"/>
                <w:bCs/>
                <w:kern w:val="0"/>
                <w:sz w:val="21"/>
                <w:szCs w:val="21"/>
                <w:lang w:bidi="en-US"/>
              </w:rPr>
            </w:pPr>
          </w:p>
        </w:tc>
        <w:tc>
          <w:tcPr>
            <w:tcW w:w="1244" w:type="dxa"/>
            <w:noWrap w:val="0"/>
            <w:vAlign w:val="center"/>
          </w:tcPr>
          <w:p w14:paraId="5E9F2DC2">
            <w:pPr>
              <w:widowControl/>
              <w:jc w:val="center"/>
              <w:rPr>
                <w:rFonts w:eastAsia="新宋体"/>
                <w:bCs/>
                <w:kern w:val="0"/>
                <w:sz w:val="21"/>
                <w:szCs w:val="21"/>
                <w:lang w:bidi="en-US"/>
              </w:rPr>
            </w:pPr>
          </w:p>
        </w:tc>
        <w:tc>
          <w:tcPr>
            <w:tcW w:w="1093" w:type="dxa"/>
            <w:noWrap w:val="0"/>
            <w:vAlign w:val="center"/>
          </w:tcPr>
          <w:p w14:paraId="16A0E848">
            <w:pPr>
              <w:widowControl/>
              <w:jc w:val="center"/>
              <w:rPr>
                <w:rFonts w:eastAsia="新宋体"/>
                <w:bCs/>
                <w:kern w:val="0"/>
                <w:sz w:val="21"/>
                <w:szCs w:val="21"/>
                <w:lang w:bidi="en-US"/>
              </w:rPr>
            </w:pPr>
          </w:p>
        </w:tc>
        <w:tc>
          <w:tcPr>
            <w:tcW w:w="1668" w:type="dxa"/>
            <w:noWrap w:val="0"/>
            <w:vAlign w:val="center"/>
          </w:tcPr>
          <w:p w14:paraId="1D9DDAA4">
            <w:pPr>
              <w:widowControl/>
              <w:jc w:val="center"/>
              <w:rPr>
                <w:rFonts w:eastAsia="新宋体"/>
                <w:bCs/>
                <w:kern w:val="0"/>
                <w:sz w:val="21"/>
                <w:szCs w:val="21"/>
                <w:lang w:bidi="en-US"/>
              </w:rPr>
            </w:pPr>
          </w:p>
        </w:tc>
      </w:tr>
      <w:tr w14:paraId="6A718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20D96CF9">
            <w:pPr>
              <w:widowControl/>
              <w:jc w:val="center"/>
              <w:rPr>
                <w:rFonts w:eastAsia="新宋体"/>
                <w:bCs/>
                <w:kern w:val="0"/>
                <w:sz w:val="21"/>
                <w:szCs w:val="21"/>
                <w:lang w:bidi="en-US"/>
              </w:rPr>
            </w:pPr>
          </w:p>
        </w:tc>
        <w:tc>
          <w:tcPr>
            <w:tcW w:w="2577" w:type="dxa"/>
            <w:noWrap w:val="0"/>
            <w:vAlign w:val="center"/>
          </w:tcPr>
          <w:p w14:paraId="603BACC8">
            <w:pPr>
              <w:widowControl/>
              <w:jc w:val="center"/>
              <w:rPr>
                <w:rFonts w:eastAsia="新宋体"/>
                <w:bCs/>
                <w:kern w:val="0"/>
                <w:sz w:val="21"/>
                <w:szCs w:val="21"/>
                <w:lang w:bidi="en-US"/>
              </w:rPr>
            </w:pPr>
          </w:p>
        </w:tc>
        <w:tc>
          <w:tcPr>
            <w:tcW w:w="1267" w:type="dxa"/>
            <w:noWrap w:val="0"/>
            <w:vAlign w:val="center"/>
          </w:tcPr>
          <w:p w14:paraId="38E4DD8F">
            <w:pPr>
              <w:widowControl/>
              <w:jc w:val="center"/>
              <w:rPr>
                <w:rFonts w:eastAsia="新宋体"/>
                <w:bCs/>
                <w:kern w:val="0"/>
                <w:sz w:val="21"/>
                <w:szCs w:val="21"/>
                <w:lang w:bidi="en-US"/>
              </w:rPr>
            </w:pPr>
          </w:p>
        </w:tc>
        <w:tc>
          <w:tcPr>
            <w:tcW w:w="1297" w:type="dxa"/>
            <w:noWrap w:val="0"/>
            <w:vAlign w:val="center"/>
          </w:tcPr>
          <w:p w14:paraId="7C9916A8">
            <w:pPr>
              <w:widowControl/>
              <w:jc w:val="center"/>
              <w:rPr>
                <w:rFonts w:eastAsia="新宋体"/>
                <w:bCs/>
                <w:kern w:val="0"/>
                <w:sz w:val="21"/>
                <w:szCs w:val="21"/>
                <w:lang w:bidi="en-US"/>
              </w:rPr>
            </w:pPr>
          </w:p>
        </w:tc>
        <w:tc>
          <w:tcPr>
            <w:tcW w:w="1244" w:type="dxa"/>
            <w:noWrap w:val="0"/>
            <w:vAlign w:val="center"/>
          </w:tcPr>
          <w:p w14:paraId="61C05E6A">
            <w:pPr>
              <w:widowControl/>
              <w:jc w:val="center"/>
              <w:rPr>
                <w:rFonts w:eastAsia="新宋体"/>
                <w:bCs/>
                <w:kern w:val="0"/>
                <w:sz w:val="21"/>
                <w:szCs w:val="21"/>
                <w:lang w:bidi="en-US"/>
              </w:rPr>
            </w:pPr>
          </w:p>
        </w:tc>
        <w:tc>
          <w:tcPr>
            <w:tcW w:w="1093" w:type="dxa"/>
            <w:noWrap w:val="0"/>
            <w:vAlign w:val="center"/>
          </w:tcPr>
          <w:p w14:paraId="3ABC7849">
            <w:pPr>
              <w:widowControl/>
              <w:jc w:val="center"/>
              <w:rPr>
                <w:rFonts w:eastAsia="新宋体"/>
                <w:bCs/>
                <w:kern w:val="0"/>
                <w:sz w:val="21"/>
                <w:szCs w:val="21"/>
                <w:lang w:bidi="en-US"/>
              </w:rPr>
            </w:pPr>
          </w:p>
        </w:tc>
        <w:tc>
          <w:tcPr>
            <w:tcW w:w="1668" w:type="dxa"/>
            <w:noWrap w:val="0"/>
            <w:vAlign w:val="center"/>
          </w:tcPr>
          <w:p w14:paraId="1F008439">
            <w:pPr>
              <w:widowControl/>
              <w:jc w:val="center"/>
              <w:rPr>
                <w:rFonts w:eastAsia="新宋体"/>
                <w:bCs/>
                <w:kern w:val="0"/>
                <w:sz w:val="21"/>
                <w:szCs w:val="21"/>
                <w:lang w:bidi="en-US"/>
              </w:rPr>
            </w:pPr>
          </w:p>
        </w:tc>
      </w:tr>
      <w:tr w14:paraId="11414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644" w:type="dxa"/>
            <w:noWrap w:val="0"/>
            <w:vAlign w:val="center"/>
          </w:tcPr>
          <w:p w14:paraId="3957B238">
            <w:pPr>
              <w:widowControl/>
              <w:jc w:val="center"/>
              <w:rPr>
                <w:rFonts w:eastAsia="新宋体"/>
                <w:bCs/>
                <w:kern w:val="0"/>
                <w:sz w:val="21"/>
                <w:szCs w:val="21"/>
                <w:lang w:bidi="en-US"/>
              </w:rPr>
            </w:pPr>
          </w:p>
        </w:tc>
        <w:tc>
          <w:tcPr>
            <w:tcW w:w="2577" w:type="dxa"/>
            <w:noWrap w:val="0"/>
            <w:vAlign w:val="center"/>
          </w:tcPr>
          <w:p w14:paraId="64572339">
            <w:pPr>
              <w:widowControl/>
              <w:jc w:val="center"/>
              <w:rPr>
                <w:rFonts w:eastAsia="新宋体"/>
                <w:bCs/>
                <w:kern w:val="0"/>
                <w:sz w:val="21"/>
                <w:szCs w:val="21"/>
                <w:lang w:bidi="en-US"/>
              </w:rPr>
            </w:pPr>
          </w:p>
        </w:tc>
        <w:tc>
          <w:tcPr>
            <w:tcW w:w="1267" w:type="dxa"/>
            <w:noWrap w:val="0"/>
            <w:vAlign w:val="center"/>
          </w:tcPr>
          <w:p w14:paraId="4CFA731F">
            <w:pPr>
              <w:widowControl/>
              <w:jc w:val="center"/>
              <w:rPr>
                <w:rFonts w:eastAsia="新宋体"/>
                <w:bCs/>
                <w:kern w:val="0"/>
                <w:sz w:val="21"/>
                <w:szCs w:val="21"/>
                <w:lang w:bidi="en-US"/>
              </w:rPr>
            </w:pPr>
          </w:p>
        </w:tc>
        <w:tc>
          <w:tcPr>
            <w:tcW w:w="1297" w:type="dxa"/>
            <w:noWrap w:val="0"/>
            <w:vAlign w:val="center"/>
          </w:tcPr>
          <w:p w14:paraId="22A5BC9B">
            <w:pPr>
              <w:widowControl/>
              <w:jc w:val="center"/>
              <w:rPr>
                <w:rFonts w:eastAsia="新宋体"/>
                <w:bCs/>
                <w:kern w:val="0"/>
                <w:sz w:val="21"/>
                <w:szCs w:val="21"/>
                <w:lang w:bidi="en-US"/>
              </w:rPr>
            </w:pPr>
          </w:p>
        </w:tc>
        <w:tc>
          <w:tcPr>
            <w:tcW w:w="1244" w:type="dxa"/>
            <w:noWrap w:val="0"/>
            <w:vAlign w:val="center"/>
          </w:tcPr>
          <w:p w14:paraId="0D6923C5">
            <w:pPr>
              <w:widowControl/>
              <w:jc w:val="center"/>
              <w:rPr>
                <w:rFonts w:eastAsia="新宋体"/>
                <w:bCs/>
                <w:kern w:val="0"/>
                <w:sz w:val="21"/>
                <w:szCs w:val="21"/>
                <w:lang w:bidi="en-US"/>
              </w:rPr>
            </w:pPr>
          </w:p>
        </w:tc>
        <w:tc>
          <w:tcPr>
            <w:tcW w:w="1093" w:type="dxa"/>
            <w:noWrap w:val="0"/>
            <w:vAlign w:val="center"/>
          </w:tcPr>
          <w:p w14:paraId="1E50B4E8">
            <w:pPr>
              <w:widowControl/>
              <w:jc w:val="center"/>
              <w:rPr>
                <w:rFonts w:eastAsia="新宋体"/>
                <w:bCs/>
                <w:kern w:val="0"/>
                <w:sz w:val="21"/>
                <w:szCs w:val="21"/>
                <w:lang w:bidi="en-US"/>
              </w:rPr>
            </w:pPr>
          </w:p>
        </w:tc>
        <w:tc>
          <w:tcPr>
            <w:tcW w:w="1668" w:type="dxa"/>
            <w:noWrap w:val="0"/>
            <w:vAlign w:val="center"/>
          </w:tcPr>
          <w:p w14:paraId="0673FDB2">
            <w:pPr>
              <w:widowControl/>
              <w:jc w:val="center"/>
              <w:rPr>
                <w:rFonts w:eastAsia="新宋体"/>
                <w:bCs/>
                <w:kern w:val="0"/>
                <w:sz w:val="21"/>
                <w:szCs w:val="21"/>
                <w:lang w:bidi="en-US"/>
              </w:rPr>
            </w:pPr>
          </w:p>
        </w:tc>
      </w:tr>
      <w:tr w14:paraId="78CE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44" w:type="dxa"/>
            <w:noWrap w:val="0"/>
            <w:vAlign w:val="center"/>
          </w:tcPr>
          <w:p w14:paraId="138B5E40">
            <w:pPr>
              <w:widowControl/>
              <w:jc w:val="center"/>
              <w:rPr>
                <w:rFonts w:eastAsia="新宋体"/>
                <w:bCs/>
                <w:kern w:val="0"/>
                <w:sz w:val="21"/>
                <w:szCs w:val="21"/>
                <w:lang w:bidi="en-US"/>
              </w:rPr>
            </w:pPr>
          </w:p>
        </w:tc>
        <w:tc>
          <w:tcPr>
            <w:tcW w:w="2577" w:type="dxa"/>
            <w:noWrap w:val="0"/>
            <w:vAlign w:val="center"/>
          </w:tcPr>
          <w:p w14:paraId="20393506">
            <w:pPr>
              <w:widowControl/>
              <w:jc w:val="center"/>
              <w:rPr>
                <w:rFonts w:eastAsia="新宋体"/>
                <w:bCs/>
                <w:kern w:val="0"/>
                <w:sz w:val="21"/>
                <w:szCs w:val="21"/>
                <w:lang w:bidi="en-US"/>
              </w:rPr>
            </w:pPr>
          </w:p>
        </w:tc>
        <w:tc>
          <w:tcPr>
            <w:tcW w:w="1267" w:type="dxa"/>
            <w:noWrap w:val="0"/>
            <w:vAlign w:val="center"/>
          </w:tcPr>
          <w:p w14:paraId="70C7989F">
            <w:pPr>
              <w:widowControl/>
              <w:jc w:val="center"/>
              <w:rPr>
                <w:rFonts w:eastAsia="新宋体"/>
                <w:bCs/>
                <w:kern w:val="0"/>
                <w:sz w:val="21"/>
                <w:szCs w:val="21"/>
                <w:lang w:bidi="en-US"/>
              </w:rPr>
            </w:pPr>
          </w:p>
        </w:tc>
        <w:tc>
          <w:tcPr>
            <w:tcW w:w="1297" w:type="dxa"/>
            <w:noWrap w:val="0"/>
            <w:vAlign w:val="center"/>
          </w:tcPr>
          <w:p w14:paraId="363C42D3">
            <w:pPr>
              <w:widowControl/>
              <w:jc w:val="center"/>
              <w:rPr>
                <w:rFonts w:eastAsia="新宋体"/>
                <w:bCs/>
                <w:kern w:val="0"/>
                <w:sz w:val="21"/>
                <w:szCs w:val="21"/>
                <w:lang w:bidi="en-US"/>
              </w:rPr>
            </w:pPr>
          </w:p>
        </w:tc>
        <w:tc>
          <w:tcPr>
            <w:tcW w:w="1244" w:type="dxa"/>
            <w:noWrap w:val="0"/>
            <w:vAlign w:val="center"/>
          </w:tcPr>
          <w:p w14:paraId="336CE9A4">
            <w:pPr>
              <w:widowControl/>
              <w:jc w:val="center"/>
              <w:rPr>
                <w:rFonts w:eastAsia="新宋体"/>
                <w:bCs/>
                <w:kern w:val="0"/>
                <w:sz w:val="21"/>
                <w:szCs w:val="21"/>
                <w:lang w:bidi="en-US"/>
              </w:rPr>
            </w:pPr>
          </w:p>
        </w:tc>
        <w:tc>
          <w:tcPr>
            <w:tcW w:w="1093" w:type="dxa"/>
            <w:noWrap w:val="0"/>
            <w:vAlign w:val="center"/>
          </w:tcPr>
          <w:p w14:paraId="4A54A3A4">
            <w:pPr>
              <w:widowControl/>
              <w:jc w:val="center"/>
              <w:rPr>
                <w:rFonts w:eastAsia="新宋体"/>
                <w:bCs/>
                <w:kern w:val="0"/>
                <w:sz w:val="21"/>
                <w:szCs w:val="21"/>
                <w:lang w:bidi="en-US"/>
              </w:rPr>
            </w:pPr>
          </w:p>
        </w:tc>
        <w:tc>
          <w:tcPr>
            <w:tcW w:w="1668" w:type="dxa"/>
            <w:noWrap w:val="0"/>
            <w:vAlign w:val="center"/>
          </w:tcPr>
          <w:p w14:paraId="26815F55">
            <w:pPr>
              <w:widowControl/>
              <w:jc w:val="center"/>
              <w:rPr>
                <w:rFonts w:eastAsia="新宋体"/>
                <w:bCs/>
                <w:kern w:val="0"/>
                <w:sz w:val="21"/>
                <w:szCs w:val="21"/>
                <w:lang w:bidi="en-US"/>
              </w:rPr>
            </w:pPr>
          </w:p>
        </w:tc>
      </w:tr>
    </w:tbl>
    <w:p w14:paraId="17C40A02">
      <w:pPr>
        <w:spacing w:line="440" w:lineRule="exact"/>
        <w:rPr>
          <w:rFonts w:eastAsia="黑体"/>
          <w:sz w:val="23"/>
          <w:szCs w:val="23"/>
        </w:rPr>
      </w:pPr>
      <w:r>
        <w:rPr>
          <w:rFonts w:hint="eastAsia" w:ascii="宋体" w:hAnsi="宋体" w:eastAsia="宋体" w:cs="宋体"/>
          <w:b w:val="0"/>
          <w:bCs w:val="0"/>
          <w:sz w:val="21"/>
          <w:szCs w:val="21"/>
        </w:rPr>
        <w:t>注：投标文件中所有业绩汇总至此表，后附</w:t>
      </w:r>
      <w:r>
        <w:rPr>
          <w:rFonts w:hint="eastAsia" w:ascii="宋体" w:hAnsi="宋体" w:eastAsia="宋体" w:cs="宋体"/>
          <w:b w:val="0"/>
          <w:bCs w:val="0"/>
          <w:sz w:val="21"/>
          <w:szCs w:val="21"/>
          <w:lang w:val="en-US" w:eastAsia="zh-CN"/>
        </w:rPr>
        <w:t>相关证明材料</w:t>
      </w:r>
      <w:r>
        <w:rPr>
          <w:rFonts w:hint="eastAsia" w:ascii="宋体" w:hAnsi="宋体" w:eastAsia="宋体" w:cs="宋体"/>
          <w:b w:val="0"/>
          <w:bCs w:val="0"/>
          <w:sz w:val="21"/>
          <w:szCs w:val="21"/>
        </w:rPr>
        <w:t>，并标明序号。若无</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需在表中标注“/”。</w:t>
      </w:r>
    </w:p>
    <w:p w14:paraId="5522244A">
      <w:pPr>
        <w:jc w:val="center"/>
        <w:rPr>
          <w:rFonts w:hint="eastAsia" w:ascii="宋体" w:hAnsi="宋体" w:eastAsia="宋体" w:cs="宋体"/>
          <w:sz w:val="21"/>
          <w:szCs w:val="21"/>
        </w:rPr>
      </w:pPr>
    </w:p>
    <w:p w14:paraId="2615A240">
      <w:pPr>
        <w:jc w:val="center"/>
        <w:rPr>
          <w:rFonts w:hint="eastAsia" w:ascii="宋体" w:hAnsi="宋体" w:eastAsia="宋体" w:cs="宋体"/>
          <w:sz w:val="21"/>
          <w:szCs w:val="21"/>
        </w:rPr>
      </w:pPr>
    </w:p>
    <w:p w14:paraId="78FA0585">
      <w:pPr>
        <w:jc w:val="center"/>
        <w:rPr>
          <w:rFonts w:hint="eastAsia" w:ascii="宋体" w:hAnsi="宋体" w:eastAsia="宋体" w:cs="宋体"/>
          <w:sz w:val="21"/>
          <w:szCs w:val="21"/>
        </w:rPr>
      </w:pPr>
    </w:p>
    <w:p w14:paraId="1D07D3E5">
      <w:pPr>
        <w:jc w:val="center"/>
        <w:rPr>
          <w:rFonts w:hint="eastAsia" w:ascii="宋体" w:hAnsi="宋体" w:eastAsia="宋体" w:cs="宋体"/>
          <w:sz w:val="21"/>
          <w:szCs w:val="21"/>
        </w:rPr>
      </w:pPr>
    </w:p>
    <w:p w14:paraId="7A6A495D">
      <w:pPr>
        <w:rPr>
          <w:rFonts w:hint="eastAsia"/>
          <w:b w:val="0"/>
          <w:bCs w:val="0"/>
          <w:sz w:val="24"/>
          <w:szCs w:val="24"/>
          <w:lang w:eastAsia="zh-CN"/>
        </w:rPr>
      </w:pPr>
      <w:r>
        <w:rPr>
          <w:rFonts w:hint="eastAsia"/>
          <w:b w:val="0"/>
          <w:bCs w:val="0"/>
          <w:sz w:val="24"/>
          <w:szCs w:val="24"/>
          <w:lang w:eastAsia="zh-CN"/>
        </w:rPr>
        <w:br w:type="page"/>
      </w:r>
    </w:p>
    <w:p w14:paraId="2D50CE58">
      <w:pPr>
        <w:spacing w:before="163" w:beforeLines="50" w:after="163" w:afterLines="50" w:line="360" w:lineRule="auto"/>
        <w:jc w:val="center"/>
        <w:outlineLvl w:val="2"/>
        <w:rPr>
          <w:rFonts w:hint="eastAsia"/>
          <w:b w:val="0"/>
          <w:bCs w:val="0"/>
          <w:sz w:val="24"/>
          <w:szCs w:val="24"/>
        </w:rPr>
      </w:pPr>
      <w:r>
        <w:rPr>
          <w:rFonts w:hint="eastAsia"/>
          <w:b w:val="0"/>
          <w:bCs w:val="0"/>
          <w:sz w:val="24"/>
          <w:szCs w:val="24"/>
          <w:lang w:eastAsia="zh-CN"/>
        </w:rPr>
        <w:t>（</w:t>
      </w:r>
      <w:r>
        <w:rPr>
          <w:rFonts w:hint="eastAsia"/>
          <w:b w:val="0"/>
          <w:bCs w:val="0"/>
          <w:sz w:val="24"/>
          <w:szCs w:val="24"/>
          <w:lang w:val="en-US" w:eastAsia="zh-CN"/>
        </w:rPr>
        <w:t>二</w:t>
      </w:r>
      <w:r>
        <w:rPr>
          <w:rFonts w:hint="eastAsia"/>
          <w:b w:val="0"/>
          <w:bCs w:val="0"/>
          <w:sz w:val="24"/>
          <w:szCs w:val="24"/>
          <w:lang w:eastAsia="zh-CN"/>
        </w:rPr>
        <w:t>）</w:t>
      </w:r>
      <w:r>
        <w:rPr>
          <w:rFonts w:hint="eastAsia"/>
          <w:b w:val="0"/>
          <w:bCs w:val="0"/>
          <w:sz w:val="24"/>
          <w:szCs w:val="24"/>
        </w:rPr>
        <w:t>招标代理费支付承诺</w:t>
      </w:r>
      <w:bookmarkEnd w:id="469"/>
      <w:bookmarkEnd w:id="470"/>
      <w:bookmarkEnd w:id="471"/>
    </w:p>
    <w:p w14:paraId="56E1862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（供应商）郑重承诺，我方参加 </w:t>
      </w:r>
      <w:r>
        <w:rPr>
          <w:rFonts w:hint="eastAsia" w:ascii="宋体" w:hAnsi="宋体" w:eastAsia="宋体" w:cs="宋体"/>
          <w:sz w:val="21"/>
          <w:szCs w:val="21"/>
          <w:u w:val="single"/>
        </w:rPr>
        <w:t xml:space="preserve">       </w:t>
      </w:r>
      <w:r>
        <w:rPr>
          <w:rFonts w:hint="eastAsia" w:ascii="宋体" w:hAnsi="宋体" w:eastAsia="宋体" w:cs="宋体"/>
          <w:sz w:val="21"/>
          <w:szCs w:val="21"/>
        </w:rPr>
        <w:t>（项目名称）的采购活动如有幸成为中标人（成交人），我公司将严格按照该项目约定的招标代理费金额在领取中标（成交）通知书时或在中标（成交）结果发布之日起3个工作日内以现金或转账方式足额支付。如未按要求支付费用所产生的一切后果，均由我公司自行负责。</w:t>
      </w:r>
    </w:p>
    <w:p w14:paraId="76C2A1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特此承诺。</w:t>
      </w:r>
    </w:p>
    <w:p w14:paraId="3FFB6860">
      <w:pPr>
        <w:rPr>
          <w:rFonts w:hint="eastAsia" w:ascii="宋体" w:hAnsi="宋体" w:eastAsia="宋体" w:cs="宋体"/>
          <w:sz w:val="21"/>
          <w:szCs w:val="21"/>
        </w:rPr>
      </w:pPr>
    </w:p>
    <w:p w14:paraId="7229C06E">
      <w:pPr>
        <w:rPr>
          <w:rFonts w:hint="eastAsia" w:ascii="宋体" w:hAnsi="宋体" w:eastAsia="宋体" w:cs="宋体"/>
          <w:sz w:val="21"/>
          <w:szCs w:val="21"/>
        </w:rPr>
      </w:pPr>
    </w:p>
    <w:p w14:paraId="16FE98A7">
      <w:pPr>
        <w:rPr>
          <w:rFonts w:hint="eastAsia" w:ascii="宋体" w:hAnsi="宋体" w:eastAsia="宋体" w:cs="宋体"/>
          <w:sz w:val="21"/>
          <w:szCs w:val="21"/>
        </w:rPr>
      </w:pPr>
    </w:p>
    <w:p w14:paraId="1892665F">
      <w:pPr>
        <w:rPr>
          <w:rFonts w:hint="eastAsia" w:ascii="宋体" w:hAnsi="宋体" w:eastAsia="宋体" w:cs="宋体"/>
          <w:sz w:val="21"/>
          <w:szCs w:val="21"/>
        </w:rPr>
      </w:pPr>
    </w:p>
    <w:p w14:paraId="4C33D777">
      <w:pPr>
        <w:rPr>
          <w:rFonts w:hint="eastAsia" w:ascii="宋体" w:hAnsi="宋体" w:eastAsia="宋体" w:cs="宋体"/>
          <w:sz w:val="21"/>
          <w:szCs w:val="21"/>
        </w:rPr>
      </w:pPr>
    </w:p>
    <w:p w14:paraId="7702569A">
      <w:pPr>
        <w:rPr>
          <w:rFonts w:hint="eastAsia" w:ascii="宋体" w:hAnsi="宋体" w:eastAsia="宋体" w:cs="宋体"/>
          <w:sz w:val="21"/>
          <w:szCs w:val="21"/>
        </w:rPr>
      </w:pPr>
    </w:p>
    <w:p w14:paraId="5595DCB3">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2E95D7C7">
      <w:pPr>
        <w:spacing w:line="360" w:lineRule="auto"/>
        <w:ind w:right="420"/>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负责人</w:t>
      </w:r>
      <w:r>
        <w:rPr>
          <w:rFonts w:hint="eastAsia" w:ascii="宋体" w:hAnsi="宋体" w:eastAsia="宋体" w:cs="宋体"/>
          <w:sz w:val="21"/>
          <w:szCs w:val="21"/>
          <w:lang w:eastAsia="zh-CN"/>
        </w:rPr>
        <w:t>）</w:t>
      </w:r>
      <w:r>
        <w:rPr>
          <w:rFonts w:hint="eastAsia" w:ascii="宋体" w:hAnsi="宋体" w:eastAsia="宋体" w:cs="宋体"/>
          <w:sz w:val="21"/>
          <w:szCs w:val="21"/>
        </w:rPr>
        <w:t xml:space="preserve">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722B05C3">
      <w:pPr>
        <w:spacing w:line="360" w:lineRule="auto"/>
        <w:ind w:right="48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35D2FD4D">
      <w:pPr>
        <w:rPr>
          <w:rFonts w:hint="eastAsia" w:ascii="宋体" w:hAnsi="宋体" w:eastAsia="宋体" w:cs="宋体"/>
          <w:b/>
          <w:bCs/>
          <w:spacing w:val="6"/>
          <w:sz w:val="32"/>
          <w:szCs w:val="32"/>
        </w:rPr>
      </w:pPr>
    </w:p>
    <w:p w14:paraId="04E5F00E">
      <w:pPr>
        <w:rPr>
          <w:rFonts w:hint="eastAsia" w:ascii="宋体" w:hAnsi="宋体" w:eastAsia="宋体" w:cs="宋体"/>
          <w:b/>
          <w:bCs/>
          <w:spacing w:val="6"/>
          <w:sz w:val="32"/>
          <w:szCs w:val="32"/>
        </w:rPr>
      </w:pPr>
    </w:p>
    <w:p w14:paraId="551035AA">
      <w:pPr>
        <w:rPr>
          <w:rFonts w:hint="eastAsia" w:ascii="宋体" w:hAnsi="宋体" w:eastAsia="宋体" w:cs="宋体"/>
          <w:b/>
          <w:bCs/>
          <w:spacing w:val="6"/>
          <w:sz w:val="32"/>
          <w:szCs w:val="32"/>
        </w:rPr>
      </w:pPr>
    </w:p>
    <w:p w14:paraId="536C3CCA">
      <w:pPr>
        <w:rPr>
          <w:rFonts w:hint="eastAsia" w:ascii="宋体" w:hAnsi="宋体" w:eastAsia="宋体" w:cs="宋体"/>
          <w:b/>
          <w:bCs/>
          <w:spacing w:val="6"/>
          <w:sz w:val="32"/>
          <w:szCs w:val="32"/>
        </w:rPr>
      </w:pPr>
    </w:p>
    <w:p w14:paraId="0E36163E">
      <w:pPr>
        <w:rPr>
          <w:rFonts w:hint="eastAsia" w:ascii="宋体" w:hAnsi="宋体" w:eastAsia="宋体" w:cs="宋体"/>
          <w:b/>
          <w:bCs/>
          <w:spacing w:val="6"/>
          <w:sz w:val="32"/>
          <w:szCs w:val="32"/>
        </w:rPr>
      </w:pPr>
    </w:p>
    <w:p w14:paraId="3AD59F67">
      <w:pPr>
        <w:widowControl/>
        <w:jc w:val="left"/>
        <w:rPr>
          <w:rFonts w:hint="eastAsia" w:ascii="宋体" w:hAnsi="宋体" w:eastAsia="宋体" w:cs="宋体"/>
          <w:spacing w:val="6"/>
          <w:sz w:val="21"/>
          <w:szCs w:val="21"/>
        </w:rPr>
      </w:pPr>
      <w:r>
        <w:rPr>
          <w:rFonts w:hint="eastAsia" w:ascii="宋体" w:hAnsi="宋体" w:eastAsia="宋体" w:cs="宋体"/>
          <w:sz w:val="21"/>
          <w:szCs w:val="21"/>
        </w:rPr>
        <w:br w:type="page"/>
      </w:r>
    </w:p>
    <w:p w14:paraId="10F2A0B8">
      <w:pPr>
        <w:spacing w:before="163" w:beforeLines="50" w:after="163" w:afterLines="50" w:line="360" w:lineRule="auto"/>
        <w:jc w:val="center"/>
        <w:outlineLvl w:val="2"/>
        <w:rPr>
          <w:rFonts w:hint="eastAsia"/>
          <w:b w:val="0"/>
          <w:bCs w:val="0"/>
          <w:sz w:val="24"/>
          <w:szCs w:val="24"/>
        </w:rPr>
      </w:pPr>
      <w:r>
        <w:rPr>
          <w:rFonts w:hint="eastAsia"/>
          <w:b w:val="0"/>
          <w:bCs w:val="0"/>
          <w:sz w:val="24"/>
          <w:szCs w:val="24"/>
          <w:lang w:eastAsia="zh-CN"/>
        </w:rPr>
        <w:t>（</w:t>
      </w:r>
      <w:r>
        <w:rPr>
          <w:rFonts w:hint="eastAsia"/>
          <w:b w:val="0"/>
          <w:bCs w:val="0"/>
          <w:sz w:val="24"/>
          <w:szCs w:val="24"/>
          <w:lang w:val="en-US" w:eastAsia="zh-CN"/>
        </w:rPr>
        <w:t>三</w:t>
      </w:r>
      <w:r>
        <w:rPr>
          <w:rFonts w:hint="eastAsia"/>
          <w:b w:val="0"/>
          <w:bCs w:val="0"/>
          <w:sz w:val="24"/>
          <w:szCs w:val="24"/>
          <w:lang w:eastAsia="zh-CN"/>
        </w:rPr>
        <w:t>）供应商认为应附的其他材料</w:t>
      </w:r>
    </w:p>
    <w:p w14:paraId="433B5EDE">
      <w:pPr>
        <w:jc w:val="center"/>
        <w:rPr>
          <w:rFonts w:hint="eastAsia" w:ascii="宋体" w:hAnsi="宋体" w:eastAsia="宋体" w:cs="宋体"/>
          <w:b/>
          <w:bCs/>
          <w:spacing w:val="6"/>
          <w:sz w:val="32"/>
          <w:szCs w:val="32"/>
        </w:rPr>
      </w:pPr>
      <w:r>
        <w:rPr>
          <w:rFonts w:hint="eastAsia" w:ascii="宋体" w:hAnsi="宋体" w:eastAsia="宋体" w:cs="宋体"/>
          <w:b/>
          <w:bCs/>
          <w:spacing w:val="6"/>
          <w:sz w:val="32"/>
          <w:szCs w:val="32"/>
        </w:rPr>
        <w:br w:type="page"/>
      </w:r>
    </w:p>
    <w:p w14:paraId="10743610">
      <w:pPr>
        <w:spacing w:line="360" w:lineRule="auto"/>
        <w:rPr>
          <w:rFonts w:hint="eastAsia" w:ascii="宋体" w:hAnsi="宋体" w:eastAsia="宋体" w:cs="宋体"/>
          <w:b/>
          <w:bCs/>
          <w:spacing w:val="6"/>
          <w:sz w:val="21"/>
          <w:szCs w:val="21"/>
        </w:rPr>
      </w:pPr>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1</w:t>
      </w:r>
      <w:r>
        <w:rPr>
          <w:rFonts w:hint="eastAsia" w:ascii="宋体" w:hAnsi="宋体" w:eastAsia="宋体" w:cs="宋体"/>
          <w:b/>
          <w:bCs/>
          <w:spacing w:val="6"/>
          <w:sz w:val="21"/>
          <w:szCs w:val="21"/>
        </w:rPr>
        <w:t>：</w:t>
      </w:r>
    </w:p>
    <w:p w14:paraId="43C05A08">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残疾人福利性单位声明函（如为残疾人福利性单位）</w:t>
      </w:r>
    </w:p>
    <w:p w14:paraId="3666B66B">
      <w:pPr>
        <w:spacing w:line="360" w:lineRule="auto"/>
        <w:jc w:val="center"/>
        <w:rPr>
          <w:rFonts w:hint="eastAsia" w:ascii="宋体" w:hAnsi="宋体" w:eastAsia="宋体" w:cs="宋体"/>
          <w:b w:val="0"/>
          <w:bCs/>
          <w:spacing w:val="6"/>
          <w:sz w:val="21"/>
          <w:szCs w:val="21"/>
        </w:rPr>
      </w:pPr>
      <w:r>
        <w:rPr>
          <w:rFonts w:hint="eastAsia" w:ascii="宋体" w:hAnsi="宋体" w:eastAsia="宋体" w:cs="宋体"/>
          <w:b w:val="0"/>
          <w:bCs/>
          <w:sz w:val="21"/>
          <w:szCs w:val="21"/>
        </w:rPr>
        <w:t>（注：若无，</w:t>
      </w:r>
      <w:r>
        <w:rPr>
          <w:rFonts w:hint="eastAsia" w:ascii="宋体" w:hAnsi="宋体" w:eastAsia="宋体" w:cs="宋体"/>
          <w:b w:val="0"/>
          <w:bCs/>
          <w:sz w:val="21"/>
          <w:szCs w:val="21"/>
          <w:lang w:val="en-US" w:eastAsia="zh-CN"/>
        </w:rPr>
        <w:t>无需提供此项内容</w:t>
      </w:r>
      <w:r>
        <w:rPr>
          <w:rFonts w:hint="eastAsia" w:ascii="宋体" w:hAnsi="宋体" w:eastAsia="宋体" w:cs="宋体"/>
          <w:b w:val="0"/>
          <w:bCs/>
          <w:sz w:val="21"/>
          <w:szCs w:val="21"/>
        </w:rPr>
        <w:t>）</w:t>
      </w:r>
    </w:p>
    <w:p w14:paraId="3829BDA5">
      <w:pPr>
        <w:spacing w:line="360" w:lineRule="auto"/>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00FD147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DEE5CE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本单位对上述声明的真实性负责。如有虚假，将承担相应的法律责任。</w:t>
      </w:r>
    </w:p>
    <w:p w14:paraId="062D861A">
      <w:pPr>
        <w:pStyle w:val="8"/>
        <w:spacing w:line="360" w:lineRule="auto"/>
        <w:ind w:left="480"/>
        <w:rPr>
          <w:rFonts w:hint="eastAsia" w:ascii="宋体" w:hAnsi="宋体" w:eastAsia="宋体" w:cs="宋体"/>
          <w:sz w:val="21"/>
          <w:szCs w:val="21"/>
        </w:rPr>
      </w:pPr>
    </w:p>
    <w:p w14:paraId="5CAA62C4">
      <w:pPr>
        <w:spacing w:line="360" w:lineRule="auto"/>
        <w:ind w:firstLine="420" w:firstLineChars="200"/>
        <w:rPr>
          <w:rFonts w:hint="eastAsia" w:ascii="宋体" w:hAnsi="宋体" w:eastAsia="宋体" w:cs="宋体"/>
          <w:kern w:val="0"/>
          <w:sz w:val="21"/>
          <w:szCs w:val="21"/>
          <w:lang w:val="zh-CN"/>
        </w:rPr>
      </w:pPr>
      <w:r>
        <w:rPr>
          <w:rFonts w:hint="eastAsia" w:ascii="宋体" w:hAnsi="宋体" w:eastAsia="宋体" w:cs="宋体"/>
          <w:kern w:val="0"/>
          <w:sz w:val="21"/>
          <w:szCs w:val="21"/>
          <w:lang w:val="en-US" w:eastAsia="zh-CN"/>
        </w:rPr>
        <w:t>单位名称</w:t>
      </w:r>
      <w:r>
        <w:rPr>
          <w:rFonts w:hint="eastAsia" w:ascii="宋体" w:hAnsi="宋体" w:eastAsia="宋体" w:cs="宋体"/>
          <w:kern w:val="0"/>
          <w:sz w:val="21"/>
          <w:szCs w:val="21"/>
          <w:lang w:val="zh-CN"/>
        </w:rPr>
        <w:t>：</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lang w:val="zh-CN"/>
        </w:rPr>
        <w:t>（全称并加盖公章）</w:t>
      </w:r>
    </w:p>
    <w:p w14:paraId="31421D0F">
      <w:pPr>
        <w:pStyle w:val="8"/>
        <w:spacing w:line="360" w:lineRule="auto"/>
        <w:rPr>
          <w:rFonts w:hint="eastAsia" w:ascii="宋体" w:hAnsi="宋体" w:eastAsia="宋体" w:cs="宋体"/>
          <w:sz w:val="21"/>
          <w:szCs w:val="21"/>
        </w:rPr>
      </w:pPr>
      <w:r>
        <w:rPr>
          <w:rFonts w:hint="eastAsia" w:ascii="宋体" w:hAnsi="宋体" w:eastAsia="宋体" w:cs="宋体"/>
          <w:sz w:val="21"/>
          <w:szCs w:val="21"/>
        </w:rPr>
        <w:t>日期：</w:t>
      </w:r>
    </w:p>
    <w:p w14:paraId="171BFF12">
      <w:pPr>
        <w:pStyle w:val="8"/>
        <w:spacing w:line="360" w:lineRule="auto"/>
        <w:ind w:left="480"/>
        <w:rPr>
          <w:rFonts w:hint="eastAsia" w:ascii="宋体" w:hAnsi="宋体" w:eastAsia="宋体" w:cs="宋体"/>
          <w:sz w:val="21"/>
          <w:szCs w:val="21"/>
        </w:rPr>
      </w:pPr>
    </w:p>
    <w:p w14:paraId="15940C0A">
      <w:pPr>
        <w:spacing w:line="360" w:lineRule="auto"/>
        <w:jc w:val="center"/>
        <w:rPr>
          <w:rFonts w:hint="eastAsia" w:ascii="宋体" w:hAnsi="宋体" w:eastAsia="宋体" w:cs="宋体"/>
          <w:b/>
          <w:bCs/>
          <w:spacing w:val="6"/>
          <w:sz w:val="32"/>
          <w:szCs w:val="32"/>
        </w:rPr>
      </w:pPr>
    </w:p>
    <w:p w14:paraId="12D96523">
      <w:pPr>
        <w:rPr>
          <w:rFonts w:hint="eastAsia" w:ascii="宋体" w:hAnsi="宋体" w:eastAsia="宋体" w:cs="宋体"/>
        </w:rPr>
      </w:pPr>
    </w:p>
    <w:p w14:paraId="57F6753F">
      <w:pPr>
        <w:rPr>
          <w:rFonts w:hint="eastAsia" w:ascii="宋体" w:hAnsi="宋体" w:eastAsia="宋体" w:cs="宋体"/>
        </w:rPr>
      </w:pPr>
    </w:p>
    <w:p w14:paraId="5A7263BB">
      <w:pPr>
        <w:rPr>
          <w:rFonts w:hint="eastAsia" w:ascii="宋体" w:hAnsi="宋体" w:eastAsia="宋体" w:cs="宋体"/>
        </w:rPr>
      </w:pPr>
    </w:p>
    <w:p w14:paraId="2C34026E">
      <w:pPr>
        <w:rPr>
          <w:rFonts w:hint="eastAsia" w:ascii="宋体" w:hAnsi="宋体" w:eastAsia="宋体" w:cs="宋体"/>
        </w:rPr>
      </w:pPr>
    </w:p>
    <w:p w14:paraId="349A45F7">
      <w:pPr>
        <w:rPr>
          <w:rFonts w:hint="eastAsia" w:ascii="宋体" w:hAnsi="宋体" w:eastAsia="宋体" w:cs="宋体"/>
        </w:rPr>
      </w:pPr>
    </w:p>
    <w:p w14:paraId="42429826">
      <w:pPr>
        <w:rPr>
          <w:rFonts w:hint="eastAsia" w:ascii="宋体" w:hAnsi="宋体" w:eastAsia="宋体" w:cs="宋体"/>
        </w:rPr>
      </w:pPr>
    </w:p>
    <w:p w14:paraId="61D872A6">
      <w:pPr>
        <w:rPr>
          <w:rFonts w:hint="eastAsia" w:ascii="宋体" w:hAnsi="宋体" w:eastAsia="宋体" w:cs="宋体"/>
        </w:rPr>
      </w:pPr>
    </w:p>
    <w:p w14:paraId="5934A030">
      <w:pPr>
        <w:rPr>
          <w:rFonts w:hint="eastAsia" w:ascii="宋体" w:hAnsi="宋体" w:eastAsia="宋体" w:cs="宋体"/>
        </w:rPr>
      </w:pPr>
    </w:p>
    <w:p w14:paraId="5CF9C71D">
      <w:pPr>
        <w:rPr>
          <w:rFonts w:hint="eastAsia" w:ascii="宋体" w:hAnsi="宋体" w:eastAsia="宋体" w:cs="宋体"/>
        </w:rPr>
      </w:pPr>
    </w:p>
    <w:p w14:paraId="2385686E">
      <w:pPr>
        <w:pStyle w:val="92"/>
        <w:ind w:firstLine="0" w:firstLineChars="0"/>
        <w:rPr>
          <w:rFonts w:hint="eastAsia" w:ascii="宋体" w:hAnsi="宋体" w:eastAsia="宋体" w:cs="宋体"/>
        </w:rPr>
      </w:pPr>
      <w:bookmarkStart w:id="472" w:name="_Toc17815"/>
      <w:bookmarkStart w:id="473" w:name="_Toc12758_WPSOffice_Level2"/>
      <w:bookmarkStart w:id="474" w:name="_Toc26011_WPSOffice_Level2"/>
      <w:bookmarkStart w:id="475" w:name="_Toc30073_WPSOffice_Level2"/>
      <w:bookmarkStart w:id="476" w:name="_Toc12504"/>
      <w:bookmarkStart w:id="477" w:name="_Toc3047"/>
    </w:p>
    <w:bookmarkEnd w:id="472"/>
    <w:bookmarkEnd w:id="473"/>
    <w:bookmarkEnd w:id="474"/>
    <w:bookmarkEnd w:id="475"/>
    <w:bookmarkEnd w:id="476"/>
    <w:bookmarkEnd w:id="477"/>
    <w:p w14:paraId="1489E3AB">
      <w:pPr>
        <w:widowControl/>
        <w:jc w:val="left"/>
        <w:rPr>
          <w:rFonts w:hint="eastAsia" w:ascii="宋体" w:hAnsi="宋体" w:eastAsia="宋体" w:cs="宋体"/>
        </w:rPr>
      </w:pPr>
      <w:r>
        <w:rPr>
          <w:rFonts w:hint="eastAsia" w:ascii="宋体" w:hAnsi="宋体" w:eastAsia="宋体" w:cs="宋体"/>
        </w:rPr>
        <w:br w:type="page"/>
      </w:r>
    </w:p>
    <w:p w14:paraId="6B7FA3B8">
      <w:pPr>
        <w:spacing w:line="360" w:lineRule="auto"/>
        <w:rPr>
          <w:rFonts w:hint="eastAsia" w:ascii="宋体" w:hAnsi="宋体" w:eastAsia="宋体" w:cs="宋体"/>
          <w:b/>
        </w:rPr>
      </w:pPr>
      <w:r>
        <w:rPr>
          <w:rFonts w:hint="eastAsia" w:ascii="宋体" w:hAnsi="宋体" w:eastAsia="宋体" w:cs="宋体"/>
          <w:b/>
        </w:rPr>
        <w:t>附件</w:t>
      </w:r>
      <w:r>
        <w:rPr>
          <w:rFonts w:hint="eastAsia" w:ascii="宋体" w:hAnsi="宋体" w:eastAsia="宋体" w:cs="宋体"/>
          <w:b/>
          <w:lang w:val="en-US" w:eastAsia="zh-CN"/>
        </w:rPr>
        <w:t>2</w:t>
      </w:r>
      <w:r>
        <w:rPr>
          <w:rFonts w:hint="eastAsia" w:ascii="宋体" w:hAnsi="宋体" w:eastAsia="宋体" w:cs="宋体"/>
          <w:b/>
        </w:rPr>
        <w:t>：</w:t>
      </w:r>
    </w:p>
    <w:p w14:paraId="6390358E">
      <w:pPr>
        <w:pStyle w:val="88"/>
        <w:spacing w:line="360" w:lineRule="auto"/>
        <w:jc w:val="center"/>
        <w:rPr>
          <w:rFonts w:hint="eastAsia" w:ascii="宋体" w:hAnsi="宋体" w:eastAsia="宋体" w:cs="宋体"/>
          <w:b/>
          <w:sz w:val="32"/>
          <w:szCs w:val="21"/>
        </w:rPr>
      </w:pPr>
      <w:r>
        <w:rPr>
          <w:rFonts w:hint="eastAsia" w:ascii="宋体" w:hAnsi="宋体" w:eastAsia="宋体" w:cs="宋体"/>
          <w:b/>
          <w:sz w:val="32"/>
          <w:szCs w:val="21"/>
        </w:rPr>
        <w:t>中小企业声明函（工程、服务）</w:t>
      </w:r>
    </w:p>
    <w:p w14:paraId="6DF098F9">
      <w:pPr>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（不属于中小微企业的无需提供此项内容）</w:t>
      </w:r>
    </w:p>
    <w:p w14:paraId="4BCE7F3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 号）的规定，本公司（联合体）参加</w:t>
      </w:r>
      <w:r>
        <w:rPr>
          <w:rFonts w:hint="eastAsia" w:ascii="宋体" w:hAnsi="宋体" w:eastAsia="宋体" w:cs="宋体"/>
          <w:sz w:val="21"/>
          <w:szCs w:val="21"/>
          <w:u w:val="single"/>
        </w:rPr>
        <w:t xml:space="preserve"> （单位名称） </w:t>
      </w:r>
      <w:r>
        <w:rPr>
          <w:rFonts w:hint="eastAsia" w:ascii="宋体" w:hAnsi="宋体" w:eastAsia="宋体" w:cs="宋体"/>
          <w:sz w:val="21"/>
          <w:szCs w:val="21"/>
        </w:rPr>
        <w:t>的</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47FB3A6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w:t>
      </w:r>
      <w:r>
        <w:rPr>
          <w:rFonts w:hint="eastAsia" w:ascii="宋体" w:hAnsi="宋体" w:eastAsia="宋体" w:cs="宋体"/>
          <w:sz w:val="21"/>
          <w:szCs w:val="21"/>
        </w:rPr>
        <w:t xml:space="preserve"> ；承建（承接）企业为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（中型企业、小型企业、微型企业）</w:t>
      </w:r>
      <w:r>
        <w:rPr>
          <w:rFonts w:hint="eastAsia" w:ascii="宋体" w:hAnsi="宋体" w:eastAsia="宋体" w:cs="宋体"/>
          <w:sz w:val="21"/>
          <w:szCs w:val="21"/>
        </w:rPr>
        <w:t xml:space="preserve"> ；</w:t>
      </w:r>
    </w:p>
    <w:p w14:paraId="519DF40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 xml:space="preserve"> （标的名称）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（采购文件中明确的所属行业）</w:t>
      </w:r>
      <w:r>
        <w:rPr>
          <w:rFonts w:hint="eastAsia" w:ascii="宋体" w:hAnsi="宋体" w:eastAsia="宋体" w:cs="宋体"/>
          <w:sz w:val="21"/>
          <w:szCs w:val="21"/>
        </w:rPr>
        <w:t xml:space="preserve"> ；承建（承接）企业为</w:t>
      </w:r>
      <w:r>
        <w:rPr>
          <w:rFonts w:hint="eastAsia" w:ascii="宋体" w:hAnsi="宋体" w:eastAsia="宋体" w:cs="宋体"/>
          <w:sz w:val="21"/>
          <w:szCs w:val="21"/>
          <w:u w:val="single"/>
        </w:rPr>
        <w:t xml:space="preserve"> （企业名称）</w:t>
      </w:r>
      <w:r>
        <w:rPr>
          <w:rFonts w:hint="eastAsia" w:ascii="宋体" w:hAnsi="宋体" w:eastAsia="宋体" w:cs="宋体"/>
          <w:sz w:val="21"/>
          <w:szCs w:val="21"/>
        </w:rPr>
        <w:t xml:space="preserve"> ，从业人员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 （中型企业、小型企业、微型企业）</w:t>
      </w:r>
      <w:r>
        <w:rPr>
          <w:rFonts w:hint="eastAsia" w:ascii="宋体" w:hAnsi="宋体" w:eastAsia="宋体" w:cs="宋体"/>
          <w:sz w:val="21"/>
          <w:szCs w:val="21"/>
        </w:rPr>
        <w:t xml:space="preserve"> ；</w:t>
      </w:r>
    </w:p>
    <w:p w14:paraId="2A2AEAD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2E4CD8C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44F11B8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3FE7E688">
      <w:pPr>
        <w:pStyle w:val="32"/>
        <w:spacing w:line="360" w:lineRule="auto"/>
        <w:ind w:left="480" w:firstLine="210"/>
        <w:rPr>
          <w:rFonts w:hint="eastAsia" w:ascii="宋体" w:hAnsi="宋体" w:eastAsia="宋体" w:cs="宋体"/>
          <w:szCs w:val="21"/>
        </w:rPr>
      </w:pPr>
    </w:p>
    <w:p w14:paraId="624175CA">
      <w:pPr>
        <w:pStyle w:val="32"/>
        <w:spacing w:line="360" w:lineRule="auto"/>
        <w:ind w:left="480" w:firstLine="210"/>
        <w:rPr>
          <w:rFonts w:hint="eastAsia" w:ascii="宋体" w:hAnsi="宋体" w:eastAsia="宋体" w:cs="宋体"/>
          <w:szCs w:val="21"/>
        </w:rPr>
      </w:pPr>
    </w:p>
    <w:p w14:paraId="51FE1D91">
      <w:pPr>
        <w:spacing w:line="360" w:lineRule="auto"/>
        <w:ind w:right="1680" w:firstLine="420" w:firstLineChars="200"/>
        <w:rPr>
          <w:rFonts w:hint="eastAsia" w:ascii="宋体" w:hAnsi="宋体" w:eastAsia="宋体" w:cs="宋体"/>
          <w:sz w:val="21"/>
          <w:szCs w:val="21"/>
        </w:rPr>
      </w:pPr>
      <w:r>
        <w:rPr>
          <w:rFonts w:hint="eastAsia" w:ascii="宋体" w:hAnsi="宋体" w:eastAsia="宋体" w:cs="宋体"/>
          <w:sz w:val="21"/>
          <w:szCs w:val="21"/>
        </w:rPr>
        <w:t>企业名称（盖章）：</w:t>
      </w:r>
    </w:p>
    <w:p w14:paraId="7F75FE96">
      <w:pPr>
        <w:pStyle w:val="32"/>
        <w:spacing w:line="360" w:lineRule="auto"/>
        <w:ind w:left="480" w:firstLine="210"/>
        <w:rPr>
          <w:rFonts w:hint="eastAsia" w:ascii="宋体" w:hAnsi="宋体" w:eastAsia="宋体" w:cs="宋体"/>
          <w:szCs w:val="21"/>
        </w:rPr>
      </w:pPr>
    </w:p>
    <w:p w14:paraId="375F9064">
      <w:pPr>
        <w:spacing w:line="360" w:lineRule="auto"/>
        <w:ind w:right="840"/>
        <w:jc w:val="right"/>
        <w:rPr>
          <w:rFonts w:hint="eastAsia" w:ascii="宋体" w:hAnsi="宋体" w:eastAsia="宋体" w:cs="宋体"/>
          <w:b/>
          <w:spacing w:val="6"/>
          <w:sz w:val="21"/>
          <w:szCs w:val="21"/>
        </w:rPr>
      </w:pPr>
      <w:r>
        <w:rPr>
          <w:rFonts w:hint="eastAsia" w:ascii="宋体" w:hAnsi="宋体" w:eastAsia="宋体" w:cs="宋体"/>
          <w:sz w:val="21"/>
          <w:szCs w:val="21"/>
        </w:rPr>
        <w:t>日 期：</w:t>
      </w:r>
    </w:p>
    <w:p w14:paraId="7D1B26B2">
      <w:pPr>
        <w:rPr>
          <w:rFonts w:hint="eastAsia" w:ascii="宋体" w:hAnsi="宋体" w:eastAsia="宋体" w:cs="宋体"/>
          <w:b/>
        </w:rPr>
      </w:pPr>
      <w:r>
        <w:rPr>
          <w:rFonts w:hint="eastAsia" w:ascii="宋体" w:hAnsi="宋体" w:eastAsia="宋体" w:cs="宋体"/>
          <w:b/>
        </w:rPr>
        <w:br w:type="page"/>
      </w:r>
    </w:p>
    <w:p w14:paraId="00F745DF">
      <w:pPr>
        <w:spacing w:line="360" w:lineRule="auto"/>
        <w:rPr>
          <w:rFonts w:hint="eastAsia" w:ascii="宋体" w:hAnsi="宋体" w:eastAsia="宋体" w:cs="宋体"/>
          <w:b/>
        </w:rPr>
      </w:pPr>
      <w:r>
        <w:rPr>
          <w:rFonts w:hint="eastAsia" w:ascii="宋体" w:hAnsi="宋体" w:eastAsia="宋体" w:cs="宋体"/>
          <w:b/>
        </w:rPr>
        <w:t>附件</w:t>
      </w:r>
      <w:r>
        <w:rPr>
          <w:rFonts w:hint="eastAsia" w:ascii="宋体" w:hAnsi="宋体" w:eastAsia="宋体" w:cs="宋体"/>
          <w:b/>
          <w:lang w:val="en-US" w:eastAsia="zh-CN"/>
        </w:rPr>
        <w:t>3</w:t>
      </w:r>
      <w:r>
        <w:rPr>
          <w:rFonts w:hint="eastAsia" w:ascii="宋体" w:hAnsi="宋体" w:eastAsia="宋体" w:cs="宋体"/>
          <w:b/>
        </w:rPr>
        <w:t>：</w:t>
      </w:r>
    </w:p>
    <w:p w14:paraId="179BA058">
      <w:pPr>
        <w:pStyle w:val="88"/>
        <w:spacing w:line="360" w:lineRule="auto"/>
        <w:jc w:val="center"/>
        <w:rPr>
          <w:rFonts w:ascii="Times New Roman" w:hAnsi="Times New Roman"/>
          <w:sz w:val="36"/>
          <w:szCs w:val="36"/>
        </w:rPr>
      </w:pPr>
      <w:r>
        <w:rPr>
          <w:rFonts w:hint="eastAsia" w:ascii="宋体" w:hAnsi="宋体" w:eastAsia="宋体" w:cs="宋体"/>
          <w:b/>
          <w:sz w:val="32"/>
          <w:szCs w:val="21"/>
        </w:rPr>
        <w:t>监狱企业证明文件（如有）</w:t>
      </w:r>
    </w:p>
    <w:p w14:paraId="00EEE222">
      <w:pPr>
        <w:ind w:firstLine="0" w:firstLineChars="0"/>
        <w:rPr>
          <w:rFonts w:ascii="Times New Roman" w:hAnsi="Times New Roman"/>
          <w:sz w:val="28"/>
          <w:szCs w:val="28"/>
        </w:rPr>
      </w:pPr>
    </w:p>
    <w:p w14:paraId="772FDDB3">
      <w:pPr>
        <w:spacing w:line="360" w:lineRule="auto"/>
        <w:ind w:firstLine="420"/>
        <w:rPr>
          <w:rFonts w:ascii="Times New Roman" w:hAnsi="Times New Roman"/>
          <w:sz w:val="21"/>
          <w:szCs w:val="21"/>
        </w:rPr>
      </w:pPr>
      <w:r>
        <w:rPr>
          <w:rFonts w:ascii="Times New Roman" w:hAnsi="Times New Roman"/>
          <w:sz w:val="21"/>
          <w:szCs w:val="21"/>
        </w:rPr>
        <w:t>根据财政部、司法部联合印发《关于政府采购支持监狱企业发展有关问题的通知》（财库【2014】68号）文件规定，凡监狱企业参加政府采购活动视同小型、微型企业，但必须提供由省级以上监狱管理局、戒毒管理局（含新疆生产建设兵团）出具的属于监狱企业的证明文件。</w:t>
      </w:r>
    </w:p>
    <w:p w14:paraId="2C4D7C2D">
      <w:pPr>
        <w:spacing w:line="360" w:lineRule="auto"/>
        <w:ind w:firstLine="420"/>
        <w:rPr>
          <w:rFonts w:ascii="Times New Roman" w:hAnsi="Times New Roman"/>
          <w:sz w:val="21"/>
          <w:szCs w:val="21"/>
        </w:rPr>
      </w:pPr>
    </w:p>
    <w:p w14:paraId="53C4D91F">
      <w:pPr>
        <w:spacing w:line="360" w:lineRule="auto"/>
        <w:ind w:firstLine="420"/>
        <w:rPr>
          <w:rFonts w:ascii="Times New Roman" w:hAnsi="Times New Roman"/>
          <w:sz w:val="21"/>
          <w:szCs w:val="21"/>
        </w:rPr>
      </w:pPr>
    </w:p>
    <w:p w14:paraId="039E2280">
      <w:pPr>
        <w:spacing w:line="360" w:lineRule="auto"/>
        <w:ind w:firstLine="420"/>
        <w:rPr>
          <w:rFonts w:ascii="Times New Roman" w:hAnsi="Times New Roman"/>
          <w:sz w:val="21"/>
          <w:szCs w:val="21"/>
        </w:rPr>
      </w:pPr>
      <w:r>
        <w:rPr>
          <w:rFonts w:ascii="Times New Roman" w:hAnsi="Times New Roman"/>
          <w:sz w:val="21"/>
          <w:szCs w:val="21"/>
        </w:rPr>
        <w:t>注：符合条件的需附</w:t>
      </w:r>
      <w:r>
        <w:rPr>
          <w:rFonts w:hint="eastAsia" w:ascii="Times New Roman" w:hAnsi="Times New Roman"/>
          <w:sz w:val="21"/>
          <w:szCs w:val="21"/>
        </w:rPr>
        <w:t>证明文件</w:t>
      </w:r>
      <w:r>
        <w:rPr>
          <w:rFonts w:ascii="Times New Roman" w:hAnsi="Times New Roman"/>
          <w:sz w:val="21"/>
          <w:szCs w:val="21"/>
        </w:rPr>
        <w:t>扫描件</w:t>
      </w:r>
      <w:r>
        <w:rPr>
          <w:rFonts w:hint="eastAsia" w:ascii="Times New Roman" w:hAnsi="Times New Roman"/>
          <w:sz w:val="21"/>
          <w:szCs w:val="21"/>
        </w:rPr>
        <w:t>，不符合则</w:t>
      </w:r>
      <w:r>
        <w:rPr>
          <w:rFonts w:hint="eastAsia" w:ascii="Times New Roman" w:hAnsi="Times New Roman"/>
          <w:sz w:val="21"/>
          <w:szCs w:val="21"/>
          <w:lang w:val="en-US" w:eastAsia="zh-CN"/>
        </w:rPr>
        <w:t>无需</w:t>
      </w:r>
      <w:r>
        <w:rPr>
          <w:rFonts w:hint="eastAsia" w:ascii="Times New Roman" w:hAnsi="Times New Roman"/>
          <w:sz w:val="21"/>
          <w:szCs w:val="21"/>
        </w:rPr>
        <w:t>提供</w:t>
      </w:r>
      <w:r>
        <w:rPr>
          <w:rFonts w:hint="eastAsia" w:ascii="Times New Roman" w:hAnsi="Times New Roman"/>
          <w:sz w:val="21"/>
          <w:szCs w:val="21"/>
          <w:lang w:val="en-US" w:eastAsia="zh-CN"/>
        </w:rPr>
        <w:t>此项内容</w:t>
      </w:r>
      <w:r>
        <w:rPr>
          <w:rFonts w:ascii="Times New Roman" w:hAnsi="Times New Roman"/>
          <w:sz w:val="21"/>
          <w:szCs w:val="21"/>
        </w:rPr>
        <w:t>。</w:t>
      </w:r>
    </w:p>
    <w:p w14:paraId="54F6DA61"/>
    <w:p w14:paraId="5429174E">
      <w:pPr>
        <w:pStyle w:val="88"/>
        <w:spacing w:line="432" w:lineRule="auto"/>
        <w:rPr>
          <w:rFonts w:hint="eastAsia" w:ascii="宋体" w:hAnsi="宋体" w:eastAsia="宋体" w:cs="宋体"/>
          <w:b/>
          <w:spacing w:val="6"/>
          <w:sz w:val="21"/>
          <w:szCs w:val="21"/>
        </w:rPr>
      </w:pPr>
      <w:r>
        <w:rPr>
          <w:rStyle w:val="87"/>
          <w:rFonts w:hint="eastAsia" w:ascii="宋体" w:hAnsi="宋体" w:eastAsia="宋体" w:cs="宋体"/>
          <w:sz w:val="28"/>
          <w:szCs w:val="28"/>
        </w:rPr>
        <w:br w:type="page"/>
      </w:r>
      <w:r>
        <w:rPr>
          <w:rFonts w:hint="eastAsia" w:ascii="宋体" w:hAnsi="宋体" w:eastAsia="宋体" w:cs="宋体"/>
          <w:b/>
          <w:spacing w:val="6"/>
          <w:sz w:val="21"/>
          <w:szCs w:val="21"/>
        </w:rPr>
        <w:t>附件</w:t>
      </w:r>
      <w:r>
        <w:rPr>
          <w:rFonts w:hint="eastAsia" w:ascii="宋体" w:hAnsi="宋体" w:cs="宋体"/>
          <w:b/>
          <w:spacing w:val="6"/>
          <w:sz w:val="21"/>
          <w:szCs w:val="21"/>
          <w:lang w:val="en-US" w:eastAsia="zh-CN"/>
        </w:rPr>
        <w:t>4</w:t>
      </w:r>
      <w:r>
        <w:rPr>
          <w:rFonts w:hint="eastAsia" w:ascii="宋体" w:hAnsi="宋体" w:eastAsia="宋体" w:cs="宋体"/>
          <w:b/>
          <w:spacing w:val="6"/>
          <w:sz w:val="21"/>
          <w:szCs w:val="21"/>
        </w:rPr>
        <w:t>：（投标文件/响应文件无需附此项内容）</w:t>
      </w:r>
    </w:p>
    <w:p w14:paraId="3C966272">
      <w:pPr>
        <w:pStyle w:val="88"/>
        <w:spacing w:line="440" w:lineRule="exact"/>
        <w:ind w:left="480"/>
        <w:jc w:val="center"/>
        <w:rPr>
          <w:rFonts w:hint="eastAsia" w:ascii="宋体" w:hAnsi="宋体" w:eastAsia="宋体" w:cs="宋体"/>
          <w:b/>
          <w:sz w:val="32"/>
          <w:szCs w:val="21"/>
        </w:rPr>
      </w:pPr>
      <w:r>
        <w:rPr>
          <w:rFonts w:hint="eastAsia" w:ascii="宋体" w:hAnsi="宋体" w:eastAsia="宋体" w:cs="宋体"/>
          <w:b/>
          <w:sz w:val="32"/>
          <w:szCs w:val="21"/>
        </w:rPr>
        <w:t>河南省政府采购合同融资政策告知函</w:t>
      </w:r>
    </w:p>
    <w:p w14:paraId="7A98B8DB">
      <w:pPr>
        <w:pStyle w:val="88"/>
        <w:spacing w:line="480" w:lineRule="auto"/>
        <w:ind w:left="480"/>
        <w:rPr>
          <w:rFonts w:hint="eastAsia" w:ascii="宋体" w:hAnsi="宋体" w:eastAsia="宋体" w:cs="宋体"/>
          <w:b/>
          <w:sz w:val="21"/>
          <w:szCs w:val="21"/>
        </w:rPr>
      </w:pPr>
      <w:r>
        <w:rPr>
          <w:rFonts w:hint="eastAsia" w:ascii="宋体" w:hAnsi="宋体" w:eastAsia="宋体" w:cs="宋体"/>
          <w:b/>
          <w:sz w:val="21"/>
          <w:szCs w:val="21"/>
        </w:rPr>
        <w:t>各供应商：</w:t>
      </w:r>
    </w:p>
    <w:p w14:paraId="7B4FC0DF">
      <w:pPr>
        <w:pStyle w:val="88"/>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欢迎贵公司参与河南省政府采购活动！</w:t>
      </w:r>
    </w:p>
    <w:p w14:paraId="5B156066">
      <w:pPr>
        <w:pStyle w:val="88"/>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230644BF">
      <w:pPr>
        <w:pStyle w:val="88"/>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贷款渠道和提供贷款的金融机构，可在河南省政府采购网“河南省政府采购合同融资平台”查询联系。</w:t>
      </w:r>
    </w:p>
    <w:p w14:paraId="20874E86">
      <w:pPr>
        <w:widowControl/>
        <w:jc w:val="left"/>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br w:type="page"/>
      </w:r>
    </w:p>
    <w:p w14:paraId="2C54E546">
      <w:pPr>
        <w:spacing w:line="312" w:lineRule="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附件</w:t>
      </w:r>
      <w:r>
        <w:rPr>
          <w:rFonts w:hint="eastAsia" w:ascii="宋体" w:hAnsi="宋体" w:eastAsia="宋体" w:cs="宋体"/>
          <w:b/>
          <w:spacing w:val="6"/>
          <w:kern w:val="0"/>
          <w:sz w:val="21"/>
          <w:szCs w:val="21"/>
          <w:lang w:val="en-US" w:eastAsia="zh-CN"/>
        </w:rPr>
        <w:t>5</w:t>
      </w:r>
      <w:r>
        <w:rPr>
          <w:rFonts w:hint="eastAsia" w:ascii="宋体" w:hAnsi="宋体" w:eastAsia="宋体" w:cs="宋体"/>
          <w:b/>
          <w:spacing w:val="6"/>
          <w:kern w:val="0"/>
          <w:sz w:val="21"/>
          <w:szCs w:val="21"/>
        </w:rPr>
        <w:t>：</w:t>
      </w:r>
      <w:r>
        <w:rPr>
          <w:rFonts w:hint="eastAsia" w:ascii="宋体" w:hAnsi="宋体" w:eastAsia="宋体" w:cs="宋体"/>
          <w:b/>
          <w:spacing w:val="6"/>
          <w:sz w:val="21"/>
          <w:szCs w:val="21"/>
        </w:rPr>
        <w:t>（投标文件/响应文件无需附此项内容）</w:t>
      </w:r>
    </w:p>
    <w:p w14:paraId="6441CF4E">
      <w:pPr>
        <w:widowControl/>
        <w:spacing w:line="360" w:lineRule="auto"/>
        <w:ind w:firstLine="420" w:firstLineChars="200"/>
        <w:jc w:val="center"/>
        <w:rPr>
          <w:rFonts w:hint="eastAsia" w:ascii="宋体" w:hAnsi="宋体" w:eastAsia="宋体" w:cs="宋体"/>
          <w:kern w:val="0"/>
          <w:sz w:val="21"/>
          <w:szCs w:val="21"/>
        </w:rPr>
      </w:pPr>
      <w:bookmarkStart w:id="478" w:name="_Toc27946"/>
      <w:r>
        <w:rPr>
          <w:rFonts w:hint="eastAsia" w:ascii="宋体" w:hAnsi="宋体" w:eastAsia="宋体" w:cs="宋体"/>
          <w:kern w:val="0"/>
          <w:sz w:val="21"/>
          <w:szCs w:val="21"/>
        </w:rPr>
        <w:t>工信部联企业〔</w:t>
      </w:r>
      <w:bookmarkEnd w:id="478"/>
      <w:r>
        <w:rPr>
          <w:rFonts w:hint="eastAsia" w:ascii="宋体" w:hAnsi="宋体" w:eastAsia="宋体" w:cs="宋体"/>
          <w:kern w:val="0"/>
          <w:sz w:val="21"/>
          <w:szCs w:val="21"/>
        </w:rPr>
        <w:t>2011〕300号</w:t>
      </w:r>
    </w:p>
    <w:p w14:paraId="6B8CF800">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各省、自治区、直辖市人民政府，国务院各部委、各直属机构及有关单位：</w:t>
      </w:r>
    </w:p>
    <w:p w14:paraId="62E5A9B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35102D35">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工业和信息化部</w:t>
      </w:r>
    </w:p>
    <w:p w14:paraId="6BD19B39">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国家统计局</w:t>
      </w:r>
    </w:p>
    <w:p w14:paraId="7A338518">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国家发展和改革委员会</w:t>
      </w:r>
    </w:p>
    <w:p w14:paraId="76E97115">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财政部</w:t>
      </w:r>
    </w:p>
    <w:p w14:paraId="5DFCA531">
      <w:pPr>
        <w:widowControl/>
        <w:spacing w:line="360" w:lineRule="auto"/>
        <w:ind w:firstLine="420" w:firstLineChars="200"/>
        <w:jc w:val="right"/>
        <w:rPr>
          <w:rFonts w:hint="eastAsia" w:ascii="宋体" w:hAnsi="宋体" w:eastAsia="宋体" w:cs="宋体"/>
          <w:kern w:val="0"/>
          <w:sz w:val="21"/>
          <w:szCs w:val="21"/>
        </w:rPr>
      </w:pPr>
      <w:r>
        <w:rPr>
          <w:rFonts w:hint="eastAsia" w:ascii="宋体" w:hAnsi="宋体" w:eastAsia="宋体" w:cs="宋体"/>
          <w:kern w:val="0"/>
          <w:sz w:val="21"/>
          <w:szCs w:val="21"/>
        </w:rPr>
        <w:t>二○一一年六月十八日</w:t>
      </w:r>
      <w:bookmarkStart w:id="479" w:name="_Toc19819"/>
      <w:bookmarkEnd w:id="479"/>
      <w:bookmarkStart w:id="480" w:name="_Toc13328"/>
      <w:bookmarkEnd w:id="480"/>
      <w:bookmarkStart w:id="481" w:name="_Toc4126"/>
      <w:bookmarkEnd w:id="481"/>
      <w:r>
        <w:rPr>
          <w:rFonts w:hint="eastAsia" w:ascii="宋体" w:hAnsi="宋体" w:eastAsia="宋体" w:cs="宋体"/>
          <w:kern w:val="0"/>
          <w:sz w:val="21"/>
          <w:szCs w:val="21"/>
        </w:rPr>
        <w:t> </w:t>
      </w:r>
    </w:p>
    <w:p w14:paraId="62279055">
      <w:pPr>
        <w:widowControl/>
        <w:spacing w:line="360" w:lineRule="auto"/>
        <w:ind w:firstLine="420" w:firstLineChars="200"/>
        <w:jc w:val="center"/>
        <w:rPr>
          <w:rFonts w:hint="eastAsia" w:ascii="宋体" w:hAnsi="宋体" w:eastAsia="宋体" w:cs="宋体"/>
          <w:kern w:val="0"/>
          <w:sz w:val="21"/>
          <w:szCs w:val="21"/>
        </w:rPr>
      </w:pPr>
      <w:bookmarkStart w:id="482" w:name="_Toc6557"/>
      <w:r>
        <w:rPr>
          <w:rFonts w:hint="eastAsia" w:ascii="宋体" w:hAnsi="宋体" w:eastAsia="宋体" w:cs="宋体"/>
          <w:kern w:val="0"/>
          <w:sz w:val="21"/>
          <w:szCs w:val="21"/>
        </w:rPr>
        <w:t>中小企业划型标准规定</w:t>
      </w:r>
      <w:bookmarkEnd w:id="482"/>
    </w:p>
    <w:p w14:paraId="7798F6F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 </w:t>
      </w:r>
    </w:p>
    <w:p w14:paraId="393270B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一、根据《中华人民共和国中小企业促进法》和《国务院关于进一步促进中小企业发展的若干意见》(国发〔2009〕36号)，制定本规定。</w:t>
      </w:r>
    </w:p>
    <w:p w14:paraId="044549E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二、中小企业划分为中型、小型、微型三种类型，具体标准根据企业从业人员、营业收入、资产总额等指标，结合行业特点制定。</w:t>
      </w:r>
    </w:p>
    <w:p w14:paraId="371D2E8C">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4158614">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四、各行业划型标准为：</w:t>
      </w:r>
    </w:p>
    <w:p w14:paraId="529C5FB5">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27DA2553">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57FEBC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111856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360817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A15491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C7A394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B56AE8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ADFFD4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6DE2C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E3DA31">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C419D84">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8F9D61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55193B9">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5109B1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33E06D8">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5B4BF7C5">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五、企业类型的划分以统计部门的统计数据为依据。</w:t>
      </w:r>
    </w:p>
    <w:p w14:paraId="2F30238D">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六、本规定适用于在中华人民共和国境内依法设立的各类所有制和各种组织形式的企业。个体工商户和本规定以外的行业，参照本规定进行划型。</w:t>
      </w:r>
    </w:p>
    <w:p w14:paraId="7711E50B">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68CFDBC7">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八、本规定由工业和信息化部、国家统计局会同有关部门根据《国民经济行业分类》修订情况和企业发展变化情况适时修订。</w:t>
      </w:r>
    </w:p>
    <w:p w14:paraId="29523EBF">
      <w:pPr>
        <w:widowControl/>
        <w:spacing w:line="360" w:lineRule="auto"/>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rPr>
        <w:t>九、本规定由工业和信息化部、国家统计局会同有关部门负责解释。</w:t>
      </w:r>
    </w:p>
    <w:p w14:paraId="552A1907">
      <w:pPr>
        <w:ind w:firstLine="420" w:firstLineChars="200"/>
        <w:rPr>
          <w:rFonts w:hint="eastAsia" w:ascii="宋体" w:hAnsi="宋体" w:eastAsia="宋体" w:cs="宋体"/>
        </w:rPr>
      </w:pPr>
      <w:r>
        <w:rPr>
          <w:rFonts w:hint="eastAsia" w:ascii="宋体" w:hAnsi="宋体" w:eastAsia="宋体" w:cs="宋体"/>
          <w:sz w:val="21"/>
          <w:szCs w:val="21"/>
        </w:rPr>
        <w:t>十、本规定自发布之日起执行，原国家经贸委、原国家计委、财政部和国家统计局2003年颁布的《中小企业标准暂行规定》同时废止。</w:t>
      </w:r>
    </w:p>
    <w:sectPr>
      <w:headerReference r:id="rId7" w:type="default"/>
      <w:footerReference r:id="rId8" w:type="default"/>
      <w:pgSz w:w="11906" w:h="16838"/>
      <w:pgMar w:top="1440" w:right="1080" w:bottom="1440" w:left="1080" w:header="851" w:footer="992" w:gutter="0"/>
      <w:pgNumType w:fmt="decimal"/>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Calibri Light">
    <w:altName w:val="Segoe Print"/>
    <w:panose1 w:val="020F0302020204030204"/>
    <w:charset w:val="00"/>
    <w:family w:val="swiss"/>
    <w:pitch w:val="default"/>
    <w:sig w:usb0="00000000" w:usb1="00000000" w:usb2="00000009" w:usb3="00000000" w:csb0="200001FF" w:csb1="00000000"/>
  </w:font>
  <w:font w:name="Segoe Print">
    <w:panose1 w:val="02000600000000000000"/>
    <w:charset w:val="00"/>
    <w:family w:val="auto"/>
    <w:pitch w:val="default"/>
    <w:sig w:usb0="0000028F" w:usb1="00000000" w:usb2="00000000" w:usb3="00000000" w:csb0="2000009F" w:csb1="47010000"/>
  </w:font>
  <w:font w:name="Cambria">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Consolas">
    <w:panose1 w:val="020B0609020204030204"/>
    <w:charset w:val="00"/>
    <w:family w:val="modern"/>
    <w:pitch w:val="default"/>
    <w:sig w:usb0="E00006FF" w:usb1="0000FCFF" w:usb2="00000001" w:usb3="00000000" w:csb0="6000019F" w:csb1="DFD7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9" w:usb3="00000000" w:csb0="000001FF" w:csb1="00000000"/>
  </w:font>
  <w:font w:name="新宋体">
    <w:panose1 w:val="02010609030101010101"/>
    <w:charset w:val="86"/>
    <w:family w:val="modern"/>
    <w:pitch w:val="default"/>
    <w:sig w:usb0="0000028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19AF7">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41E6E">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24A49">
    <w:pPr>
      <w:pStyle w:val="22"/>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D527ADE">
                <w:pPr>
                  <w:pStyle w:val="22"/>
                </w:pPr>
                <w:r>
                  <w:fldChar w:fldCharType="begin"/>
                </w:r>
                <w:r>
                  <w:instrText xml:space="preserve"> PAGE  \* MERGEFORMAT </w:instrText>
                </w:r>
                <w:r>
                  <w:fldChar w:fldCharType="separate"/>
                </w:r>
                <w:r>
                  <w:t>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84889">
    <w:pPr>
      <w:pStyle w:val="2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576CF">
    <w:pPr>
      <w:pStyle w:val="22"/>
    </w:pPr>
    <w:r>
      <w:rPr>
        <w:sz w:val="18"/>
      </w:rPr>
      <w:pict>
        <v:shape id="_x0000_s4099"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DE4B993">
                <w:pPr>
                  <w:pStyle w:val="22"/>
                </w:pPr>
                <w:r>
                  <w:fldChar w:fldCharType="begin"/>
                </w:r>
                <w:r>
                  <w:instrText xml:space="preserve"> PAGE  \* MERGEFORMAT </w:instrText>
                </w:r>
                <w:r>
                  <w:fldChar w:fldCharType="separate"/>
                </w:r>
                <w:r>
                  <w:t>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DB7FD">
    <w:pPr>
      <w:pStyle w:val="2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90EEF8"/>
    <w:multiLevelType w:val="singleLevel"/>
    <w:tmpl w:val="D390EEF8"/>
    <w:lvl w:ilvl="0" w:tentative="0">
      <w:start w:val="1"/>
      <w:numFmt w:val="decimal"/>
      <w:suff w:val="nothing"/>
      <w:lvlText w:val="%1、"/>
      <w:lvlJc w:val="left"/>
      <w:rPr>
        <w:rFonts w:hint="default" w:ascii="宋体" w:hAnsi="宋体" w:eastAsia="宋体" w:cs="宋体"/>
        <w:b/>
        <w:bCs/>
        <w:sz w:val="28"/>
        <w:szCs w:val="28"/>
      </w:rPr>
    </w:lvl>
  </w:abstractNum>
  <w:abstractNum w:abstractNumId="1">
    <w:nsid w:val="F1B91CF2"/>
    <w:multiLevelType w:val="singleLevel"/>
    <w:tmpl w:val="F1B91CF2"/>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M2FlMzBlOTk3OGM4ZDg1MGNiYzQ0MGIxMGMwM2UzZTgifQ=="/>
  </w:docVars>
  <w:rsids>
    <w:rsidRoot w:val="00762818"/>
    <w:rsid w:val="00000793"/>
    <w:rsid w:val="00000951"/>
    <w:rsid w:val="00000A85"/>
    <w:rsid w:val="00000F64"/>
    <w:rsid w:val="000025C2"/>
    <w:rsid w:val="0000276B"/>
    <w:rsid w:val="00005599"/>
    <w:rsid w:val="00006DEB"/>
    <w:rsid w:val="00010163"/>
    <w:rsid w:val="0001554C"/>
    <w:rsid w:val="00031320"/>
    <w:rsid w:val="00031B09"/>
    <w:rsid w:val="000322B4"/>
    <w:rsid w:val="00034579"/>
    <w:rsid w:val="00036E90"/>
    <w:rsid w:val="00042235"/>
    <w:rsid w:val="0004480D"/>
    <w:rsid w:val="00044DF3"/>
    <w:rsid w:val="00044E2B"/>
    <w:rsid w:val="000454B9"/>
    <w:rsid w:val="00047C5C"/>
    <w:rsid w:val="00052637"/>
    <w:rsid w:val="00067000"/>
    <w:rsid w:val="000670FD"/>
    <w:rsid w:val="000701F2"/>
    <w:rsid w:val="000715F3"/>
    <w:rsid w:val="000832F0"/>
    <w:rsid w:val="0008466C"/>
    <w:rsid w:val="00085448"/>
    <w:rsid w:val="000942A8"/>
    <w:rsid w:val="00096AC9"/>
    <w:rsid w:val="000A3C75"/>
    <w:rsid w:val="000A3E4F"/>
    <w:rsid w:val="000A4B61"/>
    <w:rsid w:val="000B0E4B"/>
    <w:rsid w:val="000B1954"/>
    <w:rsid w:val="000B7CFF"/>
    <w:rsid w:val="000C168E"/>
    <w:rsid w:val="000C22F1"/>
    <w:rsid w:val="000C747A"/>
    <w:rsid w:val="000C7B74"/>
    <w:rsid w:val="000D2BF6"/>
    <w:rsid w:val="000D45BB"/>
    <w:rsid w:val="000D57AB"/>
    <w:rsid w:val="000D7FC9"/>
    <w:rsid w:val="000E35BF"/>
    <w:rsid w:val="000E48B5"/>
    <w:rsid w:val="000E6F5E"/>
    <w:rsid w:val="000E70F3"/>
    <w:rsid w:val="000E7D5A"/>
    <w:rsid w:val="000F3F4C"/>
    <w:rsid w:val="001010E0"/>
    <w:rsid w:val="00103596"/>
    <w:rsid w:val="00104A43"/>
    <w:rsid w:val="00107459"/>
    <w:rsid w:val="00112BAE"/>
    <w:rsid w:val="00117BF4"/>
    <w:rsid w:val="0012231C"/>
    <w:rsid w:val="00124281"/>
    <w:rsid w:val="00126DF4"/>
    <w:rsid w:val="0012701F"/>
    <w:rsid w:val="00131937"/>
    <w:rsid w:val="00131F5C"/>
    <w:rsid w:val="001418D5"/>
    <w:rsid w:val="00142AA3"/>
    <w:rsid w:val="00142DF7"/>
    <w:rsid w:val="001459C7"/>
    <w:rsid w:val="00152861"/>
    <w:rsid w:val="001531D3"/>
    <w:rsid w:val="00155D89"/>
    <w:rsid w:val="00162455"/>
    <w:rsid w:val="00163AFF"/>
    <w:rsid w:val="00166DF8"/>
    <w:rsid w:val="00174D21"/>
    <w:rsid w:val="001765DD"/>
    <w:rsid w:val="001768C4"/>
    <w:rsid w:val="00183858"/>
    <w:rsid w:val="0019346F"/>
    <w:rsid w:val="001939CC"/>
    <w:rsid w:val="001A0899"/>
    <w:rsid w:val="001A48FF"/>
    <w:rsid w:val="001A5C5F"/>
    <w:rsid w:val="001B101E"/>
    <w:rsid w:val="001B24BC"/>
    <w:rsid w:val="001B342B"/>
    <w:rsid w:val="001B5E18"/>
    <w:rsid w:val="001B7E9A"/>
    <w:rsid w:val="001C291F"/>
    <w:rsid w:val="001C4682"/>
    <w:rsid w:val="001C66B1"/>
    <w:rsid w:val="001C68D1"/>
    <w:rsid w:val="001D1B91"/>
    <w:rsid w:val="001D67E5"/>
    <w:rsid w:val="001D7720"/>
    <w:rsid w:val="001E25F7"/>
    <w:rsid w:val="001E2C0C"/>
    <w:rsid w:val="001F0376"/>
    <w:rsid w:val="00205351"/>
    <w:rsid w:val="00205E58"/>
    <w:rsid w:val="00207D13"/>
    <w:rsid w:val="002101C9"/>
    <w:rsid w:val="0021494C"/>
    <w:rsid w:val="00214A22"/>
    <w:rsid w:val="002168BF"/>
    <w:rsid w:val="0022717C"/>
    <w:rsid w:val="0022753C"/>
    <w:rsid w:val="002311E6"/>
    <w:rsid w:val="00236A90"/>
    <w:rsid w:val="00241FB1"/>
    <w:rsid w:val="002443A4"/>
    <w:rsid w:val="00244FFB"/>
    <w:rsid w:val="00247C54"/>
    <w:rsid w:val="00252E03"/>
    <w:rsid w:val="002541B2"/>
    <w:rsid w:val="00254BA0"/>
    <w:rsid w:val="00255C54"/>
    <w:rsid w:val="00256093"/>
    <w:rsid w:val="00257229"/>
    <w:rsid w:val="00261D88"/>
    <w:rsid w:val="00261FF1"/>
    <w:rsid w:val="00262B52"/>
    <w:rsid w:val="00262FBA"/>
    <w:rsid w:val="00276F04"/>
    <w:rsid w:val="00281967"/>
    <w:rsid w:val="00292780"/>
    <w:rsid w:val="002958C0"/>
    <w:rsid w:val="002B025C"/>
    <w:rsid w:val="002B3790"/>
    <w:rsid w:val="002B45D9"/>
    <w:rsid w:val="002B5BAD"/>
    <w:rsid w:val="002C3732"/>
    <w:rsid w:val="002C56C8"/>
    <w:rsid w:val="002C5F87"/>
    <w:rsid w:val="002D1D1D"/>
    <w:rsid w:val="002D28C9"/>
    <w:rsid w:val="002D2D3F"/>
    <w:rsid w:val="002D4B1D"/>
    <w:rsid w:val="002D7979"/>
    <w:rsid w:val="002E0F3C"/>
    <w:rsid w:val="002E3892"/>
    <w:rsid w:val="002E4640"/>
    <w:rsid w:val="002E7E33"/>
    <w:rsid w:val="002F1176"/>
    <w:rsid w:val="00300968"/>
    <w:rsid w:val="00300CAD"/>
    <w:rsid w:val="00305594"/>
    <w:rsid w:val="00311524"/>
    <w:rsid w:val="00311B48"/>
    <w:rsid w:val="00313576"/>
    <w:rsid w:val="0031552A"/>
    <w:rsid w:val="00315955"/>
    <w:rsid w:val="00316467"/>
    <w:rsid w:val="003175E8"/>
    <w:rsid w:val="00317B09"/>
    <w:rsid w:val="0033008C"/>
    <w:rsid w:val="00332E40"/>
    <w:rsid w:val="00334C02"/>
    <w:rsid w:val="00340814"/>
    <w:rsid w:val="00344C60"/>
    <w:rsid w:val="00347436"/>
    <w:rsid w:val="00351287"/>
    <w:rsid w:val="00354C7C"/>
    <w:rsid w:val="00357E90"/>
    <w:rsid w:val="00361D92"/>
    <w:rsid w:val="00364D94"/>
    <w:rsid w:val="00365325"/>
    <w:rsid w:val="003674F4"/>
    <w:rsid w:val="00371E95"/>
    <w:rsid w:val="00377774"/>
    <w:rsid w:val="003828F9"/>
    <w:rsid w:val="0038487D"/>
    <w:rsid w:val="00385EED"/>
    <w:rsid w:val="00390ABD"/>
    <w:rsid w:val="0039597D"/>
    <w:rsid w:val="003A0953"/>
    <w:rsid w:val="003A101B"/>
    <w:rsid w:val="003A1098"/>
    <w:rsid w:val="003A1A02"/>
    <w:rsid w:val="003A670B"/>
    <w:rsid w:val="003B5197"/>
    <w:rsid w:val="003B6409"/>
    <w:rsid w:val="003C0090"/>
    <w:rsid w:val="003C0415"/>
    <w:rsid w:val="003C4823"/>
    <w:rsid w:val="003D62DE"/>
    <w:rsid w:val="003F183F"/>
    <w:rsid w:val="003F4F69"/>
    <w:rsid w:val="003F581C"/>
    <w:rsid w:val="003F7E09"/>
    <w:rsid w:val="004008E4"/>
    <w:rsid w:val="00414D30"/>
    <w:rsid w:val="004234C7"/>
    <w:rsid w:val="0043515B"/>
    <w:rsid w:val="00442118"/>
    <w:rsid w:val="00443ABB"/>
    <w:rsid w:val="00444E6D"/>
    <w:rsid w:val="00447E17"/>
    <w:rsid w:val="00452D9A"/>
    <w:rsid w:val="004541F6"/>
    <w:rsid w:val="00456261"/>
    <w:rsid w:val="00457084"/>
    <w:rsid w:val="004610CB"/>
    <w:rsid w:val="0046246C"/>
    <w:rsid w:val="004628E8"/>
    <w:rsid w:val="00464866"/>
    <w:rsid w:val="00465B73"/>
    <w:rsid w:val="00472773"/>
    <w:rsid w:val="00474AD9"/>
    <w:rsid w:val="00480312"/>
    <w:rsid w:val="004805B5"/>
    <w:rsid w:val="00485324"/>
    <w:rsid w:val="00486414"/>
    <w:rsid w:val="00497110"/>
    <w:rsid w:val="00497AD7"/>
    <w:rsid w:val="004A1A7C"/>
    <w:rsid w:val="004A4861"/>
    <w:rsid w:val="004B1F60"/>
    <w:rsid w:val="004B4FE4"/>
    <w:rsid w:val="004B70F8"/>
    <w:rsid w:val="004C01EB"/>
    <w:rsid w:val="004C1978"/>
    <w:rsid w:val="004E1FD1"/>
    <w:rsid w:val="004E26B7"/>
    <w:rsid w:val="004E4733"/>
    <w:rsid w:val="004E6712"/>
    <w:rsid w:val="004F0A9C"/>
    <w:rsid w:val="004F0E00"/>
    <w:rsid w:val="004F1FE7"/>
    <w:rsid w:val="004F316F"/>
    <w:rsid w:val="004F37AA"/>
    <w:rsid w:val="00500C33"/>
    <w:rsid w:val="00502066"/>
    <w:rsid w:val="00506CB1"/>
    <w:rsid w:val="00510047"/>
    <w:rsid w:val="0051167C"/>
    <w:rsid w:val="005124CB"/>
    <w:rsid w:val="00513FE3"/>
    <w:rsid w:val="00514F6D"/>
    <w:rsid w:val="00520875"/>
    <w:rsid w:val="00520962"/>
    <w:rsid w:val="00522553"/>
    <w:rsid w:val="005234A3"/>
    <w:rsid w:val="00526C03"/>
    <w:rsid w:val="005305D2"/>
    <w:rsid w:val="005337B6"/>
    <w:rsid w:val="0053478D"/>
    <w:rsid w:val="005353CA"/>
    <w:rsid w:val="0056122B"/>
    <w:rsid w:val="00561857"/>
    <w:rsid w:val="005634F2"/>
    <w:rsid w:val="00567562"/>
    <w:rsid w:val="005701D2"/>
    <w:rsid w:val="00573743"/>
    <w:rsid w:val="00573976"/>
    <w:rsid w:val="00576607"/>
    <w:rsid w:val="005821E9"/>
    <w:rsid w:val="00583827"/>
    <w:rsid w:val="00593D87"/>
    <w:rsid w:val="005944B5"/>
    <w:rsid w:val="005A0DD3"/>
    <w:rsid w:val="005A2939"/>
    <w:rsid w:val="005A620C"/>
    <w:rsid w:val="005B10B6"/>
    <w:rsid w:val="005B31F4"/>
    <w:rsid w:val="005B772B"/>
    <w:rsid w:val="005B77B6"/>
    <w:rsid w:val="005C27FF"/>
    <w:rsid w:val="005C395C"/>
    <w:rsid w:val="005C496E"/>
    <w:rsid w:val="005C7949"/>
    <w:rsid w:val="005D0D76"/>
    <w:rsid w:val="005D319D"/>
    <w:rsid w:val="005D75DB"/>
    <w:rsid w:val="005E2A15"/>
    <w:rsid w:val="005E3C5B"/>
    <w:rsid w:val="005E4EDE"/>
    <w:rsid w:val="005F2397"/>
    <w:rsid w:val="005F2D24"/>
    <w:rsid w:val="005F454A"/>
    <w:rsid w:val="005F68F9"/>
    <w:rsid w:val="005F713E"/>
    <w:rsid w:val="005F7E5C"/>
    <w:rsid w:val="006020CF"/>
    <w:rsid w:val="00603063"/>
    <w:rsid w:val="00604CA7"/>
    <w:rsid w:val="0061167A"/>
    <w:rsid w:val="00611CC3"/>
    <w:rsid w:val="00614EAC"/>
    <w:rsid w:val="00615254"/>
    <w:rsid w:val="00620396"/>
    <w:rsid w:val="0062165C"/>
    <w:rsid w:val="0062414C"/>
    <w:rsid w:val="006243AE"/>
    <w:rsid w:val="0063311D"/>
    <w:rsid w:val="006351EB"/>
    <w:rsid w:val="0063669E"/>
    <w:rsid w:val="00637D13"/>
    <w:rsid w:val="00646DEA"/>
    <w:rsid w:val="00646F7B"/>
    <w:rsid w:val="006519BA"/>
    <w:rsid w:val="00652B79"/>
    <w:rsid w:val="00660396"/>
    <w:rsid w:val="00666817"/>
    <w:rsid w:val="0067125A"/>
    <w:rsid w:val="00675558"/>
    <w:rsid w:val="00677D76"/>
    <w:rsid w:val="00683175"/>
    <w:rsid w:val="0069234F"/>
    <w:rsid w:val="00693F23"/>
    <w:rsid w:val="0069627A"/>
    <w:rsid w:val="0069718C"/>
    <w:rsid w:val="00697B31"/>
    <w:rsid w:val="006A48F6"/>
    <w:rsid w:val="006A5E55"/>
    <w:rsid w:val="006B1301"/>
    <w:rsid w:val="006B5C21"/>
    <w:rsid w:val="006C0766"/>
    <w:rsid w:val="006C3148"/>
    <w:rsid w:val="006C5626"/>
    <w:rsid w:val="006C6808"/>
    <w:rsid w:val="006D44BD"/>
    <w:rsid w:val="006D5FFB"/>
    <w:rsid w:val="006D68D7"/>
    <w:rsid w:val="006E0C49"/>
    <w:rsid w:val="006E17DF"/>
    <w:rsid w:val="006E3327"/>
    <w:rsid w:val="006E54B4"/>
    <w:rsid w:val="006E7F61"/>
    <w:rsid w:val="006F5D1F"/>
    <w:rsid w:val="006F72E0"/>
    <w:rsid w:val="006F7F04"/>
    <w:rsid w:val="00700289"/>
    <w:rsid w:val="00705784"/>
    <w:rsid w:val="00714BD3"/>
    <w:rsid w:val="00715376"/>
    <w:rsid w:val="00722018"/>
    <w:rsid w:val="00723000"/>
    <w:rsid w:val="00723FFD"/>
    <w:rsid w:val="00732EF4"/>
    <w:rsid w:val="00733BDC"/>
    <w:rsid w:val="007343DC"/>
    <w:rsid w:val="00736033"/>
    <w:rsid w:val="00736FBE"/>
    <w:rsid w:val="00742804"/>
    <w:rsid w:val="00745DB7"/>
    <w:rsid w:val="007526E0"/>
    <w:rsid w:val="00756965"/>
    <w:rsid w:val="0075707D"/>
    <w:rsid w:val="00757E59"/>
    <w:rsid w:val="00761931"/>
    <w:rsid w:val="00762818"/>
    <w:rsid w:val="0076329F"/>
    <w:rsid w:val="00767574"/>
    <w:rsid w:val="007720F3"/>
    <w:rsid w:val="00772137"/>
    <w:rsid w:val="00772C0D"/>
    <w:rsid w:val="00780AF4"/>
    <w:rsid w:val="00780C8C"/>
    <w:rsid w:val="007825FF"/>
    <w:rsid w:val="00786457"/>
    <w:rsid w:val="007877D0"/>
    <w:rsid w:val="007879AF"/>
    <w:rsid w:val="0079120F"/>
    <w:rsid w:val="0079142C"/>
    <w:rsid w:val="00791A16"/>
    <w:rsid w:val="00791C94"/>
    <w:rsid w:val="007A06FB"/>
    <w:rsid w:val="007A29F4"/>
    <w:rsid w:val="007B22F5"/>
    <w:rsid w:val="007B56F8"/>
    <w:rsid w:val="007B5790"/>
    <w:rsid w:val="007C0AF4"/>
    <w:rsid w:val="007C55FE"/>
    <w:rsid w:val="007C58EE"/>
    <w:rsid w:val="007D1342"/>
    <w:rsid w:val="007D1726"/>
    <w:rsid w:val="007D4E73"/>
    <w:rsid w:val="007D5C3A"/>
    <w:rsid w:val="007D6D5A"/>
    <w:rsid w:val="007D7696"/>
    <w:rsid w:val="007E4122"/>
    <w:rsid w:val="007E45E0"/>
    <w:rsid w:val="00806676"/>
    <w:rsid w:val="00810570"/>
    <w:rsid w:val="00820884"/>
    <w:rsid w:val="00821D26"/>
    <w:rsid w:val="00822AFE"/>
    <w:rsid w:val="00822B9D"/>
    <w:rsid w:val="00825626"/>
    <w:rsid w:val="00832BE9"/>
    <w:rsid w:val="00836B0B"/>
    <w:rsid w:val="00844459"/>
    <w:rsid w:val="0085096D"/>
    <w:rsid w:val="008518AE"/>
    <w:rsid w:val="008569DB"/>
    <w:rsid w:val="0086295C"/>
    <w:rsid w:val="00872FA0"/>
    <w:rsid w:val="0087445D"/>
    <w:rsid w:val="008830E0"/>
    <w:rsid w:val="00890F52"/>
    <w:rsid w:val="00893843"/>
    <w:rsid w:val="00894572"/>
    <w:rsid w:val="00895473"/>
    <w:rsid w:val="008A2836"/>
    <w:rsid w:val="008A290B"/>
    <w:rsid w:val="008A2C89"/>
    <w:rsid w:val="008A41CC"/>
    <w:rsid w:val="008A7D0D"/>
    <w:rsid w:val="008B5AA9"/>
    <w:rsid w:val="008B62C0"/>
    <w:rsid w:val="008C1DE7"/>
    <w:rsid w:val="008C3BBB"/>
    <w:rsid w:val="008C445D"/>
    <w:rsid w:val="008C5AA5"/>
    <w:rsid w:val="008C5BCE"/>
    <w:rsid w:val="008D3D76"/>
    <w:rsid w:val="008E3161"/>
    <w:rsid w:val="008E512E"/>
    <w:rsid w:val="008E551C"/>
    <w:rsid w:val="008E5DA8"/>
    <w:rsid w:val="008E72A4"/>
    <w:rsid w:val="008F0163"/>
    <w:rsid w:val="008F1396"/>
    <w:rsid w:val="008F19CA"/>
    <w:rsid w:val="008F2D0E"/>
    <w:rsid w:val="0090080E"/>
    <w:rsid w:val="00900860"/>
    <w:rsid w:val="0090093E"/>
    <w:rsid w:val="00903215"/>
    <w:rsid w:val="009047D9"/>
    <w:rsid w:val="00904C73"/>
    <w:rsid w:val="0090659B"/>
    <w:rsid w:val="00907D5C"/>
    <w:rsid w:val="00921618"/>
    <w:rsid w:val="00924771"/>
    <w:rsid w:val="00927F35"/>
    <w:rsid w:val="00934F38"/>
    <w:rsid w:val="00935BAE"/>
    <w:rsid w:val="00935D6F"/>
    <w:rsid w:val="00944040"/>
    <w:rsid w:val="00945641"/>
    <w:rsid w:val="0094582B"/>
    <w:rsid w:val="00950AD7"/>
    <w:rsid w:val="00953DB9"/>
    <w:rsid w:val="009615B6"/>
    <w:rsid w:val="009623FA"/>
    <w:rsid w:val="00962FA2"/>
    <w:rsid w:val="009664F8"/>
    <w:rsid w:val="00970B80"/>
    <w:rsid w:val="009747EE"/>
    <w:rsid w:val="00984458"/>
    <w:rsid w:val="009852B6"/>
    <w:rsid w:val="00991EAB"/>
    <w:rsid w:val="00992D07"/>
    <w:rsid w:val="00995B9D"/>
    <w:rsid w:val="00996AC0"/>
    <w:rsid w:val="009B0CE0"/>
    <w:rsid w:val="009B10FE"/>
    <w:rsid w:val="009B1131"/>
    <w:rsid w:val="009B1BF2"/>
    <w:rsid w:val="009C3185"/>
    <w:rsid w:val="009C36AD"/>
    <w:rsid w:val="009C40C3"/>
    <w:rsid w:val="009C414C"/>
    <w:rsid w:val="009C4A14"/>
    <w:rsid w:val="009C4C00"/>
    <w:rsid w:val="009C6BF8"/>
    <w:rsid w:val="009C7007"/>
    <w:rsid w:val="009D0A81"/>
    <w:rsid w:val="009D17DE"/>
    <w:rsid w:val="009D3189"/>
    <w:rsid w:val="009D57BA"/>
    <w:rsid w:val="009D59D3"/>
    <w:rsid w:val="009E3EC3"/>
    <w:rsid w:val="009E7582"/>
    <w:rsid w:val="009F32EC"/>
    <w:rsid w:val="009F3956"/>
    <w:rsid w:val="009F4724"/>
    <w:rsid w:val="009F5104"/>
    <w:rsid w:val="00A007CC"/>
    <w:rsid w:val="00A01BE1"/>
    <w:rsid w:val="00A01D2E"/>
    <w:rsid w:val="00A03318"/>
    <w:rsid w:val="00A068E2"/>
    <w:rsid w:val="00A10F11"/>
    <w:rsid w:val="00A13D3D"/>
    <w:rsid w:val="00A17C18"/>
    <w:rsid w:val="00A24203"/>
    <w:rsid w:val="00A24C07"/>
    <w:rsid w:val="00A256A5"/>
    <w:rsid w:val="00A25BC9"/>
    <w:rsid w:val="00A273EB"/>
    <w:rsid w:val="00A3247F"/>
    <w:rsid w:val="00A33D0F"/>
    <w:rsid w:val="00A34EA5"/>
    <w:rsid w:val="00A378C1"/>
    <w:rsid w:val="00A42C52"/>
    <w:rsid w:val="00A439D6"/>
    <w:rsid w:val="00A44A20"/>
    <w:rsid w:val="00A46087"/>
    <w:rsid w:val="00A5263A"/>
    <w:rsid w:val="00A5469B"/>
    <w:rsid w:val="00A55E7D"/>
    <w:rsid w:val="00A569F4"/>
    <w:rsid w:val="00A57EA9"/>
    <w:rsid w:val="00A600AF"/>
    <w:rsid w:val="00A64709"/>
    <w:rsid w:val="00A65FAD"/>
    <w:rsid w:val="00A677F3"/>
    <w:rsid w:val="00A725C0"/>
    <w:rsid w:val="00A74B64"/>
    <w:rsid w:val="00A81D43"/>
    <w:rsid w:val="00A85354"/>
    <w:rsid w:val="00A87DEB"/>
    <w:rsid w:val="00A91C39"/>
    <w:rsid w:val="00A947B3"/>
    <w:rsid w:val="00A956F8"/>
    <w:rsid w:val="00A97E7A"/>
    <w:rsid w:val="00AA1693"/>
    <w:rsid w:val="00AA2F1E"/>
    <w:rsid w:val="00AA64E7"/>
    <w:rsid w:val="00AB0EE8"/>
    <w:rsid w:val="00AB1D41"/>
    <w:rsid w:val="00AB3537"/>
    <w:rsid w:val="00AB3592"/>
    <w:rsid w:val="00AB6EC8"/>
    <w:rsid w:val="00AC5931"/>
    <w:rsid w:val="00AD1367"/>
    <w:rsid w:val="00AD1ADB"/>
    <w:rsid w:val="00AD3BE7"/>
    <w:rsid w:val="00AD4246"/>
    <w:rsid w:val="00AD715A"/>
    <w:rsid w:val="00AE01F1"/>
    <w:rsid w:val="00AE0361"/>
    <w:rsid w:val="00AE0D44"/>
    <w:rsid w:val="00AE200E"/>
    <w:rsid w:val="00AE2795"/>
    <w:rsid w:val="00AE5102"/>
    <w:rsid w:val="00AE7E34"/>
    <w:rsid w:val="00AF084A"/>
    <w:rsid w:val="00AF232E"/>
    <w:rsid w:val="00AF572F"/>
    <w:rsid w:val="00B002C6"/>
    <w:rsid w:val="00B0386A"/>
    <w:rsid w:val="00B06BFE"/>
    <w:rsid w:val="00B106BC"/>
    <w:rsid w:val="00B10942"/>
    <w:rsid w:val="00B11190"/>
    <w:rsid w:val="00B1313B"/>
    <w:rsid w:val="00B14A90"/>
    <w:rsid w:val="00B15C54"/>
    <w:rsid w:val="00B16385"/>
    <w:rsid w:val="00B329FD"/>
    <w:rsid w:val="00B34D8C"/>
    <w:rsid w:val="00B41039"/>
    <w:rsid w:val="00B51011"/>
    <w:rsid w:val="00B553F9"/>
    <w:rsid w:val="00B60B11"/>
    <w:rsid w:val="00B61A0C"/>
    <w:rsid w:val="00B638B5"/>
    <w:rsid w:val="00B656E2"/>
    <w:rsid w:val="00B73452"/>
    <w:rsid w:val="00B74F49"/>
    <w:rsid w:val="00B75EB0"/>
    <w:rsid w:val="00B862B7"/>
    <w:rsid w:val="00B902D4"/>
    <w:rsid w:val="00B91EDD"/>
    <w:rsid w:val="00B942D4"/>
    <w:rsid w:val="00B956AF"/>
    <w:rsid w:val="00BA0259"/>
    <w:rsid w:val="00BA2465"/>
    <w:rsid w:val="00BA6147"/>
    <w:rsid w:val="00BA717A"/>
    <w:rsid w:val="00BA78AA"/>
    <w:rsid w:val="00BB1975"/>
    <w:rsid w:val="00BB2495"/>
    <w:rsid w:val="00BB561D"/>
    <w:rsid w:val="00BB753A"/>
    <w:rsid w:val="00BB7BB0"/>
    <w:rsid w:val="00BB7E6F"/>
    <w:rsid w:val="00BC0A6E"/>
    <w:rsid w:val="00BC135D"/>
    <w:rsid w:val="00BC1D7E"/>
    <w:rsid w:val="00BC6236"/>
    <w:rsid w:val="00BD35DA"/>
    <w:rsid w:val="00BD78CC"/>
    <w:rsid w:val="00BF5158"/>
    <w:rsid w:val="00BF7C00"/>
    <w:rsid w:val="00C0111F"/>
    <w:rsid w:val="00C11B57"/>
    <w:rsid w:val="00C121DC"/>
    <w:rsid w:val="00C14623"/>
    <w:rsid w:val="00C163BD"/>
    <w:rsid w:val="00C170FC"/>
    <w:rsid w:val="00C20755"/>
    <w:rsid w:val="00C20D97"/>
    <w:rsid w:val="00C21281"/>
    <w:rsid w:val="00C219A9"/>
    <w:rsid w:val="00C24976"/>
    <w:rsid w:val="00C32C3F"/>
    <w:rsid w:val="00C34281"/>
    <w:rsid w:val="00C4357E"/>
    <w:rsid w:val="00C44464"/>
    <w:rsid w:val="00C469CF"/>
    <w:rsid w:val="00C47104"/>
    <w:rsid w:val="00C5257F"/>
    <w:rsid w:val="00C5491A"/>
    <w:rsid w:val="00C54E07"/>
    <w:rsid w:val="00C555BD"/>
    <w:rsid w:val="00C56802"/>
    <w:rsid w:val="00C57C90"/>
    <w:rsid w:val="00C63366"/>
    <w:rsid w:val="00C70DF6"/>
    <w:rsid w:val="00C77713"/>
    <w:rsid w:val="00C77969"/>
    <w:rsid w:val="00C8147F"/>
    <w:rsid w:val="00C82A95"/>
    <w:rsid w:val="00C8358E"/>
    <w:rsid w:val="00C85972"/>
    <w:rsid w:val="00C86C8E"/>
    <w:rsid w:val="00C95688"/>
    <w:rsid w:val="00C95CC6"/>
    <w:rsid w:val="00C960C9"/>
    <w:rsid w:val="00CA1A7E"/>
    <w:rsid w:val="00CA3AF4"/>
    <w:rsid w:val="00CA6A60"/>
    <w:rsid w:val="00CB47D2"/>
    <w:rsid w:val="00CB6638"/>
    <w:rsid w:val="00CB7752"/>
    <w:rsid w:val="00CB7979"/>
    <w:rsid w:val="00CC00E9"/>
    <w:rsid w:val="00CC2A13"/>
    <w:rsid w:val="00CC3265"/>
    <w:rsid w:val="00CC4481"/>
    <w:rsid w:val="00CC4808"/>
    <w:rsid w:val="00CD1178"/>
    <w:rsid w:val="00CD33D1"/>
    <w:rsid w:val="00CD6B72"/>
    <w:rsid w:val="00CD79E4"/>
    <w:rsid w:val="00CE1251"/>
    <w:rsid w:val="00CE2363"/>
    <w:rsid w:val="00CE328B"/>
    <w:rsid w:val="00CE3955"/>
    <w:rsid w:val="00CF22FD"/>
    <w:rsid w:val="00CF61C1"/>
    <w:rsid w:val="00CF6D77"/>
    <w:rsid w:val="00D141C0"/>
    <w:rsid w:val="00D25895"/>
    <w:rsid w:val="00D27818"/>
    <w:rsid w:val="00D32873"/>
    <w:rsid w:val="00D36343"/>
    <w:rsid w:val="00D411C3"/>
    <w:rsid w:val="00D41F98"/>
    <w:rsid w:val="00D44AA0"/>
    <w:rsid w:val="00D46C95"/>
    <w:rsid w:val="00D46D41"/>
    <w:rsid w:val="00D5729E"/>
    <w:rsid w:val="00D576CC"/>
    <w:rsid w:val="00D61695"/>
    <w:rsid w:val="00D71BDA"/>
    <w:rsid w:val="00D7217F"/>
    <w:rsid w:val="00D84BE2"/>
    <w:rsid w:val="00D90256"/>
    <w:rsid w:val="00D90837"/>
    <w:rsid w:val="00D92A32"/>
    <w:rsid w:val="00D95038"/>
    <w:rsid w:val="00DA0943"/>
    <w:rsid w:val="00DA0FD8"/>
    <w:rsid w:val="00DA25A3"/>
    <w:rsid w:val="00DC22F2"/>
    <w:rsid w:val="00DC2B4F"/>
    <w:rsid w:val="00DC2E51"/>
    <w:rsid w:val="00DC3B39"/>
    <w:rsid w:val="00DC4A9D"/>
    <w:rsid w:val="00DC52A6"/>
    <w:rsid w:val="00DD1F90"/>
    <w:rsid w:val="00DD7CD6"/>
    <w:rsid w:val="00DE3097"/>
    <w:rsid w:val="00DE32BD"/>
    <w:rsid w:val="00DE4027"/>
    <w:rsid w:val="00DE6285"/>
    <w:rsid w:val="00DF0F15"/>
    <w:rsid w:val="00DF2760"/>
    <w:rsid w:val="00DF4CCB"/>
    <w:rsid w:val="00E00004"/>
    <w:rsid w:val="00E0007E"/>
    <w:rsid w:val="00E00F18"/>
    <w:rsid w:val="00E07C1A"/>
    <w:rsid w:val="00E108CA"/>
    <w:rsid w:val="00E110F9"/>
    <w:rsid w:val="00E114FA"/>
    <w:rsid w:val="00E20BAA"/>
    <w:rsid w:val="00E2119F"/>
    <w:rsid w:val="00E2170C"/>
    <w:rsid w:val="00E22756"/>
    <w:rsid w:val="00E23B62"/>
    <w:rsid w:val="00E26FA7"/>
    <w:rsid w:val="00E2741B"/>
    <w:rsid w:val="00E31E23"/>
    <w:rsid w:val="00E33C45"/>
    <w:rsid w:val="00E3466B"/>
    <w:rsid w:val="00E37C6E"/>
    <w:rsid w:val="00E404C4"/>
    <w:rsid w:val="00E412EA"/>
    <w:rsid w:val="00E458B8"/>
    <w:rsid w:val="00E50A92"/>
    <w:rsid w:val="00E5179D"/>
    <w:rsid w:val="00E51C82"/>
    <w:rsid w:val="00E5205A"/>
    <w:rsid w:val="00E5219B"/>
    <w:rsid w:val="00E61F73"/>
    <w:rsid w:val="00E63490"/>
    <w:rsid w:val="00E6448E"/>
    <w:rsid w:val="00E66032"/>
    <w:rsid w:val="00E67810"/>
    <w:rsid w:val="00E70DD9"/>
    <w:rsid w:val="00E7274A"/>
    <w:rsid w:val="00E73959"/>
    <w:rsid w:val="00E75F0F"/>
    <w:rsid w:val="00E806AF"/>
    <w:rsid w:val="00E81350"/>
    <w:rsid w:val="00E81B13"/>
    <w:rsid w:val="00E8552C"/>
    <w:rsid w:val="00E8799D"/>
    <w:rsid w:val="00E901EB"/>
    <w:rsid w:val="00E90A39"/>
    <w:rsid w:val="00E9184C"/>
    <w:rsid w:val="00E92041"/>
    <w:rsid w:val="00E9296C"/>
    <w:rsid w:val="00E92A94"/>
    <w:rsid w:val="00E956A2"/>
    <w:rsid w:val="00E9758D"/>
    <w:rsid w:val="00EA34AF"/>
    <w:rsid w:val="00EA6583"/>
    <w:rsid w:val="00EA78CA"/>
    <w:rsid w:val="00EB0D24"/>
    <w:rsid w:val="00EB17D7"/>
    <w:rsid w:val="00EB2411"/>
    <w:rsid w:val="00EC51E9"/>
    <w:rsid w:val="00EC786C"/>
    <w:rsid w:val="00ED06DF"/>
    <w:rsid w:val="00EE17A5"/>
    <w:rsid w:val="00EE2A6D"/>
    <w:rsid w:val="00EF0A27"/>
    <w:rsid w:val="00EF2E7F"/>
    <w:rsid w:val="00EF4352"/>
    <w:rsid w:val="00F04CF0"/>
    <w:rsid w:val="00F07A5C"/>
    <w:rsid w:val="00F1282F"/>
    <w:rsid w:val="00F13651"/>
    <w:rsid w:val="00F15A4A"/>
    <w:rsid w:val="00F20BAC"/>
    <w:rsid w:val="00F22B45"/>
    <w:rsid w:val="00F23604"/>
    <w:rsid w:val="00F26229"/>
    <w:rsid w:val="00F359EB"/>
    <w:rsid w:val="00F376B6"/>
    <w:rsid w:val="00F37BF3"/>
    <w:rsid w:val="00F44273"/>
    <w:rsid w:val="00F4429C"/>
    <w:rsid w:val="00F501E9"/>
    <w:rsid w:val="00F50C18"/>
    <w:rsid w:val="00F50FB9"/>
    <w:rsid w:val="00F539F8"/>
    <w:rsid w:val="00F56CD1"/>
    <w:rsid w:val="00F56D7A"/>
    <w:rsid w:val="00F612D5"/>
    <w:rsid w:val="00F62095"/>
    <w:rsid w:val="00F6256E"/>
    <w:rsid w:val="00F730FD"/>
    <w:rsid w:val="00F73111"/>
    <w:rsid w:val="00F7720B"/>
    <w:rsid w:val="00F77CC5"/>
    <w:rsid w:val="00F80EF1"/>
    <w:rsid w:val="00F814A7"/>
    <w:rsid w:val="00F822F9"/>
    <w:rsid w:val="00F82958"/>
    <w:rsid w:val="00F8474A"/>
    <w:rsid w:val="00F85BA7"/>
    <w:rsid w:val="00F8634F"/>
    <w:rsid w:val="00F86659"/>
    <w:rsid w:val="00F90D03"/>
    <w:rsid w:val="00F9231F"/>
    <w:rsid w:val="00F92DAF"/>
    <w:rsid w:val="00F966CE"/>
    <w:rsid w:val="00F97C17"/>
    <w:rsid w:val="00FA12B5"/>
    <w:rsid w:val="00FA4EAC"/>
    <w:rsid w:val="00FA767C"/>
    <w:rsid w:val="00FB3C59"/>
    <w:rsid w:val="00FC3651"/>
    <w:rsid w:val="00FD2761"/>
    <w:rsid w:val="00FD3F7E"/>
    <w:rsid w:val="00FD5AB3"/>
    <w:rsid w:val="00FD7DD3"/>
    <w:rsid w:val="00FE02CB"/>
    <w:rsid w:val="00FE38C0"/>
    <w:rsid w:val="00FE7D7F"/>
    <w:rsid w:val="00FF0C72"/>
    <w:rsid w:val="00FF1445"/>
    <w:rsid w:val="00FF231C"/>
    <w:rsid w:val="00FF361C"/>
    <w:rsid w:val="00FF6F5C"/>
    <w:rsid w:val="01207B0A"/>
    <w:rsid w:val="018810E1"/>
    <w:rsid w:val="01913B53"/>
    <w:rsid w:val="0213766F"/>
    <w:rsid w:val="02783976"/>
    <w:rsid w:val="028265A2"/>
    <w:rsid w:val="02B91200"/>
    <w:rsid w:val="02C35E24"/>
    <w:rsid w:val="02DC69F8"/>
    <w:rsid w:val="02F57CA9"/>
    <w:rsid w:val="04A63F52"/>
    <w:rsid w:val="04FA2D68"/>
    <w:rsid w:val="05085408"/>
    <w:rsid w:val="0523406D"/>
    <w:rsid w:val="05AB73D8"/>
    <w:rsid w:val="0620509A"/>
    <w:rsid w:val="069F5975"/>
    <w:rsid w:val="06B3161C"/>
    <w:rsid w:val="06B331CE"/>
    <w:rsid w:val="06E635A4"/>
    <w:rsid w:val="07457030"/>
    <w:rsid w:val="07630750"/>
    <w:rsid w:val="084B203D"/>
    <w:rsid w:val="089B2955"/>
    <w:rsid w:val="089D3FDB"/>
    <w:rsid w:val="08BB636A"/>
    <w:rsid w:val="08D363DC"/>
    <w:rsid w:val="08FB2C0B"/>
    <w:rsid w:val="0926503A"/>
    <w:rsid w:val="09321AE0"/>
    <w:rsid w:val="096B7D90"/>
    <w:rsid w:val="09A17C56"/>
    <w:rsid w:val="09EA260E"/>
    <w:rsid w:val="0A814129"/>
    <w:rsid w:val="0A9F0701"/>
    <w:rsid w:val="0ABB3E3F"/>
    <w:rsid w:val="0B8B2A81"/>
    <w:rsid w:val="0BAA5C9D"/>
    <w:rsid w:val="0C450D6C"/>
    <w:rsid w:val="0C4D4692"/>
    <w:rsid w:val="0C745424"/>
    <w:rsid w:val="0E1924B1"/>
    <w:rsid w:val="0E292EC3"/>
    <w:rsid w:val="0E8C2C83"/>
    <w:rsid w:val="102F0B8C"/>
    <w:rsid w:val="106A35BB"/>
    <w:rsid w:val="10AD7440"/>
    <w:rsid w:val="10DB3009"/>
    <w:rsid w:val="11531836"/>
    <w:rsid w:val="1193257A"/>
    <w:rsid w:val="12A273BF"/>
    <w:rsid w:val="12C624DB"/>
    <w:rsid w:val="12CD386A"/>
    <w:rsid w:val="130354DD"/>
    <w:rsid w:val="13044405"/>
    <w:rsid w:val="1331204B"/>
    <w:rsid w:val="13313E49"/>
    <w:rsid w:val="133562A4"/>
    <w:rsid w:val="13A46379"/>
    <w:rsid w:val="13AC3173"/>
    <w:rsid w:val="13E0137B"/>
    <w:rsid w:val="143E480A"/>
    <w:rsid w:val="144968D3"/>
    <w:rsid w:val="147D74EC"/>
    <w:rsid w:val="15EC4007"/>
    <w:rsid w:val="168E2390"/>
    <w:rsid w:val="16CD467C"/>
    <w:rsid w:val="16F72C63"/>
    <w:rsid w:val="17472483"/>
    <w:rsid w:val="175E3EB2"/>
    <w:rsid w:val="179F7397"/>
    <w:rsid w:val="17AC1CA0"/>
    <w:rsid w:val="17B1375A"/>
    <w:rsid w:val="17BD20FF"/>
    <w:rsid w:val="17C25C94"/>
    <w:rsid w:val="17F43647"/>
    <w:rsid w:val="17F61A17"/>
    <w:rsid w:val="17F673BF"/>
    <w:rsid w:val="186712CF"/>
    <w:rsid w:val="188D1AD1"/>
    <w:rsid w:val="1890511D"/>
    <w:rsid w:val="18DA6CE0"/>
    <w:rsid w:val="190B7602"/>
    <w:rsid w:val="19DB3D80"/>
    <w:rsid w:val="1A4F0D0E"/>
    <w:rsid w:val="1A516B2E"/>
    <w:rsid w:val="1A533956"/>
    <w:rsid w:val="1A5F061A"/>
    <w:rsid w:val="1AA475E6"/>
    <w:rsid w:val="1ABA7B1A"/>
    <w:rsid w:val="1AF51BB0"/>
    <w:rsid w:val="1B0F3B71"/>
    <w:rsid w:val="1B157F7A"/>
    <w:rsid w:val="1B3B6807"/>
    <w:rsid w:val="1B9F5A25"/>
    <w:rsid w:val="1BDD2C24"/>
    <w:rsid w:val="1C1775FC"/>
    <w:rsid w:val="1C3D43D1"/>
    <w:rsid w:val="1CB6536F"/>
    <w:rsid w:val="1CC651D8"/>
    <w:rsid w:val="1D103D8F"/>
    <w:rsid w:val="1D4B0418"/>
    <w:rsid w:val="1DCB6BF8"/>
    <w:rsid w:val="1DE2466D"/>
    <w:rsid w:val="1DF61502"/>
    <w:rsid w:val="1E566E09"/>
    <w:rsid w:val="1EB76986"/>
    <w:rsid w:val="1F271F5F"/>
    <w:rsid w:val="1F3256C3"/>
    <w:rsid w:val="1F78690B"/>
    <w:rsid w:val="1F874453"/>
    <w:rsid w:val="1F921359"/>
    <w:rsid w:val="1FBC09B0"/>
    <w:rsid w:val="1FE842E7"/>
    <w:rsid w:val="1FE913A2"/>
    <w:rsid w:val="204976BD"/>
    <w:rsid w:val="20AA1395"/>
    <w:rsid w:val="20CC5D55"/>
    <w:rsid w:val="21026DD4"/>
    <w:rsid w:val="21611D4D"/>
    <w:rsid w:val="21E41F66"/>
    <w:rsid w:val="22D40EB5"/>
    <w:rsid w:val="22F025CC"/>
    <w:rsid w:val="23005595"/>
    <w:rsid w:val="23553853"/>
    <w:rsid w:val="235A7FE2"/>
    <w:rsid w:val="23A14683"/>
    <w:rsid w:val="23CB7951"/>
    <w:rsid w:val="248F097F"/>
    <w:rsid w:val="24A35988"/>
    <w:rsid w:val="24B959FC"/>
    <w:rsid w:val="24D568E7"/>
    <w:rsid w:val="24FB6069"/>
    <w:rsid w:val="25641E0C"/>
    <w:rsid w:val="257C53A7"/>
    <w:rsid w:val="25E52890"/>
    <w:rsid w:val="26380BF9"/>
    <w:rsid w:val="26437C73"/>
    <w:rsid w:val="264677C7"/>
    <w:rsid w:val="264D215C"/>
    <w:rsid w:val="264E519F"/>
    <w:rsid w:val="26FE003E"/>
    <w:rsid w:val="27133AE9"/>
    <w:rsid w:val="27344249"/>
    <w:rsid w:val="27C91581"/>
    <w:rsid w:val="287D7AE4"/>
    <w:rsid w:val="28C677CB"/>
    <w:rsid w:val="28DE6577"/>
    <w:rsid w:val="29127DD1"/>
    <w:rsid w:val="294670A5"/>
    <w:rsid w:val="29F64FFC"/>
    <w:rsid w:val="2A5334FF"/>
    <w:rsid w:val="2AAD0B5C"/>
    <w:rsid w:val="2B607CC3"/>
    <w:rsid w:val="2B8E2201"/>
    <w:rsid w:val="2C1A4639"/>
    <w:rsid w:val="2C2A6795"/>
    <w:rsid w:val="2C6F76C7"/>
    <w:rsid w:val="2C7C54EB"/>
    <w:rsid w:val="2CB73169"/>
    <w:rsid w:val="2CEB6FAF"/>
    <w:rsid w:val="2D356274"/>
    <w:rsid w:val="2DA0687A"/>
    <w:rsid w:val="2DF6381D"/>
    <w:rsid w:val="2E383E35"/>
    <w:rsid w:val="2E5629C0"/>
    <w:rsid w:val="2E6E3B96"/>
    <w:rsid w:val="2EA66FF1"/>
    <w:rsid w:val="2EB711FE"/>
    <w:rsid w:val="2EF273A9"/>
    <w:rsid w:val="2FAA48BF"/>
    <w:rsid w:val="30150C77"/>
    <w:rsid w:val="309B06AC"/>
    <w:rsid w:val="30A21A3A"/>
    <w:rsid w:val="30B01036"/>
    <w:rsid w:val="30E24E48"/>
    <w:rsid w:val="314F1BC2"/>
    <w:rsid w:val="31A041CB"/>
    <w:rsid w:val="31A04A78"/>
    <w:rsid w:val="321338D5"/>
    <w:rsid w:val="32524156"/>
    <w:rsid w:val="326C2300"/>
    <w:rsid w:val="327A0EC0"/>
    <w:rsid w:val="32C959A4"/>
    <w:rsid w:val="33325417"/>
    <w:rsid w:val="3350792B"/>
    <w:rsid w:val="339A4C4A"/>
    <w:rsid w:val="33CB5AF7"/>
    <w:rsid w:val="33E62733"/>
    <w:rsid w:val="33F26952"/>
    <w:rsid w:val="351C4E29"/>
    <w:rsid w:val="352A48EB"/>
    <w:rsid w:val="35481339"/>
    <w:rsid w:val="35527ED3"/>
    <w:rsid w:val="360C62D3"/>
    <w:rsid w:val="36107446"/>
    <w:rsid w:val="362B7978"/>
    <w:rsid w:val="363E0457"/>
    <w:rsid w:val="36453D49"/>
    <w:rsid w:val="36492831"/>
    <w:rsid w:val="366C6D72"/>
    <w:rsid w:val="366D3E8C"/>
    <w:rsid w:val="36890D20"/>
    <w:rsid w:val="36C721FA"/>
    <w:rsid w:val="3712518B"/>
    <w:rsid w:val="372A4E59"/>
    <w:rsid w:val="37310BE1"/>
    <w:rsid w:val="37A34A15"/>
    <w:rsid w:val="37F232A7"/>
    <w:rsid w:val="37F73595"/>
    <w:rsid w:val="37F96EAD"/>
    <w:rsid w:val="3843357E"/>
    <w:rsid w:val="384653A1"/>
    <w:rsid w:val="38505BB5"/>
    <w:rsid w:val="389F4363"/>
    <w:rsid w:val="38A87E0A"/>
    <w:rsid w:val="38B35171"/>
    <w:rsid w:val="394A4C3B"/>
    <w:rsid w:val="39AB5E03"/>
    <w:rsid w:val="39E92488"/>
    <w:rsid w:val="39F552D0"/>
    <w:rsid w:val="3A2801BE"/>
    <w:rsid w:val="3A286049"/>
    <w:rsid w:val="3A5838C6"/>
    <w:rsid w:val="3AB26D1E"/>
    <w:rsid w:val="3AE315CD"/>
    <w:rsid w:val="3B3B3313"/>
    <w:rsid w:val="3B516536"/>
    <w:rsid w:val="3B733902"/>
    <w:rsid w:val="3B7A3CDF"/>
    <w:rsid w:val="3BCE5DD9"/>
    <w:rsid w:val="3BE67FAB"/>
    <w:rsid w:val="3C97441D"/>
    <w:rsid w:val="3C9E57AB"/>
    <w:rsid w:val="3D223E81"/>
    <w:rsid w:val="3D537FD8"/>
    <w:rsid w:val="3D6F51D8"/>
    <w:rsid w:val="3D755F71"/>
    <w:rsid w:val="3D7A2536"/>
    <w:rsid w:val="3D846ED7"/>
    <w:rsid w:val="3E0930F8"/>
    <w:rsid w:val="3E5663C6"/>
    <w:rsid w:val="3E5809F4"/>
    <w:rsid w:val="3E5F71BC"/>
    <w:rsid w:val="3E740EBA"/>
    <w:rsid w:val="3E774E75"/>
    <w:rsid w:val="3E834C59"/>
    <w:rsid w:val="3F367F1D"/>
    <w:rsid w:val="3FA533C4"/>
    <w:rsid w:val="3FC77B4E"/>
    <w:rsid w:val="3FF50AD3"/>
    <w:rsid w:val="414C53C4"/>
    <w:rsid w:val="416936AA"/>
    <w:rsid w:val="4171348E"/>
    <w:rsid w:val="41842500"/>
    <w:rsid w:val="41DE664A"/>
    <w:rsid w:val="420204DA"/>
    <w:rsid w:val="423346D0"/>
    <w:rsid w:val="42504797"/>
    <w:rsid w:val="429D53C2"/>
    <w:rsid w:val="42C60F5C"/>
    <w:rsid w:val="42CA6AC7"/>
    <w:rsid w:val="431A1904"/>
    <w:rsid w:val="431F4B72"/>
    <w:rsid w:val="4320073D"/>
    <w:rsid w:val="4320765B"/>
    <w:rsid w:val="439C6257"/>
    <w:rsid w:val="43CE261E"/>
    <w:rsid w:val="441D16AC"/>
    <w:rsid w:val="44213429"/>
    <w:rsid w:val="449F6565"/>
    <w:rsid w:val="44ED72D0"/>
    <w:rsid w:val="45246A6A"/>
    <w:rsid w:val="454E1745"/>
    <w:rsid w:val="46AC5466"/>
    <w:rsid w:val="47083738"/>
    <w:rsid w:val="47D254BD"/>
    <w:rsid w:val="47D46525"/>
    <w:rsid w:val="47E47287"/>
    <w:rsid w:val="48413E8D"/>
    <w:rsid w:val="487675DC"/>
    <w:rsid w:val="487F0B87"/>
    <w:rsid w:val="48BC66EE"/>
    <w:rsid w:val="49121BEA"/>
    <w:rsid w:val="49443317"/>
    <w:rsid w:val="49613E85"/>
    <w:rsid w:val="497A30FC"/>
    <w:rsid w:val="49951CE4"/>
    <w:rsid w:val="49C11E36"/>
    <w:rsid w:val="4A5C478F"/>
    <w:rsid w:val="4ADD4872"/>
    <w:rsid w:val="4B016D87"/>
    <w:rsid w:val="4B4614E8"/>
    <w:rsid w:val="4B6D570B"/>
    <w:rsid w:val="4BE64A79"/>
    <w:rsid w:val="4C072295"/>
    <w:rsid w:val="4C5453B5"/>
    <w:rsid w:val="4D662315"/>
    <w:rsid w:val="4DB12E65"/>
    <w:rsid w:val="4E872543"/>
    <w:rsid w:val="4E8F764A"/>
    <w:rsid w:val="4F196F13"/>
    <w:rsid w:val="4F2159BA"/>
    <w:rsid w:val="4F247F06"/>
    <w:rsid w:val="4F4C132A"/>
    <w:rsid w:val="4FB37368"/>
    <w:rsid w:val="4FE0460C"/>
    <w:rsid w:val="500C248C"/>
    <w:rsid w:val="506B19F1"/>
    <w:rsid w:val="50AD025B"/>
    <w:rsid w:val="50C51101"/>
    <w:rsid w:val="50DC6037"/>
    <w:rsid w:val="519D5C5C"/>
    <w:rsid w:val="51A9620A"/>
    <w:rsid w:val="51F85506"/>
    <w:rsid w:val="524751DF"/>
    <w:rsid w:val="52644AB9"/>
    <w:rsid w:val="52D63F42"/>
    <w:rsid w:val="53237473"/>
    <w:rsid w:val="536A0A5C"/>
    <w:rsid w:val="539179C0"/>
    <w:rsid w:val="539A53E1"/>
    <w:rsid w:val="53C30205"/>
    <w:rsid w:val="53F15DAF"/>
    <w:rsid w:val="54471B54"/>
    <w:rsid w:val="54596730"/>
    <w:rsid w:val="54967BB3"/>
    <w:rsid w:val="55A5225D"/>
    <w:rsid w:val="55D9155A"/>
    <w:rsid w:val="560B207B"/>
    <w:rsid w:val="56272B59"/>
    <w:rsid w:val="56577E92"/>
    <w:rsid w:val="56674A08"/>
    <w:rsid w:val="5683561C"/>
    <w:rsid w:val="56AB0D99"/>
    <w:rsid w:val="56DA342C"/>
    <w:rsid w:val="57201787"/>
    <w:rsid w:val="57D86446"/>
    <w:rsid w:val="5818245E"/>
    <w:rsid w:val="58802746"/>
    <w:rsid w:val="58A571F6"/>
    <w:rsid w:val="58B959EF"/>
    <w:rsid w:val="58D629C4"/>
    <w:rsid w:val="58DB2731"/>
    <w:rsid w:val="59154BEF"/>
    <w:rsid w:val="591B5E09"/>
    <w:rsid w:val="594700E3"/>
    <w:rsid w:val="5960150F"/>
    <w:rsid w:val="59D81EA5"/>
    <w:rsid w:val="59F44805"/>
    <w:rsid w:val="5A1D0200"/>
    <w:rsid w:val="5A3A490E"/>
    <w:rsid w:val="5A662026"/>
    <w:rsid w:val="5A7B6CD4"/>
    <w:rsid w:val="5C3F445D"/>
    <w:rsid w:val="5C677226"/>
    <w:rsid w:val="5C9E3AD9"/>
    <w:rsid w:val="5D3C274B"/>
    <w:rsid w:val="5E47584B"/>
    <w:rsid w:val="5FF76DFD"/>
    <w:rsid w:val="600C644D"/>
    <w:rsid w:val="603A0512"/>
    <w:rsid w:val="605A0AF3"/>
    <w:rsid w:val="609C5BF9"/>
    <w:rsid w:val="60BD3243"/>
    <w:rsid w:val="61073325"/>
    <w:rsid w:val="62035F2D"/>
    <w:rsid w:val="627110E9"/>
    <w:rsid w:val="62E25B42"/>
    <w:rsid w:val="636C382D"/>
    <w:rsid w:val="63A66B70"/>
    <w:rsid w:val="63A749E0"/>
    <w:rsid w:val="63C60FC0"/>
    <w:rsid w:val="63F81B90"/>
    <w:rsid w:val="6427244F"/>
    <w:rsid w:val="64BF7142"/>
    <w:rsid w:val="64D616D7"/>
    <w:rsid w:val="666A7635"/>
    <w:rsid w:val="66772A46"/>
    <w:rsid w:val="670A0612"/>
    <w:rsid w:val="67446219"/>
    <w:rsid w:val="675B64C8"/>
    <w:rsid w:val="67D0631C"/>
    <w:rsid w:val="68631C14"/>
    <w:rsid w:val="68680898"/>
    <w:rsid w:val="692C32C0"/>
    <w:rsid w:val="69990F25"/>
    <w:rsid w:val="69B77069"/>
    <w:rsid w:val="69E403F2"/>
    <w:rsid w:val="69E90156"/>
    <w:rsid w:val="6A1F745E"/>
    <w:rsid w:val="6A450A4F"/>
    <w:rsid w:val="6AE306AA"/>
    <w:rsid w:val="6B1271E1"/>
    <w:rsid w:val="6B146AB5"/>
    <w:rsid w:val="6B234F4A"/>
    <w:rsid w:val="6B567508"/>
    <w:rsid w:val="6B6F304C"/>
    <w:rsid w:val="6B7A3154"/>
    <w:rsid w:val="6BDE4E25"/>
    <w:rsid w:val="6D055FB4"/>
    <w:rsid w:val="6D4B2536"/>
    <w:rsid w:val="6D567859"/>
    <w:rsid w:val="6E057489"/>
    <w:rsid w:val="6E07229E"/>
    <w:rsid w:val="6E301E58"/>
    <w:rsid w:val="6E5024FA"/>
    <w:rsid w:val="6E867143"/>
    <w:rsid w:val="6EDC5B3C"/>
    <w:rsid w:val="6EE80984"/>
    <w:rsid w:val="6EFB4907"/>
    <w:rsid w:val="6F046682"/>
    <w:rsid w:val="70441BEA"/>
    <w:rsid w:val="70D43718"/>
    <w:rsid w:val="714D6009"/>
    <w:rsid w:val="715E4F2E"/>
    <w:rsid w:val="717604C9"/>
    <w:rsid w:val="71A97BF2"/>
    <w:rsid w:val="71D329D8"/>
    <w:rsid w:val="720023AB"/>
    <w:rsid w:val="720B62BF"/>
    <w:rsid w:val="726522EC"/>
    <w:rsid w:val="726E73F3"/>
    <w:rsid w:val="72A67378"/>
    <w:rsid w:val="735F2141"/>
    <w:rsid w:val="73851CA1"/>
    <w:rsid w:val="73F25CD2"/>
    <w:rsid w:val="7408706A"/>
    <w:rsid w:val="74237D69"/>
    <w:rsid w:val="747C5C15"/>
    <w:rsid w:val="74876442"/>
    <w:rsid w:val="760C31AA"/>
    <w:rsid w:val="760D2A7F"/>
    <w:rsid w:val="763409E0"/>
    <w:rsid w:val="76550D87"/>
    <w:rsid w:val="76E83058"/>
    <w:rsid w:val="771176C7"/>
    <w:rsid w:val="77500A95"/>
    <w:rsid w:val="77DC1354"/>
    <w:rsid w:val="781B279B"/>
    <w:rsid w:val="78435FF9"/>
    <w:rsid w:val="78533545"/>
    <w:rsid w:val="78C13E4C"/>
    <w:rsid w:val="78D855C6"/>
    <w:rsid w:val="78EE6B97"/>
    <w:rsid w:val="7909350D"/>
    <w:rsid w:val="79282F08"/>
    <w:rsid w:val="798B5C2D"/>
    <w:rsid w:val="79BB3AEB"/>
    <w:rsid w:val="79EB30D7"/>
    <w:rsid w:val="79FC3536"/>
    <w:rsid w:val="7A13262E"/>
    <w:rsid w:val="7A676694"/>
    <w:rsid w:val="7A7C01D3"/>
    <w:rsid w:val="7ADB6043"/>
    <w:rsid w:val="7AF46434"/>
    <w:rsid w:val="7B3560B5"/>
    <w:rsid w:val="7B6B5883"/>
    <w:rsid w:val="7B7F7F7B"/>
    <w:rsid w:val="7BAD46E5"/>
    <w:rsid w:val="7C224DAA"/>
    <w:rsid w:val="7C8156DD"/>
    <w:rsid w:val="7CAB2FF1"/>
    <w:rsid w:val="7D4E3613"/>
    <w:rsid w:val="7E290672"/>
    <w:rsid w:val="7E9C0E44"/>
    <w:rsid w:val="7EBD6681"/>
    <w:rsid w:val="7F1B16C7"/>
    <w:rsid w:val="7F1C3BEB"/>
    <w:rsid w:val="7F9C3A4F"/>
    <w:rsid w:val="7F9F3B25"/>
    <w:rsid w:val="7F9F508F"/>
    <w:rsid w:val="7FC8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2"/>
      <w:lang w:val="en-US" w:eastAsia="zh-CN" w:bidi="ar-SA"/>
    </w:rPr>
  </w:style>
  <w:style w:type="paragraph" w:styleId="2">
    <w:name w:val="heading 1"/>
    <w:basedOn w:val="1"/>
    <w:next w:val="1"/>
    <w:link w:val="53"/>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1"/>
    <w:link w:val="49"/>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8"/>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61"/>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6">
    <w:name w:val="heading 5"/>
    <w:basedOn w:val="1"/>
    <w:next w:val="1"/>
    <w:semiHidden/>
    <w:unhideWhenUsed/>
    <w:qFormat/>
    <w:uiPriority w:val="9"/>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unhideWhenUsed/>
    <w:qFormat/>
    <w:uiPriority w:val="39"/>
    <w:pPr>
      <w:ind w:left="2520" w:leftChars="1200"/>
    </w:pPr>
    <w:rPr>
      <w:rFonts w:ascii="Calibri" w:hAnsi="Calibri" w:eastAsia="宋体" w:cs="Times New Roman"/>
      <w:sz w:val="21"/>
    </w:rPr>
  </w:style>
  <w:style w:type="paragraph" w:styleId="8">
    <w:name w:val="Normal Indent"/>
    <w:basedOn w:val="1"/>
    <w:next w:val="9"/>
    <w:link w:val="85"/>
    <w:unhideWhenUsed/>
    <w:qFormat/>
    <w:uiPriority w:val="0"/>
    <w:pPr>
      <w:ind w:firstLine="420" w:firstLineChars="200"/>
    </w:pPr>
  </w:style>
  <w:style w:type="paragraph" w:styleId="9">
    <w:name w:val="Body Text 2"/>
    <w:basedOn w:val="1"/>
    <w:qFormat/>
    <w:uiPriority w:val="0"/>
    <w:pPr>
      <w:spacing w:line="280" w:lineRule="exact"/>
      <w:jc w:val="center"/>
    </w:pPr>
  </w:style>
  <w:style w:type="paragraph" w:styleId="10">
    <w:name w:val="Document Map"/>
    <w:basedOn w:val="1"/>
    <w:link w:val="69"/>
    <w:semiHidden/>
    <w:qFormat/>
    <w:uiPriority w:val="0"/>
    <w:pPr>
      <w:shd w:val="clear" w:color="auto" w:fill="000080"/>
    </w:pPr>
    <w:rPr>
      <w:rFonts w:ascii="Times New Roman" w:hAnsi="Times New Roman" w:eastAsia="宋体" w:cs="Times New Roman"/>
      <w:sz w:val="21"/>
      <w:szCs w:val="24"/>
    </w:rPr>
  </w:style>
  <w:style w:type="paragraph" w:styleId="11">
    <w:name w:val="annotation text"/>
    <w:basedOn w:val="1"/>
    <w:link w:val="63"/>
    <w:qFormat/>
    <w:uiPriority w:val="0"/>
    <w:pPr>
      <w:jc w:val="left"/>
    </w:pPr>
    <w:rPr>
      <w:sz w:val="21"/>
      <w:szCs w:val="24"/>
    </w:rPr>
  </w:style>
  <w:style w:type="paragraph" w:styleId="12">
    <w:name w:val="Body Text"/>
    <w:basedOn w:val="1"/>
    <w:next w:val="1"/>
    <w:link w:val="56"/>
    <w:unhideWhenUsed/>
    <w:qFormat/>
    <w:uiPriority w:val="0"/>
    <w:pPr>
      <w:spacing w:after="120"/>
    </w:pPr>
  </w:style>
  <w:style w:type="paragraph" w:styleId="13">
    <w:name w:val="Body Text Indent"/>
    <w:basedOn w:val="1"/>
    <w:qFormat/>
    <w:uiPriority w:val="0"/>
    <w:pPr>
      <w:spacing w:after="120"/>
      <w:ind w:left="420" w:leftChars="200"/>
    </w:pPr>
  </w:style>
  <w:style w:type="paragraph" w:styleId="14">
    <w:name w:val="List 2"/>
    <w:basedOn w:val="1"/>
    <w:qFormat/>
    <w:uiPriority w:val="0"/>
    <w:pPr>
      <w:spacing w:before="120" w:after="120"/>
      <w:ind w:left="100" w:leftChars="200" w:hanging="200" w:hangingChars="200"/>
    </w:pPr>
    <w:rPr>
      <w:rFonts w:ascii="Times New Roman" w:hAnsi="Times New Roman" w:eastAsia="宋体" w:cs="Times New Roman"/>
      <w:sz w:val="28"/>
      <w:szCs w:val="20"/>
      <w:vertAlign w:val="subscript"/>
    </w:rPr>
  </w:style>
  <w:style w:type="paragraph" w:styleId="15">
    <w:name w:val="toc 5"/>
    <w:basedOn w:val="1"/>
    <w:next w:val="1"/>
    <w:unhideWhenUsed/>
    <w:qFormat/>
    <w:uiPriority w:val="39"/>
    <w:pPr>
      <w:ind w:left="1680" w:leftChars="800"/>
    </w:pPr>
    <w:rPr>
      <w:rFonts w:ascii="Calibri" w:hAnsi="Calibri" w:eastAsia="宋体" w:cs="Times New Roman"/>
      <w:sz w:val="21"/>
    </w:rPr>
  </w:style>
  <w:style w:type="paragraph" w:styleId="16">
    <w:name w:val="toc 3"/>
    <w:basedOn w:val="1"/>
    <w:next w:val="1"/>
    <w:qFormat/>
    <w:uiPriority w:val="39"/>
    <w:pPr>
      <w:ind w:left="840" w:leftChars="400"/>
    </w:pPr>
    <w:rPr>
      <w:rFonts w:ascii="Times New Roman" w:hAnsi="Times New Roman" w:eastAsia="宋体" w:cs="Times New Roman"/>
      <w:sz w:val="21"/>
      <w:szCs w:val="24"/>
    </w:rPr>
  </w:style>
  <w:style w:type="paragraph" w:styleId="17">
    <w:name w:val="Plain Text"/>
    <w:basedOn w:val="1"/>
    <w:link w:val="75"/>
    <w:qFormat/>
    <w:uiPriority w:val="0"/>
    <w:rPr>
      <w:rFonts w:ascii="宋体" w:hAnsi="Courier New" w:eastAsia="宋体" w:cs="宋体"/>
      <w:sz w:val="21"/>
      <w:szCs w:val="21"/>
    </w:rPr>
  </w:style>
  <w:style w:type="paragraph" w:styleId="18">
    <w:name w:val="toc 8"/>
    <w:basedOn w:val="1"/>
    <w:next w:val="1"/>
    <w:unhideWhenUsed/>
    <w:qFormat/>
    <w:uiPriority w:val="39"/>
    <w:pPr>
      <w:ind w:left="2940" w:leftChars="1400"/>
    </w:pPr>
    <w:rPr>
      <w:rFonts w:ascii="Calibri" w:hAnsi="Calibri" w:eastAsia="宋体" w:cs="Times New Roman"/>
      <w:sz w:val="21"/>
    </w:rPr>
  </w:style>
  <w:style w:type="paragraph" w:styleId="19">
    <w:name w:val="Date"/>
    <w:basedOn w:val="1"/>
    <w:next w:val="1"/>
    <w:link w:val="62"/>
    <w:qFormat/>
    <w:uiPriority w:val="0"/>
    <w:pPr>
      <w:ind w:left="100" w:leftChars="2500"/>
    </w:pPr>
    <w:rPr>
      <w:sz w:val="21"/>
      <w:szCs w:val="24"/>
    </w:rPr>
  </w:style>
  <w:style w:type="paragraph" w:styleId="20">
    <w:name w:val="Body Text Indent 2"/>
    <w:basedOn w:val="1"/>
    <w:next w:val="17"/>
    <w:link w:val="58"/>
    <w:unhideWhenUsed/>
    <w:qFormat/>
    <w:uiPriority w:val="99"/>
    <w:pPr>
      <w:spacing w:after="120" w:line="480" w:lineRule="auto"/>
      <w:ind w:left="420" w:leftChars="200"/>
    </w:pPr>
  </w:style>
  <w:style w:type="paragraph" w:styleId="21">
    <w:name w:val="Balloon Text"/>
    <w:basedOn w:val="1"/>
    <w:link w:val="66"/>
    <w:qFormat/>
    <w:uiPriority w:val="0"/>
    <w:rPr>
      <w:sz w:val="18"/>
      <w:szCs w:val="18"/>
    </w:rPr>
  </w:style>
  <w:style w:type="paragraph" w:styleId="22">
    <w:name w:val="footer"/>
    <w:basedOn w:val="1"/>
    <w:link w:val="51"/>
    <w:unhideWhenUsed/>
    <w:qFormat/>
    <w:uiPriority w:val="99"/>
    <w:pPr>
      <w:tabs>
        <w:tab w:val="center" w:pos="4153"/>
        <w:tab w:val="right" w:pos="8306"/>
      </w:tabs>
      <w:snapToGrid w:val="0"/>
      <w:jc w:val="left"/>
    </w:pPr>
    <w:rPr>
      <w:sz w:val="18"/>
      <w:szCs w:val="18"/>
    </w:rPr>
  </w:style>
  <w:style w:type="paragraph" w:styleId="23">
    <w:name w:val="envelope return"/>
    <w:basedOn w:val="1"/>
    <w:qFormat/>
    <w:uiPriority w:val="0"/>
    <w:pPr>
      <w:snapToGrid w:val="0"/>
    </w:pPr>
    <w:rPr>
      <w:rFonts w:ascii="Arial" w:hAnsi="Arial"/>
    </w:rPr>
  </w:style>
  <w:style w:type="paragraph" w:styleId="24">
    <w:name w:val="header"/>
    <w:basedOn w:val="1"/>
    <w:link w:val="50"/>
    <w:unhideWhenUsed/>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rPr>
      <w:rFonts w:ascii="Times New Roman" w:hAnsi="Times New Roman" w:eastAsia="宋体" w:cs="Times New Roman"/>
      <w:sz w:val="21"/>
      <w:szCs w:val="24"/>
    </w:rPr>
  </w:style>
  <w:style w:type="paragraph" w:styleId="26">
    <w:name w:val="toc 4"/>
    <w:basedOn w:val="1"/>
    <w:next w:val="1"/>
    <w:unhideWhenUsed/>
    <w:qFormat/>
    <w:uiPriority w:val="39"/>
    <w:pPr>
      <w:ind w:left="1260" w:leftChars="600"/>
    </w:pPr>
    <w:rPr>
      <w:rFonts w:ascii="Calibri" w:hAnsi="Calibri" w:eastAsia="宋体" w:cs="Times New Roman"/>
      <w:sz w:val="21"/>
    </w:rPr>
  </w:style>
  <w:style w:type="paragraph" w:styleId="27">
    <w:name w:val="toc 6"/>
    <w:basedOn w:val="1"/>
    <w:next w:val="1"/>
    <w:unhideWhenUsed/>
    <w:qFormat/>
    <w:uiPriority w:val="39"/>
    <w:pPr>
      <w:ind w:left="2100" w:leftChars="1000"/>
    </w:pPr>
    <w:rPr>
      <w:rFonts w:ascii="Calibri" w:hAnsi="Calibri" w:eastAsia="宋体" w:cs="Times New Roman"/>
      <w:sz w:val="21"/>
    </w:rPr>
  </w:style>
  <w:style w:type="paragraph" w:styleId="28">
    <w:name w:val="toc 2"/>
    <w:basedOn w:val="1"/>
    <w:next w:val="1"/>
    <w:qFormat/>
    <w:uiPriority w:val="39"/>
    <w:pPr>
      <w:ind w:left="420" w:leftChars="200"/>
    </w:pPr>
    <w:rPr>
      <w:rFonts w:ascii="Times New Roman" w:hAnsi="Times New Roman" w:eastAsia="宋体" w:cs="Times New Roman"/>
      <w:sz w:val="21"/>
      <w:szCs w:val="24"/>
    </w:rPr>
  </w:style>
  <w:style w:type="paragraph" w:styleId="29">
    <w:name w:val="toc 9"/>
    <w:basedOn w:val="1"/>
    <w:next w:val="1"/>
    <w:unhideWhenUsed/>
    <w:qFormat/>
    <w:uiPriority w:val="39"/>
    <w:pPr>
      <w:ind w:left="3360" w:leftChars="1600"/>
    </w:pPr>
    <w:rPr>
      <w:rFonts w:ascii="Calibri" w:hAnsi="Calibri" w:eastAsia="宋体" w:cs="Times New Roman"/>
      <w:sz w:val="21"/>
    </w:rPr>
  </w:style>
  <w:style w:type="paragraph" w:styleId="30">
    <w:name w:val="Normal (Web)"/>
    <w:basedOn w:val="1"/>
    <w:qFormat/>
    <w:uiPriority w:val="99"/>
    <w:pPr>
      <w:widowControl/>
      <w:spacing w:before="100" w:beforeAutospacing="1" w:after="100" w:afterAutospacing="1"/>
      <w:jc w:val="left"/>
    </w:pPr>
    <w:rPr>
      <w:rFonts w:ascii="宋体" w:hAnsi="宋体" w:eastAsia="宋体" w:cs="宋体"/>
      <w:kern w:val="0"/>
      <w:szCs w:val="24"/>
    </w:rPr>
  </w:style>
  <w:style w:type="paragraph" w:styleId="31">
    <w:name w:val="annotation subject"/>
    <w:basedOn w:val="11"/>
    <w:next w:val="11"/>
    <w:link w:val="64"/>
    <w:qFormat/>
    <w:uiPriority w:val="0"/>
    <w:rPr>
      <w:b/>
      <w:bCs/>
    </w:rPr>
  </w:style>
  <w:style w:type="paragraph" w:styleId="32">
    <w:name w:val="Body Text First Indent"/>
    <w:basedOn w:val="12"/>
    <w:next w:val="33"/>
    <w:link w:val="55"/>
    <w:qFormat/>
    <w:uiPriority w:val="0"/>
    <w:pPr>
      <w:ind w:firstLine="420" w:firstLineChars="100"/>
    </w:pPr>
    <w:rPr>
      <w:sz w:val="21"/>
      <w:szCs w:val="24"/>
    </w:rPr>
  </w:style>
  <w:style w:type="paragraph" w:styleId="33">
    <w:name w:val="Body Text First Indent 2"/>
    <w:basedOn w:val="13"/>
    <w:link w:val="89"/>
    <w:qFormat/>
    <w:uiPriority w:val="0"/>
    <w:pPr>
      <w:ind w:firstLine="420" w:firstLineChars="200"/>
    </w:pPr>
    <w:rPr>
      <w:rFonts w:ascii="Times New Roman" w:eastAsia="宋体"/>
      <w:sz w:val="21"/>
    </w:r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22"/>
    <w:rPr>
      <w:b/>
      <w:bCs/>
    </w:rPr>
  </w:style>
  <w:style w:type="character" w:styleId="38">
    <w:name w:val="page number"/>
    <w:basedOn w:val="36"/>
    <w:qFormat/>
    <w:uiPriority w:val="0"/>
  </w:style>
  <w:style w:type="character" w:styleId="39">
    <w:name w:val="FollowedHyperlink"/>
    <w:basedOn w:val="36"/>
    <w:semiHidden/>
    <w:unhideWhenUsed/>
    <w:qFormat/>
    <w:uiPriority w:val="99"/>
    <w:rPr>
      <w:color w:val="1F3149"/>
      <w:u w:val="none"/>
    </w:rPr>
  </w:style>
  <w:style w:type="character" w:styleId="40">
    <w:name w:val="HTML Definition"/>
    <w:basedOn w:val="36"/>
    <w:semiHidden/>
    <w:unhideWhenUsed/>
    <w:qFormat/>
    <w:uiPriority w:val="99"/>
    <w:rPr>
      <w:i/>
      <w:iCs/>
    </w:rPr>
  </w:style>
  <w:style w:type="character" w:styleId="41">
    <w:name w:val="Hyperlink"/>
    <w:basedOn w:val="36"/>
    <w:qFormat/>
    <w:uiPriority w:val="99"/>
    <w:rPr>
      <w:color w:val="1F3149"/>
      <w:u w:val="none"/>
    </w:rPr>
  </w:style>
  <w:style w:type="character" w:styleId="42">
    <w:name w:val="HTML Code"/>
    <w:basedOn w:val="36"/>
    <w:semiHidden/>
    <w:unhideWhenUsed/>
    <w:qFormat/>
    <w:uiPriority w:val="99"/>
    <w:rPr>
      <w:rFonts w:hint="default" w:ascii="Consolas" w:hAnsi="Consolas" w:eastAsia="Consolas" w:cs="Consolas"/>
      <w:color w:val="C7254E"/>
      <w:sz w:val="21"/>
      <w:szCs w:val="21"/>
      <w:shd w:val="clear" w:color="auto" w:fill="F9F2F4"/>
    </w:rPr>
  </w:style>
  <w:style w:type="character" w:styleId="43">
    <w:name w:val="annotation reference"/>
    <w:qFormat/>
    <w:uiPriority w:val="0"/>
    <w:rPr>
      <w:sz w:val="21"/>
      <w:szCs w:val="21"/>
    </w:rPr>
  </w:style>
  <w:style w:type="character" w:styleId="44">
    <w:name w:val="HTML Keyboard"/>
    <w:basedOn w:val="36"/>
    <w:semiHidden/>
    <w:unhideWhenUsed/>
    <w:qFormat/>
    <w:uiPriority w:val="99"/>
    <w:rPr>
      <w:rFonts w:ascii="Consolas" w:hAnsi="Consolas" w:eastAsia="Consolas" w:cs="Consolas"/>
      <w:color w:val="FFFFFF"/>
      <w:sz w:val="21"/>
      <w:szCs w:val="21"/>
      <w:shd w:val="clear" w:color="auto" w:fill="333333"/>
    </w:rPr>
  </w:style>
  <w:style w:type="character" w:styleId="45">
    <w:name w:val="HTML Sample"/>
    <w:basedOn w:val="36"/>
    <w:semiHidden/>
    <w:unhideWhenUsed/>
    <w:qFormat/>
    <w:uiPriority w:val="99"/>
    <w:rPr>
      <w:rFonts w:hint="default" w:ascii="Consolas" w:hAnsi="Consolas" w:eastAsia="Consolas" w:cs="Consolas"/>
      <w:sz w:val="21"/>
      <w:szCs w:val="21"/>
    </w:rPr>
  </w:style>
  <w:style w:type="paragraph" w:customStyle="1" w:styleId="4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7">
    <w:name w:val="_Style 23"/>
    <w:basedOn w:val="1"/>
    <w:qFormat/>
    <w:uiPriority w:val="0"/>
    <w:pPr>
      <w:adjustRightInd w:val="0"/>
      <w:spacing w:line="360" w:lineRule="atLeast"/>
      <w:jc w:val="left"/>
    </w:pPr>
    <w:rPr>
      <w:rFonts w:ascii="Times New Roman" w:hAnsi="Times New Roman" w:eastAsia="宋体" w:cs="Times New Roman"/>
      <w:szCs w:val="24"/>
    </w:rPr>
  </w:style>
  <w:style w:type="character" w:customStyle="1" w:styleId="48">
    <w:name w:val="标题 3 字符"/>
    <w:basedOn w:val="36"/>
    <w:link w:val="4"/>
    <w:semiHidden/>
    <w:qFormat/>
    <w:uiPriority w:val="9"/>
    <w:rPr>
      <w:b/>
      <w:bCs/>
      <w:sz w:val="32"/>
      <w:szCs w:val="32"/>
    </w:rPr>
  </w:style>
  <w:style w:type="character" w:customStyle="1" w:styleId="49">
    <w:name w:val="标题 2 字符"/>
    <w:basedOn w:val="36"/>
    <w:link w:val="3"/>
    <w:semiHidden/>
    <w:qFormat/>
    <w:uiPriority w:val="9"/>
    <w:rPr>
      <w:rFonts w:asciiTheme="majorHAnsi" w:hAnsiTheme="majorHAnsi" w:eastAsiaTheme="majorEastAsia" w:cstheme="majorBidi"/>
      <w:b/>
      <w:bCs/>
      <w:sz w:val="32"/>
      <w:szCs w:val="32"/>
    </w:rPr>
  </w:style>
  <w:style w:type="character" w:customStyle="1" w:styleId="50">
    <w:name w:val="页眉 字符"/>
    <w:basedOn w:val="36"/>
    <w:link w:val="24"/>
    <w:qFormat/>
    <w:uiPriority w:val="99"/>
    <w:rPr>
      <w:sz w:val="18"/>
      <w:szCs w:val="18"/>
    </w:rPr>
  </w:style>
  <w:style w:type="character" w:customStyle="1" w:styleId="51">
    <w:name w:val="页脚 字符"/>
    <w:basedOn w:val="36"/>
    <w:link w:val="22"/>
    <w:qFormat/>
    <w:uiPriority w:val="99"/>
    <w:rPr>
      <w:sz w:val="18"/>
      <w:szCs w:val="18"/>
    </w:rPr>
  </w:style>
  <w:style w:type="paragraph" w:styleId="52">
    <w:name w:val="List Paragraph"/>
    <w:basedOn w:val="1"/>
    <w:qFormat/>
    <w:uiPriority w:val="34"/>
    <w:pPr>
      <w:widowControl/>
      <w:ind w:firstLine="420" w:firstLineChars="200"/>
      <w:jc w:val="left"/>
    </w:pPr>
    <w:rPr>
      <w:rFonts w:ascii="Calibri" w:hAnsi="Calibri" w:eastAsia="宋体" w:cs="Times New Roman"/>
    </w:rPr>
  </w:style>
  <w:style w:type="character" w:customStyle="1" w:styleId="53">
    <w:name w:val="标题 1 字符"/>
    <w:basedOn w:val="36"/>
    <w:link w:val="2"/>
    <w:qFormat/>
    <w:uiPriority w:val="0"/>
    <w:rPr>
      <w:b/>
      <w:bCs/>
      <w:kern w:val="44"/>
      <w:sz w:val="32"/>
      <w:szCs w:val="44"/>
    </w:rPr>
  </w:style>
  <w:style w:type="paragraph" w:customStyle="1" w:styleId="54">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Cs w:val="32"/>
    </w:rPr>
  </w:style>
  <w:style w:type="character" w:customStyle="1" w:styleId="55">
    <w:name w:val="正文文本首行缩进 字符"/>
    <w:link w:val="32"/>
    <w:qFormat/>
    <w:uiPriority w:val="0"/>
    <w:rPr>
      <w:szCs w:val="24"/>
    </w:rPr>
  </w:style>
  <w:style w:type="character" w:customStyle="1" w:styleId="56">
    <w:name w:val="正文文本 字符"/>
    <w:basedOn w:val="36"/>
    <w:link w:val="12"/>
    <w:semiHidden/>
    <w:qFormat/>
    <w:uiPriority w:val="99"/>
    <w:rPr>
      <w:sz w:val="24"/>
    </w:rPr>
  </w:style>
  <w:style w:type="character" w:customStyle="1" w:styleId="57">
    <w:name w:val="正文首行缩进 Char1"/>
    <w:basedOn w:val="56"/>
    <w:semiHidden/>
    <w:qFormat/>
    <w:uiPriority w:val="99"/>
    <w:rPr>
      <w:sz w:val="24"/>
    </w:rPr>
  </w:style>
  <w:style w:type="character" w:customStyle="1" w:styleId="58">
    <w:name w:val="正文文本缩进 2 字符"/>
    <w:basedOn w:val="36"/>
    <w:link w:val="20"/>
    <w:qFormat/>
    <w:uiPriority w:val="99"/>
    <w:rPr>
      <w:sz w:val="24"/>
    </w:rPr>
  </w:style>
  <w:style w:type="paragraph" w:customStyle="1" w:styleId="59">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 w:type="paragraph" w:customStyle="1" w:styleId="60">
    <w:name w:val="样式 标题 3 + (中文) 黑体 小四 非加粗 段前: 7.8 磅 段后: 0 磅 行距: 固定值 20 磅"/>
    <w:basedOn w:val="4"/>
    <w:qFormat/>
    <w:uiPriority w:val="0"/>
    <w:pPr>
      <w:spacing w:before="0" w:after="0" w:line="400" w:lineRule="exact"/>
    </w:pPr>
    <w:rPr>
      <w:rFonts w:ascii="Times New Roman" w:hAnsi="Times New Roman" w:eastAsia="黑体" w:cs="宋体"/>
      <w:b w:val="0"/>
      <w:bCs w:val="0"/>
      <w:sz w:val="24"/>
      <w:szCs w:val="20"/>
    </w:rPr>
  </w:style>
  <w:style w:type="character" w:customStyle="1" w:styleId="61">
    <w:name w:val="标题 4 字符"/>
    <w:basedOn w:val="36"/>
    <w:link w:val="5"/>
    <w:qFormat/>
    <w:uiPriority w:val="0"/>
    <w:rPr>
      <w:rFonts w:ascii="Cambria" w:hAnsi="Cambria" w:eastAsia="宋体" w:cs="Times New Roman"/>
      <w:b/>
      <w:bCs/>
      <w:sz w:val="28"/>
      <w:szCs w:val="28"/>
    </w:rPr>
  </w:style>
  <w:style w:type="character" w:customStyle="1" w:styleId="62">
    <w:name w:val="日期 字符"/>
    <w:link w:val="19"/>
    <w:qFormat/>
    <w:uiPriority w:val="0"/>
    <w:rPr>
      <w:szCs w:val="24"/>
    </w:rPr>
  </w:style>
  <w:style w:type="character" w:customStyle="1" w:styleId="63">
    <w:name w:val="批注文字 字符"/>
    <w:link w:val="11"/>
    <w:qFormat/>
    <w:uiPriority w:val="0"/>
    <w:rPr>
      <w:szCs w:val="24"/>
    </w:rPr>
  </w:style>
  <w:style w:type="character" w:customStyle="1" w:styleId="64">
    <w:name w:val="批注主题 字符"/>
    <w:link w:val="31"/>
    <w:qFormat/>
    <w:uiPriority w:val="0"/>
    <w:rPr>
      <w:b/>
      <w:bCs/>
      <w:szCs w:val="24"/>
    </w:rPr>
  </w:style>
  <w:style w:type="character" w:customStyle="1" w:styleId="65">
    <w:name w:val="apple-style-span"/>
    <w:basedOn w:val="36"/>
    <w:qFormat/>
    <w:uiPriority w:val="0"/>
  </w:style>
  <w:style w:type="character" w:customStyle="1" w:styleId="66">
    <w:name w:val="批注框文本 字符"/>
    <w:link w:val="21"/>
    <w:qFormat/>
    <w:uiPriority w:val="0"/>
    <w:rPr>
      <w:sz w:val="18"/>
      <w:szCs w:val="18"/>
    </w:rPr>
  </w:style>
  <w:style w:type="character" w:customStyle="1" w:styleId="67">
    <w:name w:val="批注文字 Char1"/>
    <w:basedOn w:val="36"/>
    <w:semiHidden/>
    <w:qFormat/>
    <w:uiPriority w:val="99"/>
    <w:rPr>
      <w:sz w:val="24"/>
    </w:rPr>
  </w:style>
  <w:style w:type="character" w:customStyle="1" w:styleId="68">
    <w:name w:val="日期 Char1"/>
    <w:basedOn w:val="36"/>
    <w:semiHidden/>
    <w:qFormat/>
    <w:uiPriority w:val="99"/>
    <w:rPr>
      <w:sz w:val="24"/>
    </w:rPr>
  </w:style>
  <w:style w:type="character" w:customStyle="1" w:styleId="69">
    <w:name w:val="文档结构图 字符"/>
    <w:basedOn w:val="36"/>
    <w:link w:val="10"/>
    <w:semiHidden/>
    <w:qFormat/>
    <w:uiPriority w:val="0"/>
    <w:rPr>
      <w:rFonts w:ascii="Times New Roman" w:hAnsi="Times New Roman" w:eastAsia="宋体" w:cs="Times New Roman"/>
      <w:szCs w:val="24"/>
      <w:shd w:val="clear" w:color="auto" w:fill="000080"/>
    </w:rPr>
  </w:style>
  <w:style w:type="character" w:customStyle="1" w:styleId="70">
    <w:name w:val="批注主题 Char1"/>
    <w:basedOn w:val="67"/>
    <w:semiHidden/>
    <w:qFormat/>
    <w:uiPriority w:val="99"/>
    <w:rPr>
      <w:b/>
      <w:bCs/>
      <w:sz w:val="24"/>
    </w:rPr>
  </w:style>
  <w:style w:type="character" w:customStyle="1" w:styleId="71">
    <w:name w:val="批注框文本 Char1"/>
    <w:basedOn w:val="36"/>
    <w:semiHidden/>
    <w:qFormat/>
    <w:uiPriority w:val="99"/>
    <w:rPr>
      <w:sz w:val="18"/>
      <w:szCs w:val="18"/>
    </w:rPr>
  </w:style>
  <w:style w:type="paragraph" w:customStyle="1" w:styleId="72">
    <w:name w:val="p0"/>
    <w:basedOn w:val="1"/>
    <w:qFormat/>
    <w:uiPriority w:val="0"/>
    <w:pPr>
      <w:widowControl/>
    </w:pPr>
    <w:rPr>
      <w:rFonts w:ascii="Times New Roman" w:hAnsi="Times New Roman" w:eastAsia="宋体" w:cs="Times New Roman"/>
      <w:kern w:val="0"/>
      <w:sz w:val="21"/>
      <w:szCs w:val="21"/>
    </w:rPr>
  </w:style>
  <w:style w:type="paragraph" w:customStyle="1" w:styleId="73">
    <w:name w:val="无间隔1"/>
    <w:basedOn w:val="1"/>
    <w:qFormat/>
    <w:uiPriority w:val="1"/>
    <w:pPr>
      <w:spacing w:line="400" w:lineRule="exact"/>
    </w:pPr>
    <w:rPr>
      <w:rFonts w:ascii="Times New Roman" w:hAnsi="Times New Roman" w:eastAsia="宋体" w:cs="Times New Roman"/>
      <w:szCs w:val="24"/>
    </w:rPr>
  </w:style>
  <w:style w:type="paragraph" w:customStyle="1" w:styleId="7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75">
    <w:name w:val="纯文本 字符"/>
    <w:basedOn w:val="36"/>
    <w:link w:val="17"/>
    <w:qFormat/>
    <w:uiPriority w:val="0"/>
    <w:rPr>
      <w:rFonts w:ascii="宋体" w:hAnsi="Courier New" w:eastAsia="宋体" w:cs="宋体"/>
      <w:szCs w:val="21"/>
    </w:rPr>
  </w:style>
  <w:style w:type="character" w:customStyle="1" w:styleId="76">
    <w:name w:val="hover"/>
    <w:basedOn w:val="36"/>
    <w:qFormat/>
    <w:uiPriority w:val="0"/>
  </w:style>
  <w:style w:type="paragraph" w:customStyle="1" w:styleId="77">
    <w:name w:val="文档正文5"/>
    <w:basedOn w:val="8"/>
    <w:qFormat/>
    <w:uiPriority w:val="0"/>
    <w:pPr>
      <w:autoSpaceDE w:val="0"/>
      <w:autoSpaceDN w:val="0"/>
      <w:snapToGrid w:val="0"/>
      <w:spacing w:line="440" w:lineRule="exact"/>
      <w:ind w:firstLine="505" w:firstLineChars="0"/>
    </w:pPr>
    <w:rPr>
      <w:rFonts w:ascii="Times New Roman" w:hAnsi="Times New Roman" w:eastAsia="仿宋_GB2312" w:cs="Times New Roman"/>
      <w:spacing w:val="4"/>
      <w:szCs w:val="20"/>
    </w:rPr>
  </w:style>
  <w:style w:type="character" w:customStyle="1" w:styleId="78">
    <w:name w:val="MSG_EN_FONT_STYLE_NAME_TEMPLATE_ROLE_NUMBER MSG_EN_FONT_STYLE_NAME_BY_ROLE_TEXT 9_"/>
    <w:basedOn w:val="36"/>
    <w:link w:val="79"/>
    <w:unhideWhenUsed/>
    <w:qFormat/>
    <w:locked/>
    <w:uiPriority w:val="99"/>
    <w:rPr>
      <w:rFonts w:ascii="宋体" w:cs="宋体"/>
      <w:b/>
      <w:bCs/>
      <w:sz w:val="30"/>
      <w:szCs w:val="30"/>
      <w:shd w:val="clear" w:color="auto" w:fill="FFFFFF"/>
    </w:rPr>
  </w:style>
  <w:style w:type="paragraph" w:customStyle="1" w:styleId="79">
    <w:name w:val="MSG_EN_FONT_STYLE_NAME_TEMPLATE_ROLE_NUMBER MSG_EN_FONT_STYLE_NAME_BY_ROLE_TEXT 9"/>
    <w:basedOn w:val="1"/>
    <w:link w:val="78"/>
    <w:unhideWhenUsed/>
    <w:qFormat/>
    <w:uiPriority w:val="99"/>
    <w:pPr>
      <w:shd w:val="clear" w:color="auto" w:fill="FFFFFF"/>
      <w:spacing w:line="557" w:lineRule="exact"/>
      <w:jc w:val="center"/>
    </w:pPr>
    <w:rPr>
      <w:rFonts w:ascii="宋体" w:hAnsi="Calibri" w:eastAsia="宋体" w:cs="宋体"/>
      <w:b/>
      <w:bCs/>
      <w:kern w:val="0"/>
      <w:sz w:val="30"/>
      <w:szCs w:val="30"/>
    </w:rPr>
  </w:style>
  <w:style w:type="character" w:customStyle="1" w:styleId="80">
    <w:name w:val="MSG_EN_FONT_STYLE_NAME_TEMPLATE_ROLE_NUMBER MSG_EN_FONT_STYLE_NAME_BY_ROLE_TEXT 10 + MSG_EN_FONT_STYLE_MODIFER_SIZE 12"/>
    <w:basedOn w:val="81"/>
    <w:unhideWhenUsed/>
    <w:qFormat/>
    <w:uiPriority w:val="99"/>
    <w:rPr>
      <w:rFonts w:ascii="宋体" w:cs="宋体"/>
      <w:b/>
      <w:bCs/>
      <w:sz w:val="22"/>
      <w:szCs w:val="22"/>
      <w:shd w:val="clear" w:color="auto" w:fill="FFFFFF"/>
    </w:rPr>
  </w:style>
  <w:style w:type="character" w:customStyle="1" w:styleId="81">
    <w:name w:val="MSG_EN_FONT_STYLE_NAME_TEMPLATE_ROLE_NUMBER MSG_EN_FONT_STYLE_NAME_BY_ROLE_TEXT 10_"/>
    <w:basedOn w:val="36"/>
    <w:link w:val="82"/>
    <w:unhideWhenUsed/>
    <w:qFormat/>
    <w:locked/>
    <w:uiPriority w:val="99"/>
    <w:rPr>
      <w:rFonts w:ascii="宋体" w:cs="宋体"/>
      <w:sz w:val="22"/>
      <w:szCs w:val="22"/>
      <w:shd w:val="clear" w:color="auto" w:fill="FFFFFF"/>
    </w:rPr>
  </w:style>
  <w:style w:type="paragraph" w:customStyle="1" w:styleId="82">
    <w:name w:val="MSG_EN_FONT_STYLE_NAME_TEMPLATE_ROLE_NUMBER MSG_EN_FONT_STYLE_NAME_BY_ROLE_TEXT 10"/>
    <w:basedOn w:val="1"/>
    <w:link w:val="81"/>
    <w:unhideWhenUsed/>
    <w:qFormat/>
    <w:uiPriority w:val="99"/>
    <w:pPr>
      <w:shd w:val="clear" w:color="auto" w:fill="FFFFFF"/>
      <w:spacing w:line="470" w:lineRule="exact"/>
      <w:jc w:val="left"/>
    </w:pPr>
    <w:rPr>
      <w:rFonts w:ascii="宋体" w:hAnsi="Calibri" w:eastAsia="宋体" w:cs="宋体"/>
      <w:kern w:val="0"/>
      <w:sz w:val="22"/>
    </w:rPr>
  </w:style>
  <w:style w:type="character" w:customStyle="1" w:styleId="83">
    <w:name w:val="MSG_EN_FONT_STYLE_NAME_TEMPLATE_ROLE_LEVEL MSG_EN_FONT_STYLE_NAME_BY_ROLE_HEADING 5_"/>
    <w:basedOn w:val="36"/>
    <w:link w:val="84"/>
    <w:unhideWhenUsed/>
    <w:qFormat/>
    <w:locked/>
    <w:uiPriority w:val="99"/>
    <w:rPr>
      <w:rFonts w:ascii="宋体" w:cs="宋体"/>
      <w:b/>
      <w:bCs/>
      <w:shd w:val="clear" w:color="auto" w:fill="FFFFFF"/>
    </w:rPr>
  </w:style>
  <w:style w:type="paragraph" w:customStyle="1" w:styleId="84">
    <w:name w:val="MSG_EN_FONT_STYLE_NAME_TEMPLATE_ROLE_LEVEL MSG_EN_FONT_STYLE_NAME_BY_ROLE_HEADING 5"/>
    <w:basedOn w:val="1"/>
    <w:link w:val="83"/>
    <w:unhideWhenUsed/>
    <w:qFormat/>
    <w:uiPriority w:val="99"/>
    <w:pPr>
      <w:shd w:val="clear" w:color="auto" w:fill="FFFFFF"/>
      <w:spacing w:before="340" w:after="160" w:line="240" w:lineRule="exact"/>
      <w:jc w:val="center"/>
      <w:outlineLvl w:val="4"/>
    </w:pPr>
    <w:rPr>
      <w:rFonts w:ascii="宋体" w:hAnsi="Calibri" w:eastAsia="宋体" w:cs="宋体"/>
      <w:b/>
      <w:bCs/>
      <w:kern w:val="0"/>
      <w:sz w:val="20"/>
      <w:szCs w:val="20"/>
    </w:rPr>
  </w:style>
  <w:style w:type="character" w:customStyle="1" w:styleId="85">
    <w:name w:val="正文缩进 字符"/>
    <w:link w:val="8"/>
    <w:qFormat/>
    <w:uiPriority w:val="0"/>
    <w:rPr>
      <w:rFonts w:asciiTheme="minorHAnsi" w:hAnsiTheme="minorHAnsi" w:eastAsiaTheme="minorEastAsia" w:cstheme="minorBidi"/>
      <w:kern w:val="2"/>
      <w:sz w:val="24"/>
      <w:szCs w:val="22"/>
    </w:rPr>
  </w:style>
  <w:style w:type="paragraph" w:customStyle="1" w:styleId="86">
    <w:name w:val="_Style 4"/>
    <w:basedOn w:val="2"/>
    <w:next w:val="1"/>
    <w:qFormat/>
    <w:uiPriority w:val="0"/>
    <w:pPr>
      <w:outlineLvl w:val="9"/>
    </w:pPr>
  </w:style>
  <w:style w:type="character" w:customStyle="1" w:styleId="87">
    <w:name w:val="15"/>
    <w:qFormat/>
    <w:uiPriority w:val="0"/>
    <w:rPr>
      <w:rFonts w:ascii="Times New Roman" w:hAnsi="Times New Roman" w:cs="Times New Roman"/>
      <w:b/>
      <w:bCs/>
    </w:rPr>
  </w:style>
  <w:style w:type="paragraph" w:customStyle="1" w:styleId="88">
    <w:name w:val="普通(网站)1"/>
    <w:basedOn w:val="1"/>
    <w:qFormat/>
    <w:uiPriority w:val="0"/>
    <w:pPr>
      <w:widowControl/>
      <w:jc w:val="left"/>
    </w:pPr>
    <w:rPr>
      <w:rFonts w:ascii="Helvetica" w:hAnsi="Helvetica" w:eastAsia="宋体" w:cs="Helvetica"/>
      <w:kern w:val="0"/>
      <w:szCs w:val="24"/>
    </w:rPr>
  </w:style>
  <w:style w:type="character" w:customStyle="1" w:styleId="89">
    <w:name w:val="正文文本首行缩进 2 字符"/>
    <w:basedOn w:val="36"/>
    <w:link w:val="33"/>
    <w:qFormat/>
    <w:uiPriority w:val="0"/>
    <w:rPr>
      <w:rFonts w:ascii="Times New Roman" w:eastAsia="宋体" w:hAnsiTheme="minorHAnsi" w:cstheme="minorBidi"/>
      <w:kern w:val="2"/>
      <w:sz w:val="21"/>
      <w:szCs w:val="22"/>
    </w:rPr>
  </w:style>
  <w:style w:type="paragraph" w:customStyle="1" w:styleId="90">
    <w:name w:val="cjk"/>
    <w:basedOn w:val="1"/>
    <w:qFormat/>
    <w:uiPriority w:val="0"/>
    <w:pPr>
      <w:widowControl/>
      <w:spacing w:before="100" w:beforeAutospacing="1" w:after="100" w:afterAutospacing="1"/>
      <w:jc w:val="left"/>
    </w:pPr>
    <w:rPr>
      <w:rFonts w:ascii="宋体" w:hAnsi="宋体" w:eastAsia="宋体" w:cs="宋体"/>
      <w:kern w:val="0"/>
      <w:szCs w:val="24"/>
    </w:rPr>
  </w:style>
  <w:style w:type="paragraph" w:customStyle="1" w:styleId="91">
    <w:name w:val="No Spacing1"/>
    <w:basedOn w:val="1"/>
    <w:qFormat/>
    <w:uiPriority w:val="0"/>
    <w:pPr>
      <w:spacing w:line="400" w:lineRule="exact"/>
      <w:jc w:val="left"/>
    </w:pPr>
    <w:rPr>
      <w:rFonts w:ascii="Times New Roman" w:hAnsi="Times New Roman" w:eastAsia="宋体" w:cs="宋体"/>
      <w:color w:val="000000"/>
      <w:kern w:val="0"/>
      <w:szCs w:val="24"/>
      <w:lang w:val="zh-CN"/>
    </w:rPr>
  </w:style>
  <w:style w:type="paragraph" w:customStyle="1" w:styleId="92">
    <w:name w:val="*正文"/>
    <w:basedOn w:val="1"/>
    <w:qFormat/>
    <w:uiPriority w:val="0"/>
    <w:pPr>
      <w:keepNext/>
      <w:keepLines/>
      <w:spacing w:line="360" w:lineRule="auto"/>
      <w:ind w:firstLine="200" w:firstLineChars="200"/>
    </w:pPr>
    <w:rPr>
      <w:rFonts w:ascii="宋体" w:hAnsi="宋体" w:eastAsia="宋体" w:cs="Times New Roman"/>
      <w:szCs w:val="24"/>
    </w:rPr>
  </w:style>
  <w:style w:type="table" w:customStyle="1" w:styleId="93">
    <w:name w:val="网格型1"/>
    <w:basedOn w:val="34"/>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4">
    <w:name w:val="color-blue"/>
    <w:basedOn w:val="36"/>
    <w:qFormat/>
    <w:uiPriority w:val="0"/>
    <w:rPr>
      <w:color w:val="1890FF"/>
      <w:sz w:val="14"/>
      <w:szCs w:val="14"/>
      <w:bdr w:val="single" w:color="1890FF" w:sz="4" w:space="0"/>
    </w:rPr>
  </w:style>
  <w:style w:type="character" w:customStyle="1" w:styleId="95">
    <w:name w:val="m-text"/>
    <w:basedOn w:val="36"/>
    <w:qFormat/>
    <w:uiPriority w:val="0"/>
  </w:style>
  <w:style w:type="character" w:customStyle="1" w:styleId="96">
    <w:name w:val="l_10"/>
    <w:basedOn w:val="36"/>
    <w:qFormat/>
    <w:uiPriority w:val="0"/>
  </w:style>
  <w:style w:type="character" w:customStyle="1" w:styleId="97">
    <w:name w:val="color-yellow"/>
    <w:basedOn w:val="36"/>
    <w:qFormat/>
    <w:uiPriority w:val="0"/>
    <w:rPr>
      <w:color w:val="FAAD14"/>
      <w:sz w:val="14"/>
      <w:szCs w:val="14"/>
      <w:bdr w:val="single" w:color="FAAD14" w:sz="4" w:space="0"/>
    </w:rPr>
  </w:style>
  <w:style w:type="character" w:customStyle="1" w:styleId="98">
    <w:name w:val="l_14"/>
    <w:basedOn w:val="36"/>
    <w:qFormat/>
    <w:uiPriority w:val="0"/>
  </w:style>
  <w:style w:type="character" w:customStyle="1" w:styleId="99">
    <w:name w:val="l_141"/>
    <w:basedOn w:val="36"/>
    <w:qFormat/>
    <w:uiPriority w:val="0"/>
  </w:style>
  <w:style w:type="character" w:customStyle="1" w:styleId="100">
    <w:name w:val="l_13"/>
    <w:basedOn w:val="36"/>
    <w:qFormat/>
    <w:uiPriority w:val="0"/>
  </w:style>
  <w:style w:type="character" w:customStyle="1" w:styleId="101">
    <w:name w:val="l_1"/>
    <w:basedOn w:val="36"/>
    <w:qFormat/>
    <w:uiPriority w:val="0"/>
  </w:style>
  <w:style w:type="character" w:customStyle="1" w:styleId="102">
    <w:name w:val="icon_lzrz"/>
    <w:basedOn w:val="36"/>
    <w:qFormat/>
    <w:uiPriority w:val="0"/>
  </w:style>
  <w:style w:type="character" w:customStyle="1" w:styleId="103">
    <w:name w:val="icon_dljg"/>
    <w:basedOn w:val="36"/>
    <w:qFormat/>
    <w:uiPriority w:val="0"/>
  </w:style>
  <w:style w:type="character" w:customStyle="1" w:styleId="104">
    <w:name w:val="icon_cxktbr"/>
    <w:basedOn w:val="36"/>
    <w:qFormat/>
    <w:uiPriority w:val="0"/>
  </w:style>
  <w:style w:type="character" w:customStyle="1" w:styleId="105">
    <w:name w:val="icon_cxkcyry"/>
    <w:basedOn w:val="36"/>
    <w:qFormat/>
    <w:uiPriority w:val="0"/>
  </w:style>
  <w:style w:type="character" w:customStyle="1" w:styleId="106">
    <w:name w:val="color_cdyy"/>
    <w:basedOn w:val="36"/>
    <w:qFormat/>
    <w:uiPriority w:val="0"/>
    <w:rPr>
      <w:color w:val="FFFFFF"/>
      <w:bdr w:val="single" w:color="FFFFFF" w:sz="4" w:space="0"/>
    </w:rPr>
  </w:style>
  <w:style w:type="character" w:customStyle="1" w:styleId="107">
    <w:name w:val="layui-laypage-curr"/>
    <w:basedOn w:val="36"/>
    <w:qFormat/>
    <w:uiPriority w:val="0"/>
  </w:style>
  <w:style w:type="character" w:customStyle="1" w:styleId="108">
    <w:name w:val="l_5"/>
    <w:basedOn w:val="36"/>
    <w:qFormat/>
    <w:uiPriority w:val="0"/>
  </w:style>
  <w:style w:type="character" w:customStyle="1" w:styleId="109">
    <w:name w:val="l_51"/>
    <w:basedOn w:val="36"/>
    <w:qFormat/>
    <w:uiPriority w:val="0"/>
  </w:style>
  <w:style w:type="character" w:customStyle="1" w:styleId="110">
    <w:name w:val="l_6"/>
    <w:basedOn w:val="36"/>
    <w:qFormat/>
    <w:uiPriority w:val="0"/>
  </w:style>
  <w:style w:type="character" w:customStyle="1" w:styleId="111">
    <w:name w:val="l_8"/>
    <w:basedOn w:val="36"/>
    <w:qFormat/>
    <w:uiPriority w:val="0"/>
  </w:style>
  <w:style w:type="character" w:customStyle="1" w:styleId="112">
    <w:name w:val="l_3"/>
    <w:basedOn w:val="36"/>
    <w:qFormat/>
    <w:uiPriority w:val="0"/>
  </w:style>
  <w:style w:type="character" w:customStyle="1" w:styleId="113">
    <w:name w:val="l_0"/>
    <w:basedOn w:val="36"/>
    <w:qFormat/>
    <w:uiPriority w:val="0"/>
  </w:style>
  <w:style w:type="character" w:customStyle="1" w:styleId="114">
    <w:name w:val="l_01"/>
    <w:basedOn w:val="36"/>
    <w:qFormat/>
    <w:uiPriority w:val="0"/>
  </w:style>
  <w:style w:type="character" w:customStyle="1" w:styleId="115">
    <w:name w:val="icon_gzkj"/>
    <w:basedOn w:val="36"/>
    <w:qFormat/>
    <w:uiPriority w:val="0"/>
  </w:style>
  <w:style w:type="character" w:customStyle="1" w:styleId="116">
    <w:name w:val="icon_xzry"/>
    <w:basedOn w:val="36"/>
    <w:qFormat/>
    <w:uiPriority w:val="0"/>
  </w:style>
  <w:style w:type="character" w:customStyle="1" w:styleId="117">
    <w:name w:val="icon_xglc"/>
    <w:basedOn w:val="36"/>
    <w:qFormat/>
    <w:uiPriority w:val="0"/>
  </w:style>
  <w:style w:type="character" w:customStyle="1" w:styleId="118">
    <w:name w:val="l_4"/>
    <w:basedOn w:val="36"/>
    <w:qFormat/>
    <w:uiPriority w:val="0"/>
  </w:style>
  <w:style w:type="character" w:customStyle="1" w:styleId="119">
    <w:name w:val="l_41"/>
    <w:basedOn w:val="36"/>
    <w:qFormat/>
    <w:uiPriority w:val="0"/>
  </w:style>
  <w:style w:type="character" w:customStyle="1" w:styleId="120">
    <w:name w:val="l_2"/>
    <w:basedOn w:val="36"/>
    <w:qFormat/>
    <w:uiPriority w:val="0"/>
  </w:style>
  <w:style w:type="character" w:customStyle="1" w:styleId="121">
    <w:name w:val="l_21"/>
    <w:basedOn w:val="36"/>
    <w:qFormat/>
    <w:uiPriority w:val="0"/>
  </w:style>
  <w:style w:type="character" w:customStyle="1" w:styleId="122">
    <w:name w:val="l_7"/>
    <w:basedOn w:val="36"/>
    <w:qFormat/>
    <w:uiPriority w:val="0"/>
  </w:style>
  <w:style w:type="character" w:customStyle="1" w:styleId="123">
    <w:name w:val="l_71"/>
    <w:basedOn w:val="36"/>
    <w:qFormat/>
    <w:uiPriority w:val="0"/>
  </w:style>
  <w:style w:type="character" w:customStyle="1" w:styleId="124">
    <w:name w:val="l_9"/>
    <w:basedOn w:val="36"/>
    <w:qFormat/>
    <w:uiPriority w:val="0"/>
  </w:style>
  <w:style w:type="character" w:customStyle="1" w:styleId="125">
    <w:name w:val="l_91"/>
    <w:basedOn w:val="36"/>
    <w:qFormat/>
    <w:uiPriority w:val="0"/>
  </w:style>
  <w:style w:type="character" w:customStyle="1" w:styleId="126">
    <w:name w:val="l_11"/>
    <w:basedOn w:val="36"/>
    <w:qFormat/>
    <w:uiPriority w:val="0"/>
  </w:style>
  <w:style w:type="character" w:customStyle="1" w:styleId="127">
    <w:name w:val="l_111"/>
    <w:basedOn w:val="36"/>
    <w:qFormat/>
    <w:uiPriority w:val="0"/>
  </w:style>
  <w:style w:type="character" w:customStyle="1" w:styleId="128">
    <w:name w:val="l_12"/>
    <w:basedOn w:val="36"/>
    <w:qFormat/>
    <w:uiPriority w:val="0"/>
  </w:style>
  <w:style w:type="character" w:customStyle="1" w:styleId="129">
    <w:name w:val="l_121"/>
    <w:basedOn w:val="36"/>
    <w:qFormat/>
    <w:uiPriority w:val="0"/>
  </w:style>
  <w:style w:type="character" w:customStyle="1" w:styleId="130">
    <w:name w:val="l_15"/>
    <w:basedOn w:val="36"/>
    <w:qFormat/>
    <w:uiPriority w:val="0"/>
  </w:style>
  <w:style w:type="character" w:customStyle="1" w:styleId="131">
    <w:name w:val="l_151"/>
    <w:basedOn w:val="36"/>
    <w:qFormat/>
    <w:uiPriority w:val="0"/>
  </w:style>
  <w:style w:type="character" w:customStyle="1" w:styleId="132">
    <w:name w:val="first-child1"/>
    <w:basedOn w:val="36"/>
    <w:qFormat/>
    <w:uiPriority w:val="0"/>
  </w:style>
  <w:style w:type="character" w:customStyle="1" w:styleId="133">
    <w:name w:val="first-child"/>
    <w:basedOn w:val="36"/>
    <w:qFormat/>
    <w:uiPriority w:val="0"/>
  </w:style>
  <w:style w:type="character" w:customStyle="1" w:styleId="134">
    <w:name w:val="l_31"/>
    <w:basedOn w:val="36"/>
    <w:qFormat/>
    <w:uiPriority w:val="0"/>
  </w:style>
  <w:style w:type="character" w:customStyle="1" w:styleId="135">
    <w:name w:val="l_81"/>
    <w:basedOn w:val="36"/>
    <w:qFormat/>
    <w:uiPriority w:val="0"/>
  </w:style>
  <w:style w:type="character" w:customStyle="1" w:styleId="136">
    <w:name w:val="l_131"/>
    <w:basedOn w:val="36"/>
    <w:qFormat/>
    <w:uiPriority w:val="0"/>
  </w:style>
  <w:style w:type="character" w:customStyle="1" w:styleId="137">
    <w:name w:val="l_61"/>
    <w:basedOn w:val="36"/>
    <w:qFormat/>
    <w:uiPriority w:val="0"/>
  </w:style>
  <w:style w:type="character" w:customStyle="1" w:styleId="138">
    <w:name w:val="l_101"/>
    <w:basedOn w:val="36"/>
    <w:qFormat/>
    <w:uiPriority w:val="0"/>
  </w:style>
  <w:style w:type="character" w:customStyle="1" w:styleId="139">
    <w:name w:val="color-yellow1"/>
    <w:basedOn w:val="36"/>
    <w:qFormat/>
    <w:uiPriority w:val="0"/>
    <w:rPr>
      <w:color w:val="FAAD14"/>
      <w:sz w:val="14"/>
      <w:szCs w:val="14"/>
      <w:bdr w:val="single" w:color="FAAD14" w:sz="4" w:space="0"/>
    </w:rPr>
  </w:style>
  <w:style w:type="paragraph" w:customStyle="1" w:styleId="140">
    <w:name w:val="正文首行缩进1"/>
    <w:basedOn w:val="141"/>
    <w:next w:val="142"/>
    <w:unhideWhenUsed/>
    <w:qFormat/>
    <w:uiPriority w:val="99"/>
    <w:pPr>
      <w:ind w:firstLine="420"/>
    </w:pPr>
  </w:style>
  <w:style w:type="paragraph" w:customStyle="1" w:styleId="141">
    <w:name w:val="正文文本1"/>
    <w:basedOn w:val="1"/>
    <w:next w:val="74"/>
    <w:unhideWhenUsed/>
    <w:qFormat/>
    <w:uiPriority w:val="0"/>
    <w:pPr>
      <w:spacing w:before="100" w:beforeAutospacing="1" w:after="120"/>
    </w:pPr>
  </w:style>
  <w:style w:type="paragraph" w:customStyle="1" w:styleId="142">
    <w:name w:val="正文首行缩进 21"/>
    <w:basedOn w:val="143"/>
    <w:next w:val="145"/>
    <w:unhideWhenUsed/>
    <w:qFormat/>
    <w:uiPriority w:val="99"/>
    <w:pPr>
      <w:ind w:firstLine="420"/>
    </w:pPr>
  </w:style>
  <w:style w:type="paragraph" w:customStyle="1" w:styleId="143">
    <w:name w:val="正文文本缩进1"/>
    <w:basedOn w:val="1"/>
    <w:next w:val="144"/>
    <w:unhideWhenUsed/>
    <w:qFormat/>
    <w:uiPriority w:val="0"/>
    <w:pPr>
      <w:spacing w:before="100" w:beforeAutospacing="1"/>
      <w:ind w:left="200"/>
    </w:pPr>
  </w:style>
  <w:style w:type="paragraph" w:customStyle="1" w:styleId="144">
    <w:name w:val="寄信人地址1"/>
    <w:basedOn w:val="1"/>
    <w:unhideWhenUsed/>
    <w:qFormat/>
    <w:uiPriority w:val="0"/>
    <w:rPr>
      <w:rFonts w:ascii="Arial" w:hAnsi="Arial"/>
    </w:rPr>
  </w:style>
  <w:style w:type="paragraph" w:customStyle="1" w:styleId="145">
    <w:name w:val="正文缩进1"/>
    <w:basedOn w:val="1"/>
    <w:next w:val="146"/>
    <w:qFormat/>
    <w:uiPriority w:val="0"/>
    <w:pPr>
      <w:ind w:firstLine="560"/>
    </w:pPr>
    <w:rPr>
      <w:rFonts w:ascii="Times New Roman" w:hAnsi="Times New Roman" w:cs="Times New Roman"/>
      <w:sz w:val="28"/>
      <w:szCs w:val="20"/>
    </w:rPr>
  </w:style>
  <w:style w:type="paragraph" w:customStyle="1" w:styleId="146">
    <w:name w:val="正文文本 21"/>
    <w:basedOn w:val="1"/>
    <w:qFormat/>
    <w:uiPriority w:val="0"/>
    <w:rPr>
      <w:rFonts w:eastAsia="仿宋_GB2312"/>
    </w:rPr>
  </w:style>
  <w:style w:type="character" w:customStyle="1" w:styleId="147">
    <w:name w:val="WPSOffice手动目录 2 Char"/>
    <w:link w:val="148"/>
    <w:qFormat/>
    <w:uiPriority w:val="0"/>
    <w:rPr>
      <w:rFonts w:ascii="Calibri" w:hAnsi="Calibri" w:eastAsia="宋体" w:cs="Times New Roman"/>
      <w:sz w:val="21"/>
      <w:szCs w:val="22"/>
      <w:lang w:val="en-US" w:eastAsia="zh-CN" w:bidi="ar-SA"/>
    </w:rPr>
  </w:style>
  <w:style w:type="paragraph" w:customStyle="1" w:styleId="148">
    <w:name w:val="WPSOffice手动目录 2"/>
    <w:link w:val="147"/>
    <w:qFormat/>
    <w:uiPriority w:val="0"/>
    <w:pPr>
      <w:ind w:leftChars="200"/>
    </w:pPr>
    <w:rPr>
      <w:rFonts w:ascii="Calibri" w:hAnsi="Calibri" w:eastAsia="宋体" w:cs="Times New Roman"/>
      <w:sz w:val="21"/>
      <w:szCs w:val="22"/>
      <w:lang w:val="en-US" w:eastAsia="zh-CN" w:bidi="ar-SA"/>
    </w:rPr>
  </w:style>
  <w:style w:type="character" w:customStyle="1" w:styleId="149">
    <w:name w:val="font01"/>
    <w:basedOn w:val="36"/>
    <w:qFormat/>
    <w:uiPriority w:val="0"/>
    <w:rPr>
      <w:rFonts w:hint="eastAsia" w:ascii="宋体" w:hAnsi="宋体" w:eastAsia="宋体" w:cs="宋体"/>
      <w:color w:val="000000"/>
      <w:sz w:val="22"/>
      <w:szCs w:val="22"/>
      <w:u w:val="none"/>
    </w:rPr>
  </w:style>
  <w:style w:type="paragraph" w:customStyle="1" w:styleId="150">
    <w:name w:val="Cha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textRotate="1"/>
    <customShpInfo spid="_x0000_s4099"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66BF53-1C2D-4A9F-AE87-45B35B3E5FAC}">
  <ds:schemaRefs/>
</ds:datastoreItem>
</file>

<file path=docProps/app.xml><?xml version="1.0" encoding="utf-8"?>
<Properties xmlns="http://schemas.openxmlformats.org/officeDocument/2006/extended-properties" xmlns:vt="http://schemas.openxmlformats.org/officeDocument/2006/docPropsVTypes">
  <Template>Normal</Template>
  <Pages>68</Pages>
  <Words>15654</Words>
  <Characters>17016</Characters>
  <Lines>1741</Lines>
  <Paragraphs>2401</Paragraphs>
  <TotalTime>0</TotalTime>
  <ScaleCrop>false</ScaleCrop>
  <LinksUpToDate>false</LinksUpToDate>
  <CharactersWithSpaces>17434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2019-11-20T02:29:00Z</dcterms:created>
  <dc:creator>高达建设管理发展有限责任公司:陈小磊</dc:creator>
  <cp:lastModifiedBy>开疆拓土</cp:lastModifiedBy>
  <cp:lastPrinted>2025-12-27T11:21:00Z</cp:lastPrinted>
  <dcterms:modified xsi:type="dcterms:W3CDTF">2026-01-30T07:35:13Z</dcterms:modified>
  <cp:revision>716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B528D74990214A338B3BAC2C96EA7859_13</vt:lpwstr>
  </property>
  <property fmtid="{D5CDD505-2E9C-101B-9397-08002B2CF9AE}" pid="4" name="KSOTemplateDocerSaveRecord">
    <vt:lpwstr>eyJoZGlkIjoiYzM0YzUzZTdmMmQ0YTUxNTM1OWI5MWU1YjQyODEyOTgiLCJ1c2VySWQiOiIyODIxMzYxNjIifQ==</vt:lpwstr>
  </property>
</Properties>
</file>