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96"/>
          <w:szCs w:val="72"/>
          <w:highlight w:val="none"/>
        </w:rPr>
      </w:pPr>
      <w:r>
        <w:rPr>
          <w:rFonts w:hint="eastAsia" w:ascii="宋体" w:hAnsi="宋体" w:cs="宋体"/>
          <w:b/>
          <w:bCs/>
          <w:sz w:val="96"/>
          <w:szCs w:val="72"/>
          <w:highlight w:val="none"/>
        </w:rPr>
        <w:t>招  标  文  件</w:t>
      </w:r>
    </w:p>
    <w:p>
      <w:pPr>
        <w:jc w:val="left"/>
        <w:rPr>
          <w:rFonts w:ascii="宋体" w:hAnsi="宋体" w:cs="宋体"/>
          <w:b/>
          <w:bCs/>
          <w:sz w:val="32"/>
          <w:szCs w:val="32"/>
          <w:highlight w:val="none"/>
        </w:rPr>
      </w:pPr>
    </w:p>
    <w:p>
      <w:pPr>
        <w:pStyle w:val="18"/>
        <w:ind w:left="1063" w:hanging="643"/>
        <w:rPr>
          <w:rFonts w:ascii="宋体" w:hAnsi="宋体" w:cs="宋体"/>
          <w:b/>
          <w:bCs/>
          <w:sz w:val="32"/>
          <w:szCs w:val="32"/>
          <w:highlight w:val="none"/>
        </w:rPr>
      </w:pPr>
    </w:p>
    <w:p>
      <w:pPr>
        <w:ind w:left="1606" w:hanging="1606" w:hangingChars="500"/>
        <w:jc w:val="left"/>
        <w:rPr>
          <w:rFonts w:ascii="宋体" w:hAnsi="宋体" w:cs="宋体"/>
          <w:b/>
          <w:bCs/>
          <w:sz w:val="32"/>
          <w:szCs w:val="32"/>
          <w:highlight w:val="none"/>
        </w:rPr>
      </w:pPr>
      <w:r>
        <w:rPr>
          <w:rFonts w:hint="eastAsia" w:ascii="宋体" w:hAnsi="宋体" w:cs="宋体"/>
          <w:b/>
          <w:bCs/>
          <w:sz w:val="32"/>
          <w:szCs w:val="32"/>
          <w:highlight w:val="none"/>
        </w:rPr>
        <w:t>项目名称：平顶山市新华区环境卫生服务中心生活垃圾收运及环境整治（垃圾中转站配套升级改造）项目</w:t>
      </w:r>
    </w:p>
    <w:p>
      <w:pPr>
        <w:rPr>
          <w:rFonts w:ascii="宋体" w:hAnsi="宋体" w:cs="宋体"/>
          <w:b/>
          <w:bCs/>
          <w:sz w:val="32"/>
          <w:szCs w:val="32"/>
          <w:highlight w:val="none"/>
        </w:rPr>
      </w:pPr>
      <w:r>
        <w:rPr>
          <w:rFonts w:hint="eastAsia" w:ascii="宋体" w:hAnsi="宋体" w:cs="宋体"/>
          <w:b/>
          <w:bCs/>
          <w:sz w:val="32"/>
          <w:szCs w:val="32"/>
          <w:highlight w:val="none"/>
        </w:rPr>
        <w:t>采购编号：</w:t>
      </w:r>
      <w:r>
        <w:rPr>
          <w:rFonts w:hint="eastAsia" w:ascii="宋体" w:hAnsi="宋体" w:cs="宋体"/>
          <w:b/>
          <w:bCs/>
          <w:sz w:val="32"/>
          <w:szCs w:val="32"/>
          <w:highlight w:val="none"/>
          <w:lang w:eastAsia="zh-CN"/>
        </w:rPr>
        <w:t>2023-11-18</w:t>
      </w:r>
      <w:r>
        <w:rPr>
          <w:rFonts w:hint="eastAsia" w:ascii="宋体" w:hAnsi="宋体" w:cs="宋体"/>
          <w:b/>
          <w:bCs/>
          <w:sz w:val="32"/>
          <w:szCs w:val="32"/>
          <w:highlight w:val="none"/>
        </w:rPr>
        <w:t xml:space="preserve"> </w:t>
      </w:r>
    </w:p>
    <w:p>
      <w:pPr>
        <w:spacing w:before="104"/>
        <w:rPr>
          <w:rFonts w:ascii="宋体" w:hAnsi="宋体" w:cs="宋体"/>
          <w:sz w:val="28"/>
          <w:szCs w:val="28"/>
          <w:highlight w:val="none"/>
        </w:rPr>
      </w:pPr>
    </w:p>
    <w:p>
      <w:pPr>
        <w:spacing w:before="104" w:line="360" w:lineRule="auto"/>
        <w:ind w:left="38"/>
        <w:jc w:val="center"/>
        <w:rPr>
          <w:rFonts w:ascii="仿宋_GB2312" w:hAnsi="仿宋_GB2312"/>
          <w:sz w:val="28"/>
          <w:szCs w:val="28"/>
          <w:highlight w:val="none"/>
        </w:rPr>
      </w:pPr>
    </w:p>
    <w:p>
      <w:pPr>
        <w:pStyle w:val="18"/>
        <w:ind w:left="840" w:hanging="420"/>
        <w:rPr>
          <w:highlight w:val="none"/>
        </w:rPr>
      </w:pPr>
    </w:p>
    <w:p>
      <w:pPr>
        <w:spacing w:before="104" w:line="360" w:lineRule="auto"/>
        <w:ind w:left="38"/>
        <w:jc w:val="center"/>
        <w:rPr>
          <w:rFonts w:ascii="仿宋_GB2312" w:hAnsi="仿宋_GB2312"/>
          <w:sz w:val="28"/>
          <w:szCs w:val="28"/>
          <w:highlight w:val="none"/>
        </w:rPr>
      </w:pPr>
      <w:r>
        <w:rPr>
          <w:highlight w:val="none"/>
        </w:rPr>
        <w:drawing>
          <wp:inline distT="0" distB="0" distL="114300" distR="114300">
            <wp:extent cx="2152015" cy="1946910"/>
            <wp:effectExtent l="0" t="0" r="635" b="15240"/>
            <wp:docPr id="1" name="图片 1" descr="C:\Users\ADMINI~1\AppData\Local\Temp\ksohtml4259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42592\wps5.jpg"/>
                    <pic:cNvPicPr>
                      <a:picLocks noChangeAspect="1"/>
                    </pic:cNvPicPr>
                  </pic:nvPicPr>
                  <pic:blipFill>
                    <a:blip r:embed="rId6" cstate="print"/>
                    <a:stretch>
                      <a:fillRect/>
                    </a:stretch>
                  </pic:blipFill>
                  <pic:spPr>
                    <a:xfrm>
                      <a:off x="0" y="0"/>
                      <a:ext cx="2152015" cy="1946910"/>
                    </a:xfrm>
                    <a:prstGeom prst="rect">
                      <a:avLst/>
                    </a:prstGeom>
                    <a:noFill/>
                    <a:ln>
                      <a:noFill/>
                    </a:ln>
                  </pic:spPr>
                </pic:pic>
              </a:graphicData>
            </a:graphic>
          </wp:inline>
        </w:drawing>
      </w:r>
    </w:p>
    <w:p>
      <w:pPr>
        <w:pStyle w:val="18"/>
        <w:spacing w:line="360" w:lineRule="auto"/>
        <w:ind w:left="1063" w:hanging="643"/>
        <w:jc w:val="center"/>
        <w:rPr>
          <w:highlight w:val="none"/>
        </w:rPr>
      </w:pPr>
      <w:r>
        <w:rPr>
          <w:rFonts w:ascii="方正美黑简体" w:hAnsi="方正美黑简体"/>
          <w:b/>
          <w:bCs/>
          <w:sz w:val="32"/>
          <w:szCs w:val="32"/>
          <w:highlight w:val="none"/>
        </w:rPr>
        <w:t>全国招标代理机构诚信创优5A级单位</w:t>
      </w:r>
    </w:p>
    <w:p>
      <w:pPr>
        <w:pStyle w:val="18"/>
        <w:ind w:left="840" w:hanging="420"/>
        <w:rPr>
          <w:highlight w:val="none"/>
        </w:rPr>
      </w:pPr>
    </w:p>
    <w:p>
      <w:pPr>
        <w:pStyle w:val="18"/>
        <w:ind w:left="840" w:hanging="420"/>
        <w:rPr>
          <w:highlight w:val="none"/>
        </w:rPr>
      </w:pPr>
    </w:p>
    <w:p>
      <w:pPr>
        <w:pStyle w:val="18"/>
        <w:ind w:left="0" w:leftChars="0" w:firstLine="0" w:firstLineChars="0"/>
        <w:rPr>
          <w:highlight w:val="none"/>
        </w:rPr>
      </w:pPr>
    </w:p>
    <w:p>
      <w:pPr>
        <w:pStyle w:val="18"/>
        <w:ind w:left="0" w:leftChars="0" w:firstLine="0" w:firstLineChars="0"/>
        <w:rPr>
          <w:highlight w:val="none"/>
        </w:rPr>
      </w:pPr>
    </w:p>
    <w:p>
      <w:pPr>
        <w:pStyle w:val="18"/>
        <w:ind w:left="0" w:leftChars="0" w:firstLine="0" w:firstLineChars="0"/>
        <w:rPr>
          <w:highlight w:val="none"/>
        </w:rPr>
      </w:pPr>
    </w:p>
    <w:p>
      <w:pPr>
        <w:spacing w:line="360" w:lineRule="auto"/>
        <w:ind w:left="1256" w:leftChars="598" w:right="-315" w:rightChars="-150" w:firstLine="3"/>
        <w:rPr>
          <w:rFonts w:ascii="宋体" w:hAnsi="宋体" w:cs="宋体"/>
          <w:b/>
          <w:sz w:val="30"/>
          <w:szCs w:val="30"/>
          <w:highlight w:val="none"/>
        </w:rPr>
      </w:pPr>
      <w:r>
        <w:rPr>
          <w:rFonts w:hint="eastAsia" w:ascii="宋体" w:hAnsi="宋体" w:cs="宋体"/>
          <w:b/>
          <w:sz w:val="30"/>
          <w:szCs w:val="30"/>
          <w:highlight w:val="none"/>
        </w:rPr>
        <w:t>采购人: 平顶山市新华区环境卫生服务中心</w:t>
      </w:r>
    </w:p>
    <w:p>
      <w:pPr>
        <w:spacing w:line="360" w:lineRule="auto"/>
        <w:ind w:left="1256" w:leftChars="598" w:right="-315" w:rightChars="-150" w:firstLine="3"/>
        <w:rPr>
          <w:rFonts w:ascii="宋体" w:hAnsi="宋体" w:cs="宋体"/>
          <w:b/>
          <w:sz w:val="30"/>
          <w:szCs w:val="30"/>
          <w:highlight w:val="none"/>
        </w:rPr>
      </w:pPr>
      <w:r>
        <w:rPr>
          <w:rFonts w:hint="eastAsia" w:ascii="宋体" w:hAnsi="宋体" w:cs="宋体"/>
          <w:b/>
          <w:sz w:val="32"/>
          <w:szCs w:val="32"/>
          <w:highlight w:val="none"/>
        </w:rPr>
        <w:t>采购代理机构</w:t>
      </w:r>
      <w:r>
        <w:rPr>
          <w:rFonts w:hint="eastAsia" w:ascii="宋体" w:hAnsi="宋体" w:cs="宋体"/>
          <w:b/>
          <w:sz w:val="30"/>
          <w:szCs w:val="30"/>
          <w:highlight w:val="none"/>
        </w:rPr>
        <w:t xml:space="preserve">：方大国际工程咨询股份有限公司 </w:t>
      </w:r>
    </w:p>
    <w:p>
      <w:pPr>
        <w:spacing w:line="360" w:lineRule="auto"/>
        <w:ind w:firstLine="472" w:firstLineChars="147"/>
        <w:jc w:val="center"/>
        <w:rPr>
          <w:rFonts w:ascii="宋体" w:hAnsi="宋体" w:cs="宋体"/>
          <w:b/>
          <w:sz w:val="32"/>
          <w:szCs w:val="32"/>
          <w:highlight w:val="none"/>
        </w:rPr>
      </w:pPr>
    </w:p>
    <w:p>
      <w:pPr>
        <w:spacing w:line="360" w:lineRule="auto"/>
        <w:ind w:firstLine="472" w:firstLineChars="147"/>
        <w:jc w:val="center"/>
        <w:rPr>
          <w:rFonts w:ascii="宋体" w:hAnsi="宋体" w:cs="宋体"/>
          <w:b/>
          <w:sz w:val="32"/>
          <w:szCs w:val="32"/>
          <w:highlight w:val="none"/>
        </w:rPr>
      </w:pPr>
      <w:r>
        <w:rPr>
          <w:rFonts w:hint="eastAsia" w:ascii="宋体" w:hAnsi="宋体" w:cs="宋体"/>
          <w:b/>
          <w:sz w:val="32"/>
          <w:szCs w:val="32"/>
          <w:highlight w:val="none"/>
        </w:rPr>
        <w:t>2023年11月</w:t>
      </w:r>
    </w:p>
    <w:p>
      <w:pPr>
        <w:spacing w:line="360" w:lineRule="auto"/>
        <w:ind w:firstLine="562" w:firstLineChars="200"/>
        <w:jc w:val="center"/>
        <w:rPr>
          <w:rFonts w:ascii="宋体" w:hAnsi="宋体"/>
          <w:b/>
          <w:sz w:val="28"/>
          <w:szCs w:val="28"/>
          <w:highlight w:val="none"/>
        </w:rPr>
        <w:sectPr>
          <w:pgSz w:w="11906" w:h="16838"/>
          <w:pgMar w:top="1418" w:right="1134" w:bottom="1418" w:left="1134" w:header="851" w:footer="992" w:gutter="0"/>
          <w:pgNumType w:start="1"/>
          <w:cols w:space="720" w:num="1"/>
          <w:docGrid w:type="lines" w:linePitch="312" w:charSpace="0"/>
        </w:sectPr>
      </w:pPr>
    </w:p>
    <w:p>
      <w:pPr>
        <w:spacing w:line="600" w:lineRule="auto"/>
        <w:rPr>
          <w:highlight w:val="none"/>
        </w:rPr>
      </w:pPr>
    </w:p>
    <w:p>
      <w:pPr>
        <w:pStyle w:val="2"/>
        <w:snapToGrid w:val="0"/>
        <w:spacing w:line="240" w:lineRule="auto"/>
        <w:jc w:val="center"/>
        <w:rPr>
          <w:rFonts w:ascii="宋体" w:hAnsi="宋体"/>
          <w:highlight w:val="none"/>
        </w:rPr>
      </w:pPr>
      <w:r>
        <w:rPr>
          <w:rFonts w:hint="eastAsia" w:ascii="宋体" w:hAnsi="宋体"/>
          <w:highlight w:val="none"/>
        </w:rPr>
        <w:t>目  录</w:t>
      </w:r>
      <w:r>
        <w:rPr>
          <w:rFonts w:hint="eastAsia" w:ascii="宋体" w:hAnsi="宋体"/>
          <w:highlight w:val="none"/>
        </w:rPr>
        <w:tab/>
      </w:r>
    </w:p>
    <w:p>
      <w:pPr>
        <w:rPr>
          <w:highlight w:val="none"/>
        </w:rPr>
      </w:pPr>
    </w:p>
    <w:p>
      <w:pPr>
        <w:rPr>
          <w:highlight w:val="none"/>
        </w:rPr>
      </w:pPr>
    </w:p>
    <w:p>
      <w:pPr>
        <w:spacing w:line="480" w:lineRule="auto"/>
        <w:rPr>
          <w:highlight w:val="none"/>
        </w:rPr>
      </w:pPr>
      <w:r>
        <w:rPr>
          <w:rFonts w:hint="eastAsia"/>
          <w:highlight w:val="none"/>
        </w:rPr>
        <w:t>第一章 招标公告</w:t>
      </w:r>
      <w:r>
        <w:rPr>
          <w:rFonts w:hint="eastAsia"/>
          <w:highlight w:val="none"/>
        </w:rPr>
        <w:tab/>
      </w:r>
    </w:p>
    <w:p>
      <w:pPr>
        <w:spacing w:line="480" w:lineRule="auto"/>
        <w:rPr>
          <w:highlight w:val="none"/>
        </w:rPr>
      </w:pPr>
      <w:r>
        <w:rPr>
          <w:rFonts w:hint="eastAsia"/>
          <w:highlight w:val="none"/>
        </w:rPr>
        <w:t>第二章 投标人须知</w:t>
      </w:r>
      <w:r>
        <w:rPr>
          <w:rFonts w:hint="eastAsia"/>
          <w:highlight w:val="none"/>
        </w:rPr>
        <w:tab/>
      </w:r>
    </w:p>
    <w:p>
      <w:pPr>
        <w:spacing w:line="480" w:lineRule="auto"/>
        <w:rPr>
          <w:highlight w:val="none"/>
        </w:rPr>
      </w:pPr>
      <w:r>
        <w:rPr>
          <w:rFonts w:hint="eastAsia"/>
          <w:highlight w:val="none"/>
        </w:rPr>
        <w:t>第三章 评标办法</w:t>
      </w:r>
      <w:r>
        <w:rPr>
          <w:rFonts w:hint="eastAsia"/>
          <w:highlight w:val="none"/>
        </w:rPr>
        <w:tab/>
      </w:r>
    </w:p>
    <w:p>
      <w:pPr>
        <w:spacing w:line="480" w:lineRule="auto"/>
        <w:rPr>
          <w:highlight w:val="none"/>
        </w:rPr>
      </w:pPr>
      <w:r>
        <w:rPr>
          <w:rFonts w:hint="eastAsia"/>
          <w:highlight w:val="none"/>
        </w:rPr>
        <w:t>第四章 合同条款及格式</w:t>
      </w:r>
      <w:r>
        <w:rPr>
          <w:rFonts w:hint="eastAsia"/>
          <w:highlight w:val="none"/>
        </w:rPr>
        <w:tab/>
      </w:r>
    </w:p>
    <w:p>
      <w:pPr>
        <w:spacing w:line="480" w:lineRule="auto"/>
        <w:rPr>
          <w:highlight w:val="none"/>
        </w:rPr>
      </w:pPr>
      <w:r>
        <w:rPr>
          <w:rFonts w:hint="eastAsia"/>
          <w:highlight w:val="none"/>
        </w:rPr>
        <w:t>第五章 采购需求</w:t>
      </w:r>
      <w:r>
        <w:rPr>
          <w:rFonts w:hint="eastAsia"/>
          <w:highlight w:val="none"/>
        </w:rPr>
        <w:tab/>
      </w:r>
    </w:p>
    <w:p>
      <w:pPr>
        <w:spacing w:line="480" w:lineRule="auto"/>
        <w:rPr>
          <w:highlight w:val="none"/>
        </w:rPr>
      </w:pPr>
      <w:r>
        <w:rPr>
          <w:rFonts w:hint="eastAsia"/>
          <w:highlight w:val="none"/>
        </w:rPr>
        <w:t>第六章 投标文件格式</w:t>
      </w:r>
    </w:p>
    <w:p>
      <w:pPr>
        <w:spacing w:line="480" w:lineRule="auto"/>
        <w:rPr>
          <w:highlight w:val="none"/>
        </w:rPr>
      </w:pPr>
      <w:r>
        <w:rPr>
          <w:rFonts w:hint="eastAsia"/>
          <w:highlight w:val="none"/>
        </w:rPr>
        <w:t>第七章 政采领域优化营商环境相关政策</w:t>
      </w:r>
    </w:p>
    <w:p>
      <w:pPr>
        <w:rPr>
          <w:highlight w:val="none"/>
        </w:rPr>
      </w:pPr>
    </w:p>
    <w:p>
      <w:pPr>
        <w:pStyle w:val="2"/>
        <w:snapToGrid w:val="0"/>
        <w:spacing w:line="240" w:lineRule="auto"/>
        <w:jc w:val="center"/>
        <w:rPr>
          <w:rFonts w:ascii="宋体" w:hAnsi="宋体"/>
          <w:highlight w:val="none"/>
        </w:rPr>
      </w:pPr>
      <w:r>
        <w:rPr>
          <w:rFonts w:ascii="宋体" w:hAnsi="宋体"/>
          <w:highlight w:val="none"/>
        </w:rPr>
        <w:br w:type="page"/>
      </w:r>
      <w:bookmarkStart w:id="0" w:name="_Toc5601"/>
      <w:bookmarkStart w:id="1" w:name="_Toc13274"/>
      <w:bookmarkStart w:id="2" w:name="_Toc512597502"/>
      <w:bookmarkStart w:id="3" w:name="_Toc23269_WPSOffice_Level1"/>
      <w:r>
        <w:rPr>
          <w:rFonts w:hint="eastAsia" w:ascii="宋体" w:hAnsi="宋体"/>
          <w:bCs/>
          <w:sz w:val="36"/>
          <w:szCs w:val="36"/>
          <w:highlight w:val="none"/>
        </w:rPr>
        <w:t>第一章 招标公告</w:t>
      </w:r>
      <w:bookmarkEnd w:id="0"/>
      <w:bookmarkEnd w:id="1"/>
      <w:bookmarkEnd w:id="2"/>
      <w:bookmarkEnd w:id="3"/>
    </w:p>
    <w:p>
      <w:pPr>
        <w:spacing w:line="360" w:lineRule="auto"/>
        <w:jc w:val="center"/>
        <w:rPr>
          <w:b/>
          <w:bCs/>
          <w:sz w:val="28"/>
          <w:szCs w:val="28"/>
          <w:highlight w:val="none"/>
        </w:rPr>
      </w:pPr>
      <w:bookmarkStart w:id="4" w:name="_Toc512597503"/>
      <w:r>
        <w:rPr>
          <w:rFonts w:hint="eastAsia"/>
          <w:b/>
          <w:bCs/>
          <w:sz w:val="28"/>
          <w:szCs w:val="28"/>
          <w:highlight w:val="none"/>
        </w:rPr>
        <w:t>【平公资采20231277号】平顶山市新华区环境卫生服务中心关于“平顶山市新华区环境卫生服务中心生活垃圾收运及环境整治（垃圾中转站配套升级改造）项目”的招标公告</w:t>
      </w:r>
    </w:p>
    <w:p>
      <w:pPr>
        <w:spacing w:line="360" w:lineRule="auto"/>
        <w:ind w:firstLine="422" w:firstLineChars="200"/>
        <w:jc w:val="left"/>
        <w:rPr>
          <w:highlight w:val="none"/>
        </w:rPr>
      </w:pPr>
      <w:r>
        <w:rPr>
          <w:rFonts w:hint="eastAsia"/>
          <w:b/>
          <w:bCs/>
          <w:highlight w:val="none"/>
        </w:rPr>
        <w:t>项目概况</w:t>
      </w:r>
    </w:p>
    <w:p>
      <w:pPr>
        <w:spacing w:line="360" w:lineRule="auto"/>
        <w:ind w:firstLine="420" w:firstLineChars="200"/>
        <w:rPr>
          <w:rFonts w:ascii="宋体" w:hAnsi="宋体" w:cs="宋体"/>
          <w:szCs w:val="22"/>
          <w:highlight w:val="none"/>
        </w:rPr>
      </w:pPr>
      <w:r>
        <w:rPr>
          <w:rFonts w:hint="eastAsia" w:hAnsi="宋体" w:cs="宋体"/>
          <w:highlight w:val="none"/>
          <w:u w:val="single"/>
        </w:rPr>
        <w:t>平顶山市新华区环境卫生服务中心生活垃圾收运及环境整治（垃圾中转站配套升级改造）项目</w:t>
      </w:r>
      <w:r>
        <w:rPr>
          <w:rFonts w:hint="eastAsia" w:ascii="宋体" w:hAnsi="宋体" w:cs="宋体"/>
          <w:highlight w:val="none"/>
        </w:rPr>
        <w:t>的潜在投标人应在</w:t>
      </w:r>
      <w:r>
        <w:rPr>
          <w:rFonts w:hint="eastAsia" w:ascii="宋体" w:hAnsi="宋体" w:cs="宋体"/>
          <w:highlight w:val="none"/>
          <w:u w:val="single"/>
        </w:rPr>
        <w:t>《全国公共资源交易平台（河南省·平顶山市）》（网址：http://www.pdsggzy.com/）</w:t>
      </w:r>
      <w:r>
        <w:rPr>
          <w:rFonts w:hint="eastAsia" w:ascii="宋体" w:hAnsi="宋体" w:cs="宋体"/>
          <w:highlight w:val="none"/>
        </w:rPr>
        <w:t>获取招标文件，</w:t>
      </w:r>
      <w:r>
        <w:rPr>
          <w:rFonts w:hint="eastAsia" w:ascii="宋体" w:hAnsi="宋体" w:cs="宋体"/>
          <w:szCs w:val="22"/>
          <w:highlight w:val="none"/>
        </w:rPr>
        <w:t>并于2023年</w:t>
      </w:r>
      <w:r>
        <w:rPr>
          <w:rFonts w:hint="eastAsia" w:ascii="宋体" w:hAnsi="宋体" w:cs="宋体"/>
          <w:szCs w:val="22"/>
          <w:highlight w:val="none"/>
          <w:lang w:val="en-US" w:eastAsia="zh-CN"/>
        </w:rPr>
        <w:t>11</w:t>
      </w:r>
      <w:r>
        <w:rPr>
          <w:rFonts w:hint="eastAsia" w:ascii="宋体" w:hAnsi="宋体" w:cs="宋体"/>
          <w:szCs w:val="22"/>
          <w:highlight w:val="none"/>
        </w:rPr>
        <w:t>月</w:t>
      </w:r>
      <w:r>
        <w:rPr>
          <w:rFonts w:hint="eastAsia" w:ascii="宋体" w:hAnsi="宋体" w:cs="宋体"/>
          <w:szCs w:val="22"/>
          <w:highlight w:val="none"/>
          <w:lang w:val="en-US" w:eastAsia="zh-CN"/>
        </w:rPr>
        <w:t>29</w:t>
      </w:r>
      <w:r>
        <w:rPr>
          <w:rFonts w:hint="eastAsia" w:ascii="宋体" w:hAnsi="宋体" w:cs="宋体"/>
          <w:szCs w:val="22"/>
          <w:highlight w:val="none"/>
        </w:rPr>
        <w:t>日</w:t>
      </w:r>
      <w:r>
        <w:rPr>
          <w:rFonts w:hint="eastAsia" w:ascii="宋体" w:hAnsi="宋体" w:cs="宋体"/>
          <w:szCs w:val="22"/>
          <w:highlight w:val="none"/>
          <w:lang w:val="en-US" w:eastAsia="zh-CN"/>
        </w:rPr>
        <w:t>8</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分（北京时间）前递交投标文件。</w:t>
      </w:r>
    </w:p>
    <w:p>
      <w:pPr>
        <w:spacing w:line="360" w:lineRule="auto"/>
        <w:rPr>
          <w:b/>
          <w:bCs/>
          <w:szCs w:val="22"/>
          <w:highlight w:val="none"/>
        </w:rPr>
      </w:pPr>
      <w:bookmarkStart w:id="5" w:name="_Toc35393621"/>
      <w:bookmarkStart w:id="6" w:name="_Toc35393790"/>
      <w:bookmarkStart w:id="7" w:name="_Toc28359002"/>
      <w:bookmarkStart w:id="8" w:name="_Toc28359079"/>
      <w:bookmarkStart w:id="9" w:name="_Hlk24379207"/>
      <w:r>
        <w:rPr>
          <w:rFonts w:hint="eastAsia"/>
          <w:b/>
          <w:bCs/>
          <w:szCs w:val="22"/>
          <w:highlight w:val="none"/>
        </w:rPr>
        <w:t>一、项目基本情况</w:t>
      </w:r>
      <w:bookmarkEnd w:id="5"/>
      <w:bookmarkEnd w:id="6"/>
      <w:bookmarkEnd w:id="7"/>
      <w:bookmarkEnd w:id="8"/>
    </w:p>
    <w:p>
      <w:pPr>
        <w:spacing w:line="360" w:lineRule="auto"/>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hAnsi="宋体" w:cs="宋体"/>
          <w:highlight w:val="none"/>
        </w:rPr>
        <w:t>项目编号</w:t>
      </w:r>
      <w:r>
        <w:rPr>
          <w:rFonts w:hint="eastAsia" w:ascii="宋体" w:hAnsi="宋体" w:cs="宋体"/>
          <w:highlight w:val="none"/>
        </w:rPr>
        <w:t>：</w:t>
      </w:r>
      <w:r>
        <w:rPr>
          <w:rFonts w:hint="eastAsia" w:ascii="宋体" w:hAnsi="宋体" w:cs="宋体"/>
          <w:highlight w:val="none"/>
          <w:lang w:eastAsia="zh-CN"/>
        </w:rPr>
        <w:t>2023-11-18</w:t>
      </w:r>
    </w:p>
    <w:p>
      <w:pPr>
        <w:spacing w:line="360" w:lineRule="auto"/>
        <w:rPr>
          <w:rFonts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项目名称：</w:t>
      </w:r>
      <w:r>
        <w:rPr>
          <w:rFonts w:hint="eastAsia" w:hAnsi="宋体" w:cs="宋体"/>
          <w:highlight w:val="none"/>
        </w:rPr>
        <w:t>平顶山市新华区环境卫生服务中心生活垃圾收运及环境整治（垃圾中转站配套升级改造）项目</w:t>
      </w:r>
    </w:p>
    <w:bookmarkEnd w:id="9"/>
    <w:p>
      <w:pPr>
        <w:spacing w:line="360" w:lineRule="auto"/>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采购方式</w:t>
      </w:r>
      <w:r>
        <w:rPr>
          <w:rFonts w:hint="eastAsia" w:hAnsi="宋体" w:cs="宋体"/>
          <w:highlight w:val="none"/>
        </w:rPr>
        <w:t>：公开招标</w:t>
      </w:r>
    </w:p>
    <w:p>
      <w:pPr>
        <w:spacing w:line="360" w:lineRule="auto"/>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预算金额：</w:t>
      </w:r>
      <w:r>
        <w:rPr>
          <w:rFonts w:hint="eastAsia" w:hAnsi="宋体" w:cs="宋体"/>
          <w:highlight w:val="none"/>
          <w:lang w:eastAsia="zh-CN"/>
        </w:rPr>
        <w:t>17866337.59</w:t>
      </w:r>
      <w:r>
        <w:rPr>
          <w:rFonts w:hint="eastAsia" w:ascii="宋体" w:hAnsi="宋体" w:cs="宋体"/>
          <w:highlight w:val="none"/>
        </w:rPr>
        <w:t>元</w:t>
      </w:r>
    </w:p>
    <w:p>
      <w:pPr>
        <w:spacing w:line="360" w:lineRule="auto"/>
        <w:rPr>
          <w:rFonts w:ascii="宋体" w:hAnsi="宋体" w:cs="宋体"/>
          <w:highlight w:val="none"/>
        </w:rPr>
      </w:pPr>
      <w:r>
        <w:rPr>
          <w:rFonts w:hint="eastAsia" w:ascii="宋体" w:hAnsi="宋体" w:cs="宋体"/>
          <w:highlight w:val="none"/>
        </w:rPr>
        <w:t>最高限价：</w:t>
      </w:r>
      <w:r>
        <w:rPr>
          <w:rFonts w:hint="eastAsia" w:hAnsi="宋体" w:cs="宋体"/>
          <w:highlight w:val="none"/>
          <w:lang w:eastAsia="zh-CN"/>
        </w:rPr>
        <w:t>17866337.59</w:t>
      </w:r>
      <w:r>
        <w:rPr>
          <w:rFonts w:hint="eastAsia" w:ascii="宋体" w:hAnsi="宋体" w:cs="宋体"/>
          <w:highlight w:val="none"/>
        </w:rPr>
        <w:t>元</w:t>
      </w:r>
    </w:p>
    <w:tbl>
      <w:tblPr>
        <w:tblStyle w:val="36"/>
        <w:tblW w:w="9400" w:type="dxa"/>
        <w:jc w:val="center"/>
        <w:tblInd w:w="0" w:type="dxa"/>
        <w:tblLayout w:type="fixed"/>
        <w:tblCellMar>
          <w:top w:w="0" w:type="dxa"/>
          <w:left w:w="0" w:type="dxa"/>
          <w:bottom w:w="0" w:type="dxa"/>
          <w:right w:w="0" w:type="dxa"/>
        </w:tblCellMar>
      </w:tblPr>
      <w:tblGrid>
        <w:gridCol w:w="433"/>
        <w:gridCol w:w="2370"/>
        <w:gridCol w:w="2676"/>
        <w:gridCol w:w="1505"/>
        <w:gridCol w:w="2416"/>
      </w:tblGrid>
      <w:tr>
        <w:tblPrEx>
          <w:tblLayout w:type="fixed"/>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包号</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包名称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包预算（元）</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包最高限价（元）</w:t>
            </w:r>
          </w:p>
        </w:tc>
      </w:tr>
      <w:tr>
        <w:tblPrEx>
          <w:tblLayout w:type="fixed"/>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hAnsi="宋体" w:cs="宋体"/>
                <w:szCs w:val="22"/>
                <w:highlight w:val="none"/>
              </w:rPr>
              <w:t>平公资采20231277号-1</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highlight w:val="none"/>
              </w:rPr>
            </w:pPr>
            <w:r>
              <w:rPr>
                <w:rFonts w:hint="eastAsia" w:hAnsi="宋体" w:cs="宋体"/>
                <w:highlight w:val="none"/>
              </w:rPr>
              <w:t>平顶山市新华区环境卫生服务中心生活垃圾收运及环境整治（垃圾中转站配套升级改造）项目</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highlight w:val="none"/>
                <w:lang w:eastAsia="zh-CN"/>
              </w:rPr>
            </w:pPr>
            <w:r>
              <w:rPr>
                <w:rFonts w:hint="eastAsia" w:hAnsi="宋体" w:cs="宋体"/>
                <w:highlight w:val="none"/>
                <w:lang w:eastAsia="zh-CN"/>
              </w:rPr>
              <w:t>17866337.59</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highlight w:val="none"/>
                <w:lang w:eastAsia="zh-CN"/>
              </w:rPr>
            </w:pPr>
            <w:r>
              <w:rPr>
                <w:rFonts w:hint="eastAsia" w:hAnsi="宋体" w:cs="宋体"/>
                <w:highlight w:val="none"/>
                <w:lang w:eastAsia="zh-CN"/>
              </w:rPr>
              <w:t>17866337.59</w:t>
            </w:r>
          </w:p>
        </w:tc>
      </w:tr>
    </w:tbl>
    <w:p>
      <w:pPr>
        <w:spacing w:line="360" w:lineRule="auto"/>
        <w:rPr>
          <w:highlight w:val="none"/>
        </w:rPr>
      </w:pPr>
      <w:r>
        <w:rPr>
          <w:rFonts w:hint="eastAsia"/>
          <w:highlight w:val="none"/>
        </w:rPr>
        <w:t>5</w:t>
      </w:r>
      <w:r>
        <w:rPr>
          <w:rFonts w:hint="eastAsia"/>
          <w:highlight w:val="none"/>
          <w:lang w:eastAsia="zh-CN"/>
        </w:rPr>
        <w:t>、</w:t>
      </w:r>
      <w:r>
        <w:rPr>
          <w:rFonts w:hint="eastAsia"/>
          <w:highlight w:val="none"/>
        </w:rPr>
        <w:t>采购需求（包括但不限于标的的名称、数量、简要技术需求或服务要求等）</w:t>
      </w:r>
    </w:p>
    <w:p>
      <w:pPr>
        <w:spacing w:line="360" w:lineRule="auto"/>
        <w:rPr>
          <w:rFonts w:hint="eastAsia" w:ascii="宋体" w:hAnsi="宋体" w:cs="宋体"/>
          <w:highlight w:val="none"/>
          <w:lang w:val="en-US" w:eastAsia="zh-CN"/>
        </w:rPr>
      </w:pPr>
      <w:r>
        <w:rPr>
          <w:rFonts w:hint="eastAsia"/>
          <w:highlight w:val="none"/>
        </w:rPr>
        <w:t>5.1采购范围：</w:t>
      </w:r>
      <w:r>
        <w:rPr>
          <w:rFonts w:hint="eastAsia" w:hAnsi="宋体" w:cs="宋体"/>
          <w:highlight w:val="none"/>
        </w:rPr>
        <w:t>平顶山市新华区环境卫生服务中心生活垃圾收运及环境整治（垃圾中转站配套升级改造）项目</w:t>
      </w:r>
      <w:r>
        <w:rPr>
          <w:rFonts w:hint="eastAsia" w:hAnsi="宋体" w:cs="宋体"/>
          <w:highlight w:val="none"/>
          <w:lang w:eastAsia="zh-CN"/>
        </w:rPr>
        <w:t>，</w:t>
      </w:r>
      <w:r>
        <w:rPr>
          <w:rFonts w:hint="eastAsia"/>
          <w:highlight w:val="none"/>
          <w:lang w:val="en-US" w:eastAsia="zh-CN"/>
        </w:rPr>
        <w:t>包含体南餐厨垃圾减量化处理中心改造、长青路垃圾分拣中心改造、武庄垃圾分拣中心改造、中央花园大件垃圾 处理中心、街心花园垃圾分类宣教中心、双鹰垃圾中转站垂直压缩机更换、陈庄沟垃圾中转站垂直压缩机更换、移动箱体及车厢可卸式垃圾车配套建设。主要内容包括土建部分：拆除部分墙体、外立面原墙砖、室内墙裙、室内抹灰层、25cm厚混凝土地面；新建地砖及环氧地坪漆地面、白色乳胶漆内墙面、柔性石材外墙面、矿棉板吊顶等；安装部分：配电箱、电缆、开关、插座等；设备部分：垃圾车、吸污车等内容。</w:t>
      </w:r>
    </w:p>
    <w:p>
      <w:pPr>
        <w:spacing w:line="360" w:lineRule="auto"/>
        <w:ind w:firstLine="420" w:firstLineChars="200"/>
        <w:rPr>
          <w:highlight w:val="none"/>
        </w:rPr>
      </w:pPr>
      <w:r>
        <w:rPr>
          <w:rFonts w:hint="eastAsia" w:ascii="宋体" w:hAnsi="宋体" w:cs="宋体"/>
          <w:highlight w:val="none"/>
        </w:rPr>
        <w:t>5.2资金来源：财政资金，已落实。</w:t>
      </w:r>
    </w:p>
    <w:p>
      <w:pPr>
        <w:spacing w:line="360" w:lineRule="auto"/>
        <w:ind w:firstLine="420" w:firstLineChars="200"/>
        <w:rPr>
          <w:rFonts w:ascii="宋体" w:hAnsi="宋体" w:cs="宋体"/>
          <w:highlight w:val="none"/>
        </w:rPr>
      </w:pPr>
      <w:r>
        <w:rPr>
          <w:rFonts w:hint="eastAsia" w:ascii="宋体" w:hAnsi="宋体" w:cs="宋体"/>
          <w:highlight w:val="none"/>
        </w:rPr>
        <w:t>5.3</w:t>
      </w:r>
      <w:r>
        <w:rPr>
          <w:rFonts w:hint="eastAsia" w:ascii="宋体" w:hAnsi="宋体" w:cs="宋体"/>
          <w:highlight w:val="none"/>
          <w:lang w:eastAsia="zh-CN"/>
        </w:rPr>
        <w:t>服务地点</w:t>
      </w:r>
      <w:r>
        <w:rPr>
          <w:rFonts w:hint="eastAsia" w:ascii="宋体" w:hAnsi="宋体" w:cs="宋体"/>
          <w:highlight w:val="none"/>
        </w:rPr>
        <w:t>：</w:t>
      </w:r>
      <w:r>
        <w:rPr>
          <w:rFonts w:hint="eastAsia" w:ascii="宋体" w:hAnsi="宋体" w:cs="宋体"/>
          <w:highlight w:val="none"/>
          <w:lang w:eastAsia="zh-CN"/>
        </w:rPr>
        <w:t>新华区境内采购人指定地点</w:t>
      </w:r>
      <w:r>
        <w:rPr>
          <w:rFonts w:hint="eastAsia" w:ascii="宋体" w:hAnsi="宋体" w:cs="宋体"/>
          <w:highlight w:val="none"/>
        </w:rPr>
        <w:t>。</w:t>
      </w:r>
    </w:p>
    <w:p>
      <w:pPr>
        <w:spacing w:line="360" w:lineRule="auto"/>
        <w:ind w:firstLine="420" w:firstLineChars="200"/>
        <w:rPr>
          <w:rFonts w:ascii="宋体" w:hAnsi="宋体" w:cs="宋体"/>
          <w:highlight w:val="none"/>
        </w:rPr>
      </w:pPr>
      <w:r>
        <w:rPr>
          <w:rFonts w:hint="eastAsia" w:ascii="宋体" w:hAnsi="宋体" w:cs="宋体"/>
          <w:highlight w:val="none"/>
        </w:rPr>
        <w:t>5.4</w:t>
      </w:r>
      <w:r>
        <w:rPr>
          <w:rFonts w:hint="eastAsia" w:ascii="宋体" w:hAnsi="宋体" w:cs="宋体"/>
          <w:highlight w:val="none"/>
          <w:lang w:eastAsia="zh-CN"/>
        </w:rPr>
        <w:t>服务期限</w:t>
      </w:r>
      <w:r>
        <w:rPr>
          <w:rFonts w:hint="eastAsia" w:ascii="宋体" w:hAnsi="宋体" w:cs="宋体"/>
          <w:highlight w:val="none"/>
        </w:rPr>
        <w:t>：签订合同后</w:t>
      </w:r>
      <w:r>
        <w:rPr>
          <w:rFonts w:hint="eastAsia" w:ascii="宋体" w:hAnsi="宋体" w:cs="宋体"/>
          <w:highlight w:val="none"/>
          <w:lang w:val="en-US" w:eastAsia="zh-CN"/>
        </w:rPr>
        <w:t>60</w:t>
      </w:r>
      <w:r>
        <w:rPr>
          <w:rFonts w:hint="eastAsia" w:ascii="宋体" w:hAnsi="宋体" w:cs="宋体"/>
          <w:highlight w:val="none"/>
        </w:rPr>
        <w:t>日历天完成</w:t>
      </w:r>
      <w:r>
        <w:rPr>
          <w:rFonts w:hint="eastAsia" w:ascii="宋体" w:hAnsi="宋体" w:cs="宋体"/>
          <w:highlight w:val="none"/>
          <w:lang w:eastAsia="zh-CN"/>
        </w:rPr>
        <w:t>土建、安装部分的竣工验收及设备的</w:t>
      </w:r>
      <w:r>
        <w:rPr>
          <w:rFonts w:hint="eastAsia" w:ascii="宋体" w:hAnsi="宋体" w:cs="宋体"/>
          <w:highlight w:val="none"/>
        </w:rPr>
        <w:t>交货、安装、调试、验收；</w:t>
      </w:r>
    </w:p>
    <w:p>
      <w:pPr>
        <w:spacing w:line="360" w:lineRule="auto"/>
        <w:ind w:firstLine="420" w:firstLineChars="200"/>
        <w:rPr>
          <w:rFonts w:hint="eastAsia" w:ascii="宋体" w:hAnsi="宋体" w:cs="宋体"/>
          <w:szCs w:val="22"/>
          <w:highlight w:val="none"/>
          <w:lang w:val="en-US" w:eastAsia="zh-CN"/>
        </w:rPr>
      </w:pPr>
      <w:r>
        <w:rPr>
          <w:rFonts w:hint="eastAsia" w:ascii="宋体" w:hAnsi="宋体" w:cs="宋体"/>
          <w:szCs w:val="22"/>
          <w:highlight w:val="none"/>
        </w:rPr>
        <w:t>5.5质保期：</w:t>
      </w:r>
      <w:r>
        <w:rPr>
          <w:rFonts w:hint="eastAsia" w:ascii="宋体" w:hAnsi="宋体" w:cs="宋体"/>
          <w:szCs w:val="22"/>
          <w:highlight w:val="none"/>
          <w:lang w:val="en-US" w:eastAsia="zh-CN"/>
        </w:rPr>
        <w:t>土建及安装部分缺陷责任期：2年；设备部分：整机1年。</w:t>
      </w:r>
    </w:p>
    <w:p>
      <w:pPr>
        <w:spacing w:line="360" w:lineRule="auto"/>
        <w:ind w:firstLine="420" w:firstLineChars="200"/>
        <w:rPr>
          <w:rFonts w:ascii="宋体" w:hAnsi="宋体" w:cs="宋体"/>
          <w:szCs w:val="22"/>
          <w:highlight w:val="none"/>
        </w:rPr>
      </w:pPr>
      <w:r>
        <w:rPr>
          <w:rFonts w:hint="eastAsia" w:ascii="宋体" w:hAnsi="宋体" w:cs="宋体"/>
          <w:szCs w:val="22"/>
          <w:highlight w:val="none"/>
        </w:rPr>
        <w:t>5.6质量要求：</w:t>
      </w:r>
      <w:r>
        <w:rPr>
          <w:rFonts w:hint="eastAsia" w:ascii="宋体" w:hAnsi="宋体" w:cs="宋体"/>
          <w:szCs w:val="22"/>
          <w:highlight w:val="none"/>
          <w:lang w:val="en-US" w:eastAsia="zh-CN"/>
        </w:rPr>
        <w:t>土建及安装部分:合格；设备部分：</w:t>
      </w:r>
      <w:r>
        <w:rPr>
          <w:rFonts w:hint="eastAsia" w:ascii="宋体" w:hAnsi="宋体" w:cs="宋体"/>
          <w:szCs w:val="22"/>
          <w:highlight w:val="none"/>
        </w:rPr>
        <w:t>达到国家相关法律、法规规定的生产、制造、验收合格标准</w:t>
      </w:r>
    </w:p>
    <w:p>
      <w:pPr>
        <w:spacing w:line="360" w:lineRule="auto"/>
        <w:ind w:firstLine="420" w:firstLineChars="200"/>
        <w:rPr>
          <w:rFonts w:ascii="宋体" w:hAnsi="宋体" w:cs="宋体"/>
          <w:szCs w:val="22"/>
          <w:highlight w:val="none"/>
        </w:rPr>
      </w:pPr>
      <w:r>
        <w:rPr>
          <w:rFonts w:hint="eastAsia" w:ascii="宋体" w:hAnsi="宋体" w:cs="宋体"/>
          <w:szCs w:val="22"/>
          <w:highlight w:val="none"/>
        </w:rPr>
        <w:t>5.7标包划分：无</w:t>
      </w:r>
    </w:p>
    <w:p>
      <w:pPr>
        <w:spacing w:line="360" w:lineRule="auto"/>
        <w:rPr>
          <w:rFonts w:hint="eastAsia" w:ascii="宋体" w:hAnsi="宋体"/>
          <w:highlight w:val="none"/>
          <w:lang w:val="en-US" w:eastAsia="zh-CN"/>
        </w:rPr>
      </w:pPr>
      <w:bookmarkStart w:id="10" w:name="_Toc35393791"/>
      <w:bookmarkStart w:id="11" w:name="_Toc28359080"/>
      <w:bookmarkStart w:id="12" w:name="_Toc35393622"/>
      <w:bookmarkStart w:id="13" w:name="_Toc28359003"/>
      <w:r>
        <w:rPr>
          <w:rFonts w:hint="eastAsia" w:ascii="宋体" w:hAnsi="宋体"/>
          <w:highlight w:val="none"/>
          <w:lang w:val="en-US" w:eastAsia="zh-CN"/>
        </w:rPr>
        <w:t>6、合同履行期限：同服务期</w:t>
      </w:r>
    </w:p>
    <w:p>
      <w:pPr>
        <w:spacing w:line="360" w:lineRule="auto"/>
        <w:rPr>
          <w:rFonts w:hint="eastAsia" w:ascii="宋体" w:hAnsi="宋体"/>
          <w:highlight w:val="none"/>
          <w:lang w:val="en-US" w:eastAsia="zh-CN"/>
        </w:rPr>
      </w:pPr>
      <w:r>
        <w:rPr>
          <w:rFonts w:hint="eastAsia" w:ascii="宋体" w:hAnsi="宋体"/>
          <w:highlight w:val="none"/>
          <w:lang w:val="en-US" w:eastAsia="zh-CN"/>
        </w:rPr>
        <w:t>7、本项目是否接受联合体投标：否</w:t>
      </w:r>
    </w:p>
    <w:p>
      <w:pPr>
        <w:spacing w:line="360" w:lineRule="auto"/>
        <w:rPr>
          <w:rFonts w:hint="eastAsia" w:ascii="宋体" w:hAnsi="宋体"/>
          <w:highlight w:val="none"/>
          <w:lang w:val="en-US" w:eastAsia="zh-CN"/>
        </w:rPr>
      </w:pPr>
      <w:r>
        <w:rPr>
          <w:rFonts w:hint="eastAsia" w:ascii="宋体" w:hAnsi="宋体"/>
          <w:highlight w:val="none"/>
          <w:lang w:val="en-US" w:eastAsia="zh-CN"/>
        </w:rPr>
        <w:t>8、是否接受进口产品：否</w:t>
      </w:r>
    </w:p>
    <w:p>
      <w:pPr>
        <w:spacing w:line="360" w:lineRule="auto"/>
        <w:rPr>
          <w:rFonts w:hint="eastAsia" w:ascii="宋体" w:hAnsi="宋体"/>
          <w:highlight w:val="none"/>
          <w:lang w:val="en-US" w:eastAsia="zh-CN"/>
        </w:rPr>
      </w:pPr>
      <w:r>
        <w:rPr>
          <w:rFonts w:hint="eastAsia" w:ascii="宋体" w:hAnsi="宋体"/>
          <w:highlight w:val="none"/>
          <w:lang w:val="en-US" w:eastAsia="zh-CN"/>
        </w:rPr>
        <w:t>9、是否专门面向中小企业：否</w:t>
      </w:r>
    </w:p>
    <w:p>
      <w:pPr>
        <w:spacing w:line="360" w:lineRule="auto"/>
        <w:rPr>
          <w:b/>
          <w:bCs/>
          <w:szCs w:val="22"/>
          <w:highlight w:val="none"/>
        </w:rPr>
      </w:pPr>
      <w:r>
        <w:rPr>
          <w:rFonts w:hint="eastAsia"/>
          <w:b/>
          <w:bCs/>
          <w:szCs w:val="22"/>
          <w:highlight w:val="none"/>
        </w:rPr>
        <w:t>二、申请人的资格要求：</w:t>
      </w:r>
      <w:bookmarkEnd w:id="10"/>
      <w:bookmarkEnd w:id="11"/>
      <w:bookmarkEnd w:id="12"/>
      <w:bookmarkEnd w:id="13"/>
    </w:p>
    <w:p>
      <w:pPr>
        <w:spacing w:line="360" w:lineRule="auto"/>
        <w:rPr>
          <w:rFonts w:ascii="宋体" w:hAnsi="宋体" w:cs="宋体"/>
          <w:highlight w:val="none"/>
        </w:rPr>
      </w:pPr>
      <w:r>
        <w:rPr>
          <w:rFonts w:hint="eastAsia" w:ascii="宋体" w:hAnsi="宋体" w:cs="宋体"/>
          <w:b/>
          <w:bCs/>
          <w:highlight w:val="none"/>
        </w:rPr>
        <w:t>1.满足《中华人民共和国政府采购法》第二十二条规定；</w:t>
      </w:r>
    </w:p>
    <w:p>
      <w:pPr>
        <w:spacing w:line="360" w:lineRule="auto"/>
        <w:rPr>
          <w:rFonts w:hint="eastAsia" w:hAnsi="宋体"/>
          <w:szCs w:val="22"/>
          <w:highlight w:val="none"/>
        </w:rPr>
      </w:pPr>
      <w:bookmarkStart w:id="14" w:name="_Toc28359081"/>
      <w:bookmarkStart w:id="15" w:name="_Toc28359004"/>
      <w:r>
        <w:rPr>
          <w:rFonts w:hint="eastAsia" w:ascii="宋体" w:hAnsi="宋体" w:cs="宋体"/>
          <w:b/>
          <w:bCs/>
          <w:highlight w:val="none"/>
        </w:rPr>
        <w:t>2.落实政府采购政策需满足的资格要求：</w:t>
      </w:r>
      <w:r>
        <w:rPr>
          <w:rFonts w:hint="eastAsia" w:hAnsi="宋体"/>
          <w:highlight w:val="none"/>
        </w:rPr>
        <w:t>本项目非专门面向中小企业采购，制造商为小微企业、监狱企业、残疾人福利性单位，落实中小企业价格评审优惠政策； 中小企业划型标准请依据工信部联企业〔2011〕300号文件之规定</w:t>
      </w:r>
      <w:r>
        <w:rPr>
          <w:rFonts w:hint="eastAsia" w:hAnsi="宋体"/>
          <w:szCs w:val="22"/>
          <w:highlight w:val="none"/>
        </w:rPr>
        <w:t>。</w:t>
      </w:r>
    </w:p>
    <w:p>
      <w:pPr>
        <w:spacing w:line="360" w:lineRule="auto"/>
        <w:rPr>
          <w:rFonts w:ascii="宋体" w:hAnsi="宋体" w:cs="宋体"/>
          <w:b/>
          <w:bCs/>
          <w:highlight w:val="none"/>
        </w:rPr>
      </w:pPr>
      <w:r>
        <w:rPr>
          <w:rFonts w:hint="eastAsia" w:ascii="宋体" w:hAnsi="宋体" w:cs="宋体"/>
          <w:b/>
          <w:bCs/>
          <w:highlight w:val="none"/>
        </w:rPr>
        <w:t>3.本项目的特定资格要求：</w:t>
      </w:r>
    </w:p>
    <w:p>
      <w:pPr>
        <w:spacing w:line="360" w:lineRule="auto"/>
        <w:ind w:left="0" w:leftChars="0" w:firstLine="420" w:firstLineChars="200"/>
        <w:rPr>
          <w:rFonts w:hint="eastAsia"/>
          <w:highlight w:val="none"/>
        </w:rPr>
      </w:pPr>
      <w:bookmarkStart w:id="16" w:name="_Toc35393792"/>
      <w:bookmarkStart w:id="17" w:name="_Toc35393623"/>
      <w:r>
        <w:rPr>
          <w:rFonts w:hint="eastAsia"/>
          <w:highlight w:val="none"/>
        </w:rPr>
        <w:t>3.1供应商具有有效的营业执照或电子营业执照。</w:t>
      </w:r>
    </w:p>
    <w:p>
      <w:pPr>
        <w:spacing w:line="360" w:lineRule="auto"/>
        <w:ind w:left="0" w:leftChars="0" w:firstLine="420" w:firstLineChars="200"/>
        <w:rPr>
          <w:rFonts w:hint="eastAsia"/>
          <w:highlight w:val="none"/>
        </w:rPr>
      </w:pPr>
      <w:r>
        <w:rPr>
          <w:rFonts w:hint="eastAsia"/>
          <w:highlight w:val="none"/>
        </w:rPr>
        <w:t>3.2具有良好的商业信誉和健全的财务会计制度（自行承诺）；</w:t>
      </w:r>
    </w:p>
    <w:p>
      <w:pPr>
        <w:spacing w:line="360" w:lineRule="auto"/>
        <w:ind w:left="0" w:leftChars="0" w:firstLine="420" w:firstLineChars="200"/>
        <w:rPr>
          <w:rFonts w:hint="eastAsia"/>
          <w:highlight w:val="none"/>
        </w:rPr>
      </w:pPr>
      <w:r>
        <w:rPr>
          <w:rFonts w:hint="eastAsia"/>
          <w:highlight w:val="none"/>
        </w:rPr>
        <w:t>3.3履行合同所必需的专业技术能力（提供证明材料或承诺书）；</w:t>
      </w:r>
    </w:p>
    <w:p>
      <w:pPr>
        <w:spacing w:line="360" w:lineRule="auto"/>
        <w:ind w:left="0" w:leftChars="0" w:firstLine="420" w:firstLineChars="200"/>
        <w:rPr>
          <w:rFonts w:hint="eastAsia"/>
          <w:highlight w:val="none"/>
        </w:rPr>
      </w:pPr>
      <w:r>
        <w:rPr>
          <w:rFonts w:hint="eastAsia"/>
          <w:highlight w:val="none"/>
        </w:rPr>
        <w:t>3.4有依法缴纳税收和社会保障资金的良好记录（自行承诺）；</w:t>
      </w:r>
    </w:p>
    <w:p>
      <w:pPr>
        <w:spacing w:line="360" w:lineRule="auto"/>
        <w:ind w:left="0" w:leftChars="0" w:firstLine="420" w:firstLineChars="200"/>
        <w:rPr>
          <w:rFonts w:hint="eastAsia"/>
          <w:highlight w:val="none"/>
        </w:rPr>
      </w:pPr>
      <w:r>
        <w:rPr>
          <w:rFonts w:hint="eastAsia"/>
          <w:highlight w:val="none"/>
        </w:rPr>
        <w:t>3.5参加政府采购活动前三年或注册公司以来，在经营活动中没有重大违法记录的书面声明；</w:t>
      </w:r>
    </w:p>
    <w:p>
      <w:pPr>
        <w:spacing w:line="360" w:lineRule="auto"/>
        <w:ind w:left="0" w:leftChars="0" w:firstLine="420" w:firstLineChars="200"/>
        <w:rPr>
          <w:rFonts w:hint="eastAsia"/>
          <w:highlight w:val="none"/>
        </w:rPr>
      </w:pPr>
      <w:r>
        <w:rPr>
          <w:rFonts w:hint="eastAsia"/>
          <w:highlight w:val="none"/>
        </w:rPr>
        <w:t>3.6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pPr>
        <w:spacing w:line="360" w:lineRule="auto"/>
        <w:ind w:left="0" w:leftChars="0" w:firstLine="420" w:firstLineChars="200"/>
        <w:rPr>
          <w:rFonts w:hint="eastAsia"/>
          <w:highlight w:val="none"/>
        </w:rPr>
      </w:pPr>
      <w:r>
        <w:rPr>
          <w:rFonts w:hint="eastAsia"/>
          <w:highlight w:val="none"/>
          <w:lang w:val="en-US" w:eastAsia="zh-CN"/>
        </w:rPr>
        <w:t>3.7</w:t>
      </w:r>
      <w:r>
        <w:rPr>
          <w:rFonts w:hint="eastAsia"/>
          <w:highlight w:val="none"/>
        </w:rPr>
        <w:t>投标人须</w:t>
      </w:r>
      <w:r>
        <w:rPr>
          <w:rFonts w:hint="eastAsia"/>
          <w:highlight w:val="none"/>
          <w:lang w:eastAsia="zh-CN"/>
        </w:rPr>
        <w:t>同时</w:t>
      </w:r>
      <w:r>
        <w:rPr>
          <w:rFonts w:hint="eastAsia"/>
          <w:highlight w:val="none"/>
        </w:rPr>
        <w:t>具有建设行政主管部门核发的建筑工程施工总承包叁级及以上资质</w:t>
      </w:r>
      <w:r>
        <w:rPr>
          <w:rFonts w:hint="eastAsia"/>
          <w:highlight w:val="none"/>
          <w:lang w:val="en-US" w:eastAsia="zh-CN"/>
        </w:rPr>
        <w:t>和</w:t>
      </w:r>
      <w:r>
        <w:rPr>
          <w:rFonts w:hint="eastAsia"/>
          <w:highlight w:val="none"/>
        </w:rPr>
        <w:t>机电工程施工总承包叁级及以上资质，具有有效的安全生产许可证；</w:t>
      </w:r>
    </w:p>
    <w:p>
      <w:pPr>
        <w:spacing w:line="360" w:lineRule="auto"/>
        <w:ind w:left="0" w:leftChars="0" w:firstLine="420" w:firstLineChars="200"/>
        <w:rPr>
          <w:rFonts w:hint="eastAsia"/>
          <w:highlight w:val="none"/>
        </w:rPr>
      </w:pPr>
      <w:r>
        <w:rPr>
          <w:rFonts w:hint="eastAsia"/>
          <w:highlight w:val="none"/>
          <w:lang w:val="en-US" w:eastAsia="zh-CN"/>
        </w:rPr>
        <w:t>3.8</w:t>
      </w:r>
      <w:r>
        <w:rPr>
          <w:rFonts w:hint="eastAsia"/>
          <w:highlight w:val="none"/>
        </w:rPr>
        <w:t>拟派项目经理具有建筑工程专业二级及以上注册建造师证书（不含临时执业资格）及安全生产考核合格证且无在建；拟派技术负责人具有相关专业中级及以上技术职称；</w:t>
      </w:r>
    </w:p>
    <w:p>
      <w:pPr>
        <w:spacing w:line="360" w:lineRule="auto"/>
        <w:ind w:left="0" w:leftChars="0" w:firstLine="420" w:firstLineChars="200"/>
        <w:rPr>
          <w:rFonts w:hint="eastAsia"/>
          <w:highlight w:val="none"/>
        </w:rPr>
      </w:pPr>
      <w:r>
        <w:rPr>
          <w:rFonts w:hint="eastAsia"/>
          <w:highlight w:val="none"/>
        </w:rPr>
        <w:t>3.</w:t>
      </w:r>
      <w:r>
        <w:rPr>
          <w:rFonts w:hint="eastAsia"/>
          <w:highlight w:val="none"/>
          <w:lang w:val="en-US" w:eastAsia="zh-CN"/>
        </w:rPr>
        <w:t>9</w:t>
      </w:r>
      <w:r>
        <w:rPr>
          <w:rFonts w:hint="eastAsia"/>
          <w:highlight w:val="none"/>
        </w:rPr>
        <w:t>与招标人存在利害关系可能影响招标公正性的单位，不得参加投标。单位负责人为同一人或存在控股、管理关系的不同单位，不得参加同一标段投标，否则，相关投标均无效。</w:t>
      </w:r>
    </w:p>
    <w:p>
      <w:pPr>
        <w:spacing w:line="360" w:lineRule="auto"/>
        <w:ind w:left="0" w:leftChars="0" w:firstLine="420" w:firstLineChars="200"/>
        <w:rPr>
          <w:rFonts w:hint="eastAsia"/>
          <w:highlight w:val="none"/>
        </w:rPr>
      </w:pPr>
      <w:r>
        <w:rPr>
          <w:rFonts w:hint="eastAsia"/>
          <w:highlight w:val="none"/>
        </w:rPr>
        <w:t>3.</w:t>
      </w:r>
      <w:r>
        <w:rPr>
          <w:rFonts w:hint="eastAsia"/>
          <w:highlight w:val="none"/>
          <w:lang w:val="en-US" w:eastAsia="zh-CN"/>
        </w:rPr>
        <w:t>10</w:t>
      </w:r>
      <w:r>
        <w:rPr>
          <w:rFonts w:hint="eastAsia"/>
          <w:highlight w:val="none"/>
        </w:rPr>
        <w:t>本项目不接受联合体投标。</w:t>
      </w:r>
    </w:p>
    <w:p>
      <w:pPr>
        <w:spacing w:line="360" w:lineRule="auto"/>
        <w:ind w:left="0" w:leftChars="0" w:firstLine="420" w:firstLineChars="200"/>
        <w:rPr>
          <w:rFonts w:hint="eastAsia"/>
          <w:highlight w:val="none"/>
        </w:rPr>
      </w:pPr>
      <w:r>
        <w:rPr>
          <w:rFonts w:hint="eastAsia"/>
          <w:highlight w:val="none"/>
        </w:rPr>
        <w:t>注：1、本项目采用资格后审；</w:t>
      </w:r>
    </w:p>
    <w:p>
      <w:pPr>
        <w:numPr>
          <w:ilvl w:val="0"/>
          <w:numId w:val="2"/>
        </w:numPr>
        <w:spacing w:line="360" w:lineRule="auto"/>
        <w:ind w:left="0" w:leftChars="0" w:firstLine="420" w:firstLineChars="200"/>
        <w:rPr>
          <w:rFonts w:hint="eastAsia"/>
          <w:highlight w:val="none"/>
        </w:rPr>
      </w:pPr>
      <w:r>
        <w:rPr>
          <w:rFonts w:hint="eastAsia"/>
          <w:highlight w:val="none"/>
        </w:rPr>
        <w:t>如投标人为新成立企业，可提供注册后的相关证明材料。</w:t>
      </w:r>
    </w:p>
    <w:p>
      <w:pPr>
        <w:numPr>
          <w:ilvl w:val="0"/>
          <w:numId w:val="0"/>
        </w:numPr>
        <w:spacing w:line="360" w:lineRule="auto"/>
        <w:rPr>
          <w:b/>
          <w:bCs/>
          <w:szCs w:val="22"/>
          <w:highlight w:val="none"/>
        </w:rPr>
      </w:pPr>
      <w:r>
        <w:rPr>
          <w:rFonts w:hint="eastAsia"/>
          <w:b/>
          <w:bCs/>
          <w:szCs w:val="22"/>
          <w:highlight w:val="none"/>
        </w:rPr>
        <w:t>三、获取</w:t>
      </w:r>
      <w:bookmarkEnd w:id="14"/>
      <w:bookmarkEnd w:id="15"/>
      <w:bookmarkEnd w:id="16"/>
      <w:bookmarkEnd w:id="17"/>
      <w:r>
        <w:rPr>
          <w:rFonts w:hint="eastAsia"/>
          <w:b/>
          <w:bCs/>
          <w:szCs w:val="22"/>
          <w:highlight w:val="none"/>
        </w:rPr>
        <w:t>招标文件</w:t>
      </w:r>
    </w:p>
    <w:p>
      <w:pPr>
        <w:spacing w:line="360" w:lineRule="auto"/>
        <w:ind w:firstLine="422" w:firstLineChars="200"/>
        <w:rPr>
          <w:rFonts w:ascii="宋体" w:hAnsi="宋体" w:cs="宋体"/>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szCs w:val="22"/>
          <w:highlight w:val="none"/>
        </w:rPr>
        <w:t>：</w:t>
      </w:r>
      <w:r>
        <w:rPr>
          <w:rFonts w:hint="eastAsia"/>
          <w:b/>
          <w:bCs/>
          <w:szCs w:val="22"/>
          <w:highlight w:val="none"/>
        </w:rPr>
        <w:t>2023年</w:t>
      </w:r>
      <w:r>
        <w:rPr>
          <w:rFonts w:hint="eastAsia"/>
          <w:b/>
          <w:bCs/>
          <w:szCs w:val="22"/>
          <w:highlight w:val="none"/>
          <w:lang w:val="en-US" w:eastAsia="zh-CN"/>
        </w:rPr>
        <w:t>11</w:t>
      </w:r>
      <w:r>
        <w:rPr>
          <w:rFonts w:hint="eastAsia"/>
          <w:b/>
          <w:bCs/>
          <w:szCs w:val="22"/>
          <w:highlight w:val="none"/>
        </w:rPr>
        <w:t>月</w:t>
      </w:r>
      <w:r>
        <w:rPr>
          <w:rFonts w:hint="eastAsia"/>
          <w:b/>
          <w:bCs/>
          <w:szCs w:val="22"/>
          <w:highlight w:val="none"/>
          <w:lang w:val="en-US" w:eastAsia="zh-CN"/>
        </w:rPr>
        <w:t>8</w:t>
      </w:r>
      <w:r>
        <w:rPr>
          <w:rFonts w:hint="eastAsia"/>
          <w:b/>
          <w:bCs/>
          <w:szCs w:val="22"/>
          <w:highlight w:val="none"/>
        </w:rPr>
        <w:t>日至2023年</w:t>
      </w:r>
      <w:r>
        <w:rPr>
          <w:rFonts w:hint="eastAsia"/>
          <w:b/>
          <w:bCs/>
          <w:szCs w:val="22"/>
          <w:highlight w:val="none"/>
          <w:lang w:val="en-US" w:eastAsia="zh-CN"/>
        </w:rPr>
        <w:t>11</w:t>
      </w:r>
      <w:r>
        <w:rPr>
          <w:rFonts w:hint="eastAsia"/>
          <w:b/>
          <w:bCs/>
          <w:szCs w:val="22"/>
          <w:highlight w:val="none"/>
        </w:rPr>
        <w:t>月</w:t>
      </w:r>
      <w:r>
        <w:rPr>
          <w:rFonts w:hint="eastAsia"/>
          <w:b/>
          <w:bCs/>
          <w:szCs w:val="22"/>
          <w:highlight w:val="none"/>
          <w:lang w:val="en-US" w:eastAsia="zh-CN"/>
        </w:rPr>
        <w:t>28</w:t>
      </w:r>
      <w:r>
        <w:rPr>
          <w:rFonts w:hint="eastAsia"/>
          <w:b/>
          <w:bCs/>
          <w:szCs w:val="22"/>
          <w:highlight w:val="none"/>
        </w:rPr>
        <w:t>日，每</w:t>
      </w:r>
      <w:r>
        <w:rPr>
          <w:rFonts w:hint="eastAsia" w:ascii="宋体" w:hAnsi="宋体" w:cs="宋体"/>
          <w:highlight w:val="none"/>
        </w:rPr>
        <w:t>天上午0：00至12：00，下午12：00至23：59（北京时间）</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w:t>
      </w:r>
      <w:r>
        <w:rPr>
          <w:highlight w:val="none"/>
        </w:rPr>
        <w:fldChar w:fldCharType="begin"/>
      </w:r>
      <w:r>
        <w:rPr>
          <w:highlight w:val="none"/>
        </w:rPr>
        <w:instrText xml:space="preserve"> HYPERLINK "http://www.pdsggzy.com/）" </w:instrText>
      </w:r>
      <w:r>
        <w:rPr>
          <w:highlight w:val="none"/>
        </w:rPr>
        <w:fldChar w:fldCharType="separate"/>
      </w:r>
      <w:r>
        <w:rPr>
          <w:rStyle w:val="32"/>
          <w:rFonts w:hint="eastAsia" w:ascii="宋体" w:hAnsi="宋体" w:cs="宋体"/>
          <w:highlight w:val="none"/>
        </w:rPr>
        <w:t>http://www.pdsggzy.com/）</w:t>
      </w:r>
      <w:r>
        <w:rPr>
          <w:rStyle w:val="32"/>
          <w:rFonts w:hint="eastAsia" w:ascii="宋体" w:hAnsi="宋体" w:cs="宋体"/>
          <w:highlight w:val="none"/>
        </w:rPr>
        <w:fldChar w:fldCharType="end"/>
      </w:r>
    </w:p>
    <w:p>
      <w:pPr>
        <w:spacing w:line="360" w:lineRule="auto"/>
        <w:ind w:firstLine="422" w:firstLineChars="200"/>
        <w:rPr>
          <w:rFonts w:ascii="宋体" w:hAnsi="宋体" w:cs="宋体"/>
          <w:highlight w:val="none"/>
        </w:rPr>
      </w:pPr>
      <w:r>
        <w:rPr>
          <w:rFonts w:hint="eastAsia" w:hAnsi="宋体" w:cs="宋体"/>
          <w:b/>
          <w:bCs/>
          <w:highlight w:val="none"/>
        </w:rPr>
        <w:t>3.</w:t>
      </w:r>
      <w:r>
        <w:rPr>
          <w:rFonts w:hint="eastAsia" w:ascii="宋体" w:hAnsi="宋体" w:cs="宋体"/>
          <w:b/>
          <w:bCs/>
          <w:highlight w:val="none"/>
        </w:rPr>
        <w:t>方式：</w:t>
      </w:r>
      <w:r>
        <w:rPr>
          <w:rFonts w:hint="eastAsia" w:ascii="宋体" w:hAnsi="宋体" w:cs="宋体"/>
          <w:highlight w:val="none"/>
        </w:rPr>
        <w:t>潜在供应商需凭CA数字证书通过《全国公共资源交易平台（河南省.平顶山市）》（网址：</w:t>
      </w:r>
      <w:r>
        <w:rPr>
          <w:highlight w:val="none"/>
        </w:rPr>
        <w:fldChar w:fldCharType="begin"/>
      </w:r>
      <w:r>
        <w:rPr>
          <w:highlight w:val="none"/>
        </w:rPr>
        <w:instrText xml:space="preserve"> HYPERLINK "http://www.pdsggzy.com/）“供应商登录”入口进入交易系统进行下载文件。" </w:instrText>
      </w:r>
      <w:r>
        <w:rPr>
          <w:highlight w:val="none"/>
        </w:rPr>
        <w:fldChar w:fldCharType="separate"/>
      </w:r>
      <w:r>
        <w:rPr>
          <w:rStyle w:val="32"/>
          <w:rFonts w:hint="eastAsia" w:ascii="宋体" w:hAnsi="宋体" w:cs="宋体"/>
          <w:highlight w:val="none"/>
        </w:rPr>
        <w:t>http://www.pdsggzy.com/）“供应商登录”入口进入交易系统进行下载文件。</w:t>
      </w:r>
      <w:r>
        <w:rPr>
          <w:rStyle w:val="32"/>
          <w:rFonts w:hint="eastAsia" w:ascii="宋体" w:hAnsi="宋体" w:cs="宋体"/>
          <w:highlight w:val="none"/>
        </w:rPr>
        <w:fldChar w:fldCharType="end"/>
      </w:r>
    </w:p>
    <w:p>
      <w:pPr>
        <w:spacing w:line="360" w:lineRule="auto"/>
        <w:ind w:firstLine="422" w:firstLineChars="200"/>
        <w:rPr>
          <w:rFonts w:ascii="宋体" w:hAnsi="宋体" w:cs="宋体"/>
          <w:highlight w:val="none"/>
        </w:rPr>
      </w:pPr>
      <w:r>
        <w:rPr>
          <w:rFonts w:hint="eastAsia" w:hAnsi="宋体" w:cs="宋体"/>
          <w:b/>
          <w:bCs/>
          <w:highlight w:val="none"/>
        </w:rPr>
        <w:t>4.</w:t>
      </w:r>
      <w:r>
        <w:rPr>
          <w:rFonts w:hint="eastAsia" w:ascii="宋体" w:hAnsi="宋体" w:cs="宋体"/>
          <w:b/>
          <w:bCs/>
          <w:highlight w:val="none"/>
        </w:rPr>
        <w:t>售价：</w:t>
      </w:r>
      <w:r>
        <w:rPr>
          <w:rFonts w:hint="eastAsia" w:ascii="宋体" w:hAnsi="宋体" w:cs="宋体"/>
          <w:highlight w:val="none"/>
        </w:rPr>
        <w:t>0.00元</w:t>
      </w:r>
    </w:p>
    <w:p>
      <w:pPr>
        <w:spacing w:line="360" w:lineRule="auto"/>
        <w:rPr>
          <w:b/>
          <w:bCs/>
          <w:szCs w:val="22"/>
          <w:highlight w:val="none"/>
        </w:rPr>
      </w:pPr>
      <w:bookmarkStart w:id="18" w:name="_Toc35393793"/>
      <w:bookmarkStart w:id="19" w:name="_Toc28359005"/>
      <w:bookmarkStart w:id="20" w:name="_Toc35393624"/>
      <w:bookmarkStart w:id="21" w:name="_Toc28359082"/>
      <w:r>
        <w:rPr>
          <w:rFonts w:hint="eastAsia"/>
          <w:b/>
          <w:bCs/>
          <w:szCs w:val="22"/>
          <w:highlight w:val="none"/>
        </w:rPr>
        <w:t>四、</w:t>
      </w:r>
      <w:bookmarkEnd w:id="18"/>
      <w:bookmarkEnd w:id="19"/>
      <w:bookmarkEnd w:id="20"/>
      <w:bookmarkEnd w:id="21"/>
      <w:r>
        <w:rPr>
          <w:rFonts w:hint="eastAsia"/>
          <w:b/>
          <w:bCs/>
          <w:szCs w:val="22"/>
          <w:highlight w:val="none"/>
        </w:rPr>
        <w:t>投标截止时间及地点</w:t>
      </w:r>
    </w:p>
    <w:p>
      <w:pPr>
        <w:spacing w:line="360" w:lineRule="auto"/>
        <w:ind w:firstLine="422" w:firstLineChars="200"/>
        <w:rPr>
          <w:rFonts w:ascii="宋体" w:hAnsi="宋体" w:cs="宋体"/>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b/>
          <w:bCs/>
          <w:szCs w:val="22"/>
          <w:highlight w:val="none"/>
        </w:rPr>
        <w:t>2023年11月29日8点40分（北京时间</w:t>
      </w:r>
      <w:r>
        <w:rPr>
          <w:rFonts w:hint="eastAsia" w:ascii="宋体" w:hAnsi="宋体" w:cs="宋体"/>
          <w:szCs w:val="22"/>
          <w:highlight w:val="none"/>
        </w:rPr>
        <w:t>）</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《全国公共资源交易平台（河南省·平顶山市）》（网址：http://www.pdsggzy.com/）</w:t>
      </w:r>
    </w:p>
    <w:p>
      <w:pPr>
        <w:spacing w:line="360" w:lineRule="auto"/>
        <w:rPr>
          <w:b/>
          <w:bCs/>
          <w:szCs w:val="22"/>
          <w:highlight w:val="none"/>
        </w:rPr>
      </w:pPr>
      <w:bookmarkStart w:id="22" w:name="_Toc28359084"/>
      <w:bookmarkStart w:id="23" w:name="_Toc35393625"/>
      <w:bookmarkStart w:id="24" w:name="_Toc28359007"/>
      <w:bookmarkStart w:id="25" w:name="_Toc35393794"/>
      <w:r>
        <w:rPr>
          <w:rFonts w:hint="eastAsia"/>
          <w:b/>
          <w:bCs/>
          <w:szCs w:val="22"/>
          <w:highlight w:val="none"/>
        </w:rPr>
        <w:t>五、开标时间及地点</w:t>
      </w:r>
    </w:p>
    <w:p>
      <w:pPr>
        <w:spacing w:line="360" w:lineRule="auto"/>
        <w:ind w:firstLine="422" w:firstLineChars="200"/>
        <w:rPr>
          <w:b/>
          <w:bCs/>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b/>
          <w:bCs/>
          <w:szCs w:val="22"/>
          <w:highlight w:val="none"/>
        </w:rPr>
        <w:t>2023年11月29日8点40分（北京时间</w:t>
      </w:r>
      <w:r>
        <w:rPr>
          <w:rFonts w:hint="eastAsia" w:ascii="宋体" w:hAnsi="宋体" w:cs="宋体"/>
          <w:szCs w:val="22"/>
          <w:highlight w:val="none"/>
        </w:rPr>
        <w:t>）</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《全国公共资源交易平台（河南省·平顶山市）》（网址：http://www.pdsggzy.com/）</w:t>
      </w:r>
    </w:p>
    <w:bookmarkEnd w:id="22"/>
    <w:bookmarkEnd w:id="23"/>
    <w:bookmarkEnd w:id="24"/>
    <w:bookmarkEnd w:id="25"/>
    <w:p>
      <w:pPr>
        <w:spacing w:line="360" w:lineRule="auto"/>
        <w:rPr>
          <w:b/>
          <w:bCs/>
          <w:highlight w:val="none"/>
        </w:rPr>
      </w:pPr>
      <w:r>
        <w:rPr>
          <w:rFonts w:hint="eastAsia"/>
          <w:b/>
          <w:bCs/>
          <w:highlight w:val="none"/>
        </w:rPr>
        <w:t>六、发布公告的媒介及招标公告期限</w:t>
      </w:r>
    </w:p>
    <w:p>
      <w:pPr>
        <w:spacing w:line="360" w:lineRule="auto"/>
        <w:rPr>
          <w:rFonts w:hint="eastAsia" w:ascii="宋体" w:hAnsi="宋体" w:cs="宋体"/>
          <w:highlight w:val="none"/>
        </w:rPr>
      </w:pPr>
      <w:bookmarkStart w:id="26" w:name="_Toc35393626"/>
      <w:bookmarkStart w:id="27" w:name="_Toc35393795"/>
      <w:r>
        <w:rPr>
          <w:rFonts w:hint="eastAsia" w:ascii="宋体" w:hAnsi="宋体" w:cs="宋体"/>
          <w:highlight w:val="none"/>
        </w:rPr>
        <w:t>本次招标公告在《中国招标投标公共服务平台》、《河南省电子招标投标公共服务平台》、《河南省政府采购网》、《平顶山市政府采购网》、《平顶山市新华区政府采购网》、《全国公共资源交易平台（河南省•平顶山市）》上发布，招标公告期限为五个工作日。</w:t>
      </w:r>
    </w:p>
    <w:p>
      <w:pPr>
        <w:spacing w:line="360" w:lineRule="auto"/>
        <w:rPr>
          <w:b/>
          <w:bCs/>
          <w:szCs w:val="22"/>
          <w:highlight w:val="none"/>
        </w:rPr>
      </w:pPr>
      <w:r>
        <w:rPr>
          <w:rFonts w:hint="eastAsia"/>
          <w:b/>
          <w:bCs/>
          <w:szCs w:val="22"/>
          <w:highlight w:val="none"/>
        </w:rPr>
        <w:t>七、其他补充事宜</w:t>
      </w:r>
      <w:bookmarkEnd w:id="26"/>
      <w:bookmarkEnd w:id="27"/>
    </w:p>
    <w:p>
      <w:pPr>
        <w:spacing w:line="360" w:lineRule="auto"/>
        <w:ind w:firstLine="420" w:firstLineChars="200"/>
        <w:rPr>
          <w:rFonts w:hint="eastAsia" w:ascii="宋体" w:hAnsi="宋体" w:cs="宋体"/>
          <w:color w:val="auto"/>
          <w:sz w:val="21"/>
          <w:szCs w:val="21"/>
          <w:highlight w:val="none"/>
        </w:rPr>
      </w:pPr>
      <w:bookmarkStart w:id="28" w:name="_Toc28359008"/>
      <w:bookmarkStart w:id="29" w:name="_Toc35393627"/>
      <w:bookmarkStart w:id="30" w:name="_Toc35393796"/>
      <w:bookmarkStart w:id="31" w:name="_Toc28359085"/>
      <w:r>
        <w:rPr>
          <w:rFonts w:hint="eastAsia" w:ascii="宋体" w:hAnsi="宋体" w:cs="宋体"/>
          <w:color w:val="auto"/>
          <w:sz w:val="21"/>
          <w:szCs w:val="21"/>
          <w:highlight w:val="none"/>
        </w:rPr>
        <w:t>1、如有变化，请各潜在投标人及时关注相关网站；</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心全面实行在线“不见面”开标，投标人需要在投标截止时间前在平顶山市公共资源交易中心交易系统中将加密电子投标文件加密上传，不再到开标现场，投标人开标前应仔细阅读《“不见面”开标注意事项及操作流程》。逾期上传的投标文件，招标人不予受理。各投标人如有异议可通过平顶山市公共资源交易平台向招标人（代理机构）、行政监督部门在线提出质疑（异议）、投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3、该公告已同步至“平顶山市公共资源交易中心微信公众号”，可通过公众号中的服务栏目进行查阅”。</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4.参与本项目的供应商，需在平顶山市政府采购网与开标前完成账号注册的相关工作。</w:t>
      </w:r>
    </w:p>
    <w:p>
      <w:pPr>
        <w:spacing w:line="360" w:lineRule="auto"/>
        <w:ind w:firstLine="420" w:firstLineChars="200"/>
        <w:rPr>
          <w:rFonts w:hint="eastAsia" w:ascii="宋体" w:hAnsi="宋体" w:eastAsia="宋体" w:cs="宋体"/>
          <w:b w:val="0"/>
          <w:color w:val="auto"/>
          <w:kern w:val="2"/>
          <w:sz w:val="21"/>
          <w:highlight w:val="none"/>
          <w:lang w:val="en-US" w:eastAsia="zh-CN" w:bidi="ar-SA"/>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、监督</w:t>
      </w:r>
      <w:r>
        <w:rPr>
          <w:rFonts w:hint="eastAsia" w:ascii="宋体" w:hAnsi="宋体" w:cs="宋体"/>
          <w:color w:val="auto"/>
          <w:sz w:val="21"/>
          <w:szCs w:val="21"/>
          <w:highlight w:val="none"/>
          <w:lang w:eastAsia="zh-CN"/>
        </w:rPr>
        <w:t>部门</w:t>
      </w:r>
      <w:r>
        <w:rPr>
          <w:rFonts w:hint="eastAsia" w:ascii="宋体" w:hAnsi="宋体" w:eastAsia="宋体" w:cs="宋体"/>
          <w:b w:val="0"/>
          <w:color w:val="auto"/>
          <w:kern w:val="2"/>
          <w:sz w:val="21"/>
          <w:highlight w:val="none"/>
          <w:lang w:val="en-US" w:eastAsia="zh-CN" w:bidi="ar-SA"/>
        </w:rPr>
        <w:t>：平顶山市新华区政府采购服务中心</w:t>
      </w:r>
    </w:p>
    <w:p>
      <w:pPr>
        <w:spacing w:line="360" w:lineRule="auto"/>
        <w:ind w:firstLine="420" w:firstLineChars="200"/>
        <w:rPr>
          <w:rFonts w:hint="eastAsia" w:ascii="宋体" w:hAnsi="宋体" w:eastAsia="宋体" w:cs="宋体"/>
          <w:b w:val="0"/>
          <w:color w:val="auto"/>
          <w:kern w:val="2"/>
          <w:sz w:val="21"/>
          <w:highlight w:val="none"/>
          <w:lang w:val="en-US" w:eastAsia="zh-CN" w:bidi="ar-SA"/>
        </w:rPr>
      </w:pPr>
      <w:r>
        <w:rPr>
          <w:rFonts w:hint="eastAsia" w:ascii="宋体" w:hAnsi="宋体" w:eastAsia="宋体" w:cs="宋体"/>
          <w:b w:val="0"/>
          <w:color w:val="auto"/>
          <w:kern w:val="2"/>
          <w:sz w:val="21"/>
          <w:highlight w:val="none"/>
          <w:lang w:val="en-US" w:eastAsia="zh-CN" w:bidi="ar-SA"/>
        </w:rPr>
        <w:t>统一社会信用代码：11410402005462474W</w:t>
      </w:r>
    </w:p>
    <w:p>
      <w:pPr>
        <w:spacing w:line="360" w:lineRule="auto"/>
        <w:ind w:firstLine="420" w:firstLineChars="200"/>
        <w:rPr>
          <w:rFonts w:hint="eastAsia" w:ascii="宋体" w:hAnsi="宋体" w:eastAsia="宋体" w:cs="宋体"/>
          <w:b w:val="0"/>
          <w:color w:val="auto"/>
          <w:kern w:val="2"/>
          <w:sz w:val="21"/>
          <w:highlight w:val="none"/>
          <w:lang w:val="en-US" w:eastAsia="zh-CN" w:bidi="ar-SA"/>
        </w:rPr>
      </w:pPr>
      <w:r>
        <w:rPr>
          <w:rFonts w:hint="eastAsia" w:ascii="宋体" w:hAnsi="宋体" w:eastAsia="宋体" w:cs="宋体"/>
          <w:b w:val="0"/>
          <w:color w:val="auto"/>
          <w:kern w:val="2"/>
          <w:sz w:val="21"/>
          <w:highlight w:val="none"/>
          <w:lang w:val="en-US" w:eastAsia="zh-CN" w:bidi="ar-SA"/>
        </w:rPr>
        <w:t>联系人：梁女士</w:t>
      </w:r>
    </w:p>
    <w:p>
      <w:pPr>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b w:val="0"/>
          <w:color w:val="auto"/>
          <w:kern w:val="2"/>
          <w:sz w:val="21"/>
          <w:highlight w:val="none"/>
          <w:lang w:val="en-US" w:eastAsia="zh-CN" w:bidi="ar-SA"/>
        </w:rPr>
        <w:t>电话：0375-7666036</w:t>
      </w:r>
    </w:p>
    <w:p>
      <w:pPr>
        <w:spacing w:line="360" w:lineRule="auto"/>
        <w:rPr>
          <w:b/>
          <w:bCs/>
          <w:szCs w:val="22"/>
          <w:highlight w:val="none"/>
        </w:rPr>
      </w:pPr>
      <w:r>
        <w:rPr>
          <w:rFonts w:hint="eastAsia"/>
          <w:b/>
          <w:bCs/>
          <w:szCs w:val="22"/>
          <w:highlight w:val="none"/>
        </w:rPr>
        <w:t>八、</w:t>
      </w:r>
      <w:bookmarkEnd w:id="28"/>
      <w:bookmarkEnd w:id="29"/>
      <w:bookmarkEnd w:id="30"/>
      <w:bookmarkEnd w:id="31"/>
      <w:r>
        <w:rPr>
          <w:rFonts w:hint="eastAsia"/>
          <w:b/>
          <w:bCs/>
          <w:szCs w:val="22"/>
          <w:highlight w:val="none"/>
        </w:rPr>
        <w:t>凡对本次招标提出询问，请按照以下方式联系</w:t>
      </w:r>
    </w:p>
    <w:p>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1.采购人信息</w:t>
      </w:r>
      <w:bookmarkStart w:id="32" w:name="_Toc28359086"/>
      <w:bookmarkStart w:id="33" w:name="_Toc28359009"/>
    </w:p>
    <w:p>
      <w:pPr>
        <w:spacing w:line="460" w:lineRule="exact"/>
        <w:ind w:firstLine="420" w:firstLineChars="200"/>
        <w:rPr>
          <w:rFonts w:hint="eastAsia" w:ascii="宋体" w:hAnsi="宋体" w:cs="宋体"/>
          <w:highlight w:val="none"/>
        </w:rPr>
      </w:pPr>
      <w:r>
        <w:rPr>
          <w:rFonts w:hint="eastAsia" w:ascii="宋体" w:hAnsi="宋体" w:cs="宋体"/>
          <w:highlight w:val="none"/>
        </w:rPr>
        <w:t>名称：平顶山市新华区环境卫生服务中心</w:t>
      </w:r>
    </w:p>
    <w:p>
      <w:pPr>
        <w:spacing w:line="460" w:lineRule="exact"/>
        <w:ind w:firstLine="420" w:firstLineChars="200"/>
        <w:rPr>
          <w:rFonts w:hint="eastAsia" w:ascii="宋体" w:hAnsi="宋体" w:cs="宋体"/>
          <w:highlight w:val="none"/>
        </w:rPr>
      </w:pPr>
      <w:r>
        <w:rPr>
          <w:rFonts w:hint="eastAsia" w:ascii="宋体" w:hAnsi="宋体" w:cs="宋体"/>
          <w:highlight w:val="none"/>
        </w:rPr>
        <w:t>地址：平顶山市新华区光明路与建设路交叉口西南角中转站楼上</w:t>
      </w:r>
    </w:p>
    <w:p>
      <w:pPr>
        <w:spacing w:line="460" w:lineRule="exact"/>
        <w:ind w:firstLine="420" w:firstLineChars="200"/>
        <w:rPr>
          <w:rFonts w:hint="eastAsia" w:ascii="宋体" w:hAnsi="宋体" w:cs="宋体"/>
          <w:highlight w:val="none"/>
        </w:rPr>
      </w:pPr>
      <w:r>
        <w:rPr>
          <w:rFonts w:hint="eastAsia" w:ascii="宋体" w:hAnsi="宋体" w:cs="宋体"/>
          <w:highlight w:val="none"/>
        </w:rPr>
        <w:t>联系人：杨先生</w:t>
      </w:r>
    </w:p>
    <w:p>
      <w:pPr>
        <w:spacing w:line="460" w:lineRule="exact"/>
        <w:ind w:firstLine="420" w:firstLineChars="200"/>
        <w:rPr>
          <w:rFonts w:hint="eastAsia" w:ascii="宋体" w:hAnsi="宋体" w:cs="宋体"/>
          <w:highlight w:val="none"/>
        </w:rPr>
      </w:pPr>
      <w:r>
        <w:rPr>
          <w:rFonts w:hint="eastAsia" w:ascii="宋体" w:hAnsi="宋体" w:cs="宋体"/>
          <w:highlight w:val="none"/>
        </w:rPr>
        <w:t>联系方式：18537580009</w:t>
      </w:r>
    </w:p>
    <w:p>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2.采购代理机构信息</w:t>
      </w:r>
      <w:bookmarkEnd w:id="32"/>
      <w:bookmarkEnd w:id="33"/>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名称：方大国际工程咨询股份有限公司　　　　　　　　　　　　</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地址：郑州市郑东新区康宁街与普济路交会处德威广场12层　　　　　　　　　　　　</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联系人：金广涛</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联系方式：</w:t>
      </w:r>
      <w:bookmarkStart w:id="34" w:name="_Toc28359087"/>
      <w:bookmarkStart w:id="35" w:name="_Toc28359010"/>
      <w:r>
        <w:rPr>
          <w:rFonts w:hint="eastAsia" w:ascii="宋体" w:hAnsi="宋体" w:cs="宋体"/>
          <w:szCs w:val="21"/>
          <w:highlight w:val="none"/>
        </w:rPr>
        <w:t>13323756823　</w:t>
      </w:r>
    </w:p>
    <w:p>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3.项目联系方式</w:t>
      </w:r>
      <w:bookmarkEnd w:id="34"/>
      <w:bookmarkEnd w:id="35"/>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项目联系人：金广涛</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电　话：13323756823　</w:t>
      </w:r>
    </w:p>
    <w:p>
      <w:pPr>
        <w:spacing w:line="360" w:lineRule="auto"/>
        <w:rPr>
          <w:rFonts w:ascii="宋体" w:hAnsi="宋体"/>
          <w:sz w:val="22"/>
          <w:szCs w:val="22"/>
          <w:highlight w:val="none"/>
        </w:rPr>
      </w:pPr>
    </w:p>
    <w:p>
      <w:pPr>
        <w:rPr>
          <w:rFonts w:ascii="宋体" w:hAnsi="宋体"/>
          <w:highlight w:val="none"/>
        </w:rPr>
      </w:pPr>
      <w:bookmarkStart w:id="36" w:name="_Toc14181"/>
      <w:r>
        <w:rPr>
          <w:rFonts w:hint="eastAsia" w:ascii="宋体" w:hAnsi="宋体"/>
          <w:highlight w:val="none"/>
        </w:rPr>
        <w:br w:type="page"/>
      </w:r>
    </w:p>
    <w:p>
      <w:pPr>
        <w:pStyle w:val="2"/>
        <w:snapToGrid w:val="0"/>
        <w:spacing w:line="240" w:lineRule="auto"/>
        <w:ind w:left="1125" w:firstLine="2249" w:firstLineChars="700"/>
        <w:rPr>
          <w:rFonts w:ascii="宋体" w:hAnsi="宋体"/>
          <w:highlight w:val="none"/>
        </w:rPr>
      </w:pPr>
      <w:bookmarkStart w:id="37" w:name="_Toc19019"/>
      <w:bookmarkStart w:id="38" w:name="_Toc26280_WPSOffice_Level1"/>
      <w:r>
        <w:rPr>
          <w:rFonts w:hint="eastAsia" w:ascii="宋体" w:hAnsi="宋体"/>
          <w:highlight w:val="none"/>
        </w:rPr>
        <w:t>第二章 投标人须知</w:t>
      </w:r>
      <w:bookmarkEnd w:id="4"/>
      <w:bookmarkEnd w:id="36"/>
      <w:bookmarkEnd w:id="37"/>
      <w:bookmarkEnd w:id="38"/>
    </w:p>
    <w:p>
      <w:pPr>
        <w:pStyle w:val="3"/>
        <w:ind w:firstLine="420"/>
        <w:jc w:val="center"/>
        <w:rPr>
          <w:rFonts w:ascii="宋体" w:hAnsi="宋体" w:eastAsia="宋体"/>
          <w:highlight w:val="none"/>
        </w:rPr>
      </w:pPr>
      <w:bookmarkStart w:id="39" w:name="_Toc184635070"/>
      <w:bookmarkStart w:id="40" w:name="_Toc16840"/>
      <w:bookmarkStart w:id="41" w:name="_Toc512597504"/>
      <w:r>
        <w:rPr>
          <w:rFonts w:hint="eastAsia" w:ascii="宋体" w:hAnsi="宋体" w:eastAsia="宋体"/>
          <w:highlight w:val="none"/>
        </w:rPr>
        <w:t>投标人须知前附表</w:t>
      </w:r>
      <w:bookmarkEnd w:id="39"/>
      <w:bookmarkEnd w:id="40"/>
      <w:bookmarkEnd w:id="41"/>
    </w:p>
    <w:p>
      <w:pPr>
        <w:pStyle w:val="18"/>
        <w:ind w:left="840" w:hanging="420"/>
        <w:rPr>
          <w:highlight w:val="none"/>
        </w:rPr>
      </w:pPr>
      <w:bookmarkStart w:id="42" w:name="_Toc144974497"/>
      <w:bookmarkStart w:id="43" w:name="_Toc296602420"/>
      <w:bookmarkStart w:id="44" w:name="_Toc179632546"/>
      <w:bookmarkStart w:id="45" w:name="_Toc246996918"/>
      <w:bookmarkStart w:id="46" w:name="_Toc152045529"/>
      <w:bookmarkStart w:id="47" w:name="_Toc247085689"/>
      <w:bookmarkStart w:id="48" w:name="_Toc152042305"/>
      <w:bookmarkStart w:id="49" w:name="_Toc246996175"/>
    </w:p>
    <w:tbl>
      <w:tblPr>
        <w:tblStyle w:val="36"/>
        <w:tblW w:w="8796" w:type="dxa"/>
        <w:tblInd w:w="760" w:type="dxa"/>
        <w:tblLayout w:type="fixed"/>
        <w:tblCellMar>
          <w:top w:w="0" w:type="dxa"/>
          <w:left w:w="0" w:type="dxa"/>
          <w:bottom w:w="0" w:type="dxa"/>
          <w:right w:w="0" w:type="dxa"/>
        </w:tblCellMar>
      </w:tblPr>
      <w:tblGrid>
        <w:gridCol w:w="858"/>
        <w:gridCol w:w="1501"/>
        <w:gridCol w:w="6437"/>
      </w:tblGrid>
      <w:tr>
        <w:tblPrEx>
          <w:tblLayout w:type="fixed"/>
          <w:tblCellMar>
            <w:top w:w="0" w:type="dxa"/>
            <w:left w:w="0" w:type="dxa"/>
            <w:bottom w:w="0" w:type="dxa"/>
            <w:right w:w="0" w:type="dxa"/>
          </w:tblCellMar>
        </w:tblPrEx>
        <w:trPr>
          <w:trHeight w:val="311" w:hRule="atLeast"/>
        </w:trPr>
        <w:tc>
          <w:tcPr>
            <w:tcW w:w="858" w:type="dxa"/>
            <w:tcBorders>
              <w:top w:val="single" w:color="000000" w:sz="4" w:space="0"/>
              <w:left w:val="single" w:color="000000" w:sz="4" w:space="0"/>
              <w:bottom w:val="single" w:color="000000" w:sz="4" w:space="0"/>
              <w:right w:val="single" w:color="000000" w:sz="4" w:space="0"/>
            </w:tcBorders>
          </w:tcPr>
          <w:p>
            <w:pPr>
              <w:pStyle w:val="47"/>
              <w:kinsoku w:val="0"/>
              <w:overflowPunct w:val="0"/>
              <w:spacing w:before="2" w:line="289" w:lineRule="exact"/>
              <w:ind w:right="218"/>
              <w:jc w:val="right"/>
              <w:rPr>
                <w:rFonts w:ascii="仿宋" w:hAnsi="仿宋" w:eastAsia="仿宋"/>
                <w:highlight w:val="none"/>
              </w:rPr>
            </w:pPr>
            <w:bookmarkStart w:id="50" w:name="_Toc413941322"/>
            <w:bookmarkStart w:id="51" w:name="_Toc25121"/>
            <w:r>
              <w:rPr>
                <w:rFonts w:hint="eastAsia" w:ascii="仿宋" w:hAnsi="仿宋" w:eastAsia="仿宋"/>
                <w:highlight w:val="none"/>
              </w:rPr>
              <w:t>序号</w:t>
            </w:r>
          </w:p>
        </w:tc>
        <w:tc>
          <w:tcPr>
            <w:tcW w:w="1501" w:type="dxa"/>
            <w:tcBorders>
              <w:top w:val="single" w:color="000000" w:sz="4" w:space="0"/>
              <w:left w:val="single" w:color="000000" w:sz="4" w:space="0"/>
              <w:bottom w:val="single" w:color="000000" w:sz="4" w:space="0"/>
              <w:right w:val="single" w:color="000000" w:sz="4" w:space="0"/>
            </w:tcBorders>
          </w:tcPr>
          <w:p>
            <w:pPr>
              <w:pStyle w:val="47"/>
              <w:tabs>
                <w:tab w:val="left" w:pos="488"/>
              </w:tabs>
              <w:kinsoku w:val="0"/>
              <w:overflowPunct w:val="0"/>
              <w:spacing w:before="2" w:line="289" w:lineRule="exact"/>
              <w:ind w:left="8"/>
              <w:jc w:val="center"/>
              <w:rPr>
                <w:rFonts w:ascii="仿宋" w:hAnsi="仿宋" w:eastAsia="仿宋"/>
                <w:highlight w:val="none"/>
              </w:rPr>
            </w:pPr>
            <w:r>
              <w:rPr>
                <w:rFonts w:hint="eastAsia" w:ascii="仿宋" w:hAnsi="仿宋" w:eastAsia="仿宋"/>
                <w:highlight w:val="none"/>
              </w:rPr>
              <w:t>名</w:t>
            </w:r>
            <w:r>
              <w:rPr>
                <w:rFonts w:ascii="仿宋" w:hAnsi="仿宋" w:eastAsia="仿宋"/>
                <w:highlight w:val="none"/>
              </w:rPr>
              <w:tab/>
            </w:r>
            <w:r>
              <w:rPr>
                <w:rFonts w:hint="eastAsia" w:ascii="仿宋" w:hAnsi="仿宋" w:eastAsia="仿宋"/>
                <w:highlight w:val="none"/>
              </w:rPr>
              <w:t>称</w:t>
            </w:r>
          </w:p>
        </w:tc>
        <w:tc>
          <w:tcPr>
            <w:tcW w:w="6437" w:type="dxa"/>
            <w:tcBorders>
              <w:top w:val="single" w:color="000000" w:sz="4" w:space="0"/>
              <w:left w:val="single" w:color="000000" w:sz="4" w:space="0"/>
              <w:bottom w:val="single" w:color="000000" w:sz="4" w:space="0"/>
              <w:right w:val="single" w:color="000000" w:sz="4" w:space="0"/>
            </w:tcBorders>
          </w:tcPr>
          <w:p>
            <w:pPr>
              <w:pStyle w:val="47"/>
              <w:tabs>
                <w:tab w:val="left" w:pos="489"/>
              </w:tabs>
              <w:kinsoku w:val="0"/>
              <w:overflowPunct w:val="0"/>
              <w:spacing w:before="2" w:line="289" w:lineRule="exact"/>
              <w:ind w:left="9"/>
              <w:jc w:val="center"/>
              <w:rPr>
                <w:rFonts w:ascii="仿宋" w:hAnsi="仿宋" w:eastAsia="仿宋"/>
                <w:highlight w:val="none"/>
              </w:rPr>
            </w:pPr>
            <w:r>
              <w:rPr>
                <w:rFonts w:hint="eastAsia" w:ascii="仿宋" w:hAnsi="仿宋" w:eastAsia="仿宋"/>
                <w:highlight w:val="none"/>
              </w:rPr>
              <w:t>内</w:t>
            </w:r>
            <w:r>
              <w:rPr>
                <w:rFonts w:ascii="仿宋" w:hAnsi="仿宋" w:eastAsia="仿宋"/>
                <w:highlight w:val="none"/>
              </w:rPr>
              <w:tab/>
            </w:r>
            <w:r>
              <w:rPr>
                <w:rFonts w:hint="eastAsia" w:ascii="仿宋" w:hAnsi="仿宋" w:eastAsia="仿宋"/>
                <w:highlight w:val="none"/>
              </w:rPr>
              <w:t>容</w:t>
            </w:r>
          </w:p>
        </w:tc>
      </w:tr>
      <w:tr>
        <w:tblPrEx>
          <w:tblLayout w:type="fixed"/>
          <w:tblCellMar>
            <w:top w:w="0" w:type="dxa"/>
            <w:left w:w="0" w:type="dxa"/>
            <w:bottom w:w="0" w:type="dxa"/>
            <w:right w:w="0" w:type="dxa"/>
          </w:tblCellMar>
        </w:tblPrEx>
        <w:trPr>
          <w:trHeight w:val="1052"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采购人</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宋体"/>
                <w:sz w:val="24"/>
                <w:highlight w:val="none"/>
              </w:rPr>
            </w:pPr>
            <w:r>
              <w:rPr>
                <w:rFonts w:hint="eastAsia" w:ascii="仿宋" w:hAnsi="仿宋" w:eastAsia="仿宋" w:cs="宋体"/>
                <w:sz w:val="24"/>
                <w:highlight w:val="none"/>
              </w:rPr>
              <w:t>名称：平顶山市新华区环境卫生服务中心</w:t>
            </w:r>
          </w:p>
          <w:p>
            <w:pPr>
              <w:jc w:val="left"/>
              <w:rPr>
                <w:rFonts w:hint="eastAsia" w:ascii="仿宋" w:hAnsi="仿宋" w:eastAsia="仿宋" w:cs="宋体"/>
                <w:sz w:val="24"/>
                <w:highlight w:val="none"/>
              </w:rPr>
            </w:pPr>
            <w:r>
              <w:rPr>
                <w:rFonts w:hint="eastAsia" w:ascii="仿宋" w:hAnsi="仿宋" w:eastAsia="仿宋" w:cs="宋体"/>
                <w:sz w:val="24"/>
                <w:highlight w:val="none"/>
              </w:rPr>
              <w:t>地址：平顶山市新华区光明路与建设路交叉口西南角中转站楼上</w:t>
            </w:r>
          </w:p>
          <w:p>
            <w:pPr>
              <w:jc w:val="left"/>
              <w:rPr>
                <w:rFonts w:hint="eastAsia" w:ascii="仿宋" w:hAnsi="仿宋" w:eastAsia="仿宋" w:cs="宋体"/>
                <w:sz w:val="24"/>
                <w:highlight w:val="none"/>
              </w:rPr>
            </w:pPr>
            <w:r>
              <w:rPr>
                <w:rFonts w:hint="eastAsia" w:ascii="仿宋" w:hAnsi="仿宋" w:eastAsia="仿宋" w:cs="宋体"/>
                <w:sz w:val="24"/>
                <w:highlight w:val="none"/>
              </w:rPr>
              <w:t>联系人：杨先生</w:t>
            </w:r>
          </w:p>
          <w:p>
            <w:pPr>
              <w:jc w:val="left"/>
              <w:rPr>
                <w:rFonts w:ascii="仿宋" w:hAnsi="仿宋" w:eastAsia="仿宋" w:cs="宋体"/>
                <w:sz w:val="24"/>
                <w:highlight w:val="none"/>
              </w:rPr>
            </w:pPr>
            <w:r>
              <w:rPr>
                <w:rFonts w:hint="eastAsia" w:ascii="仿宋" w:hAnsi="仿宋" w:eastAsia="仿宋" w:cs="宋体"/>
                <w:sz w:val="24"/>
                <w:highlight w:val="none"/>
              </w:rPr>
              <w:t>联系方式：18537580009</w:t>
            </w:r>
          </w:p>
        </w:tc>
      </w:tr>
      <w:tr>
        <w:tblPrEx>
          <w:tblLayout w:type="fixed"/>
          <w:tblCellMar>
            <w:top w:w="0" w:type="dxa"/>
            <w:left w:w="0" w:type="dxa"/>
            <w:bottom w:w="0" w:type="dxa"/>
            <w:right w:w="0" w:type="dxa"/>
          </w:tblCellMar>
        </w:tblPrEx>
        <w:trPr>
          <w:trHeight w:val="136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采购代理机构</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名称：方大国际工程咨询股份有限公司　　　　　　　　　　　　</w:t>
            </w:r>
          </w:p>
          <w:p>
            <w:pPr>
              <w:jc w:val="left"/>
              <w:rPr>
                <w:rFonts w:ascii="仿宋" w:hAnsi="仿宋" w:eastAsia="仿宋" w:cs="宋体"/>
                <w:sz w:val="24"/>
                <w:highlight w:val="none"/>
              </w:rPr>
            </w:pPr>
            <w:r>
              <w:rPr>
                <w:rFonts w:hint="eastAsia" w:ascii="仿宋" w:hAnsi="仿宋" w:eastAsia="仿宋" w:cs="宋体"/>
                <w:sz w:val="24"/>
                <w:highlight w:val="none"/>
              </w:rPr>
              <w:t>地址：郑州市郑东新区康宁街与普济路交会处德威广场12层</w:t>
            </w:r>
          </w:p>
          <w:p>
            <w:pPr>
              <w:jc w:val="left"/>
              <w:rPr>
                <w:rFonts w:ascii="仿宋" w:hAnsi="仿宋" w:eastAsia="仿宋" w:cs="宋体"/>
                <w:sz w:val="24"/>
                <w:highlight w:val="none"/>
              </w:rPr>
            </w:pPr>
            <w:r>
              <w:rPr>
                <w:rFonts w:hint="eastAsia" w:ascii="仿宋" w:hAnsi="仿宋" w:eastAsia="仿宋" w:cs="宋体"/>
                <w:sz w:val="24"/>
                <w:highlight w:val="none"/>
              </w:rPr>
              <w:t>联系人：金广涛　　　　　　　　　　　</w:t>
            </w:r>
          </w:p>
          <w:p>
            <w:pPr>
              <w:jc w:val="left"/>
              <w:rPr>
                <w:rFonts w:ascii="仿宋" w:hAnsi="仿宋" w:eastAsia="仿宋" w:cs="宋体"/>
                <w:sz w:val="24"/>
                <w:highlight w:val="none"/>
              </w:rPr>
            </w:pPr>
            <w:r>
              <w:rPr>
                <w:rFonts w:hint="eastAsia" w:ascii="仿宋" w:hAnsi="仿宋" w:eastAsia="仿宋" w:cs="宋体"/>
                <w:sz w:val="24"/>
                <w:highlight w:val="none"/>
              </w:rPr>
              <w:t>联系方式：13323756823　</w:t>
            </w:r>
          </w:p>
          <w:p>
            <w:pPr>
              <w:jc w:val="left"/>
              <w:rPr>
                <w:rFonts w:ascii="仿宋" w:hAnsi="仿宋" w:eastAsia="仿宋" w:cs="宋体"/>
                <w:sz w:val="24"/>
                <w:highlight w:val="none"/>
              </w:rPr>
            </w:pPr>
            <w:r>
              <w:rPr>
                <w:rFonts w:hint="eastAsia" w:ascii="仿宋" w:hAnsi="仿宋" w:eastAsia="仿宋" w:cs="宋体"/>
                <w:sz w:val="24"/>
                <w:highlight w:val="none"/>
              </w:rPr>
              <w:t>邮箱：pingdingshanfd@163.com</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3</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项目名称</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szCs w:val="22"/>
                <w:highlight w:val="none"/>
              </w:rPr>
              <w:t>平顶山市新华区环境卫生服务中心生活垃圾收运及环境整治（垃圾中转站配套升级改造）项目</w:t>
            </w:r>
          </w:p>
        </w:tc>
      </w:tr>
      <w:tr>
        <w:tblPrEx>
          <w:tblLayout w:type="fixed"/>
          <w:tblCellMar>
            <w:top w:w="0" w:type="dxa"/>
            <w:left w:w="0" w:type="dxa"/>
            <w:bottom w:w="0" w:type="dxa"/>
            <w:right w:w="0" w:type="dxa"/>
          </w:tblCellMar>
        </w:tblPrEx>
        <w:trPr>
          <w:trHeight w:val="633"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4</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资金来源及落实情况</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财政资金，已落实</w:t>
            </w:r>
          </w:p>
        </w:tc>
      </w:tr>
      <w:tr>
        <w:tblPrEx>
          <w:tblLayout w:type="fixed"/>
          <w:tblCellMar>
            <w:top w:w="0" w:type="dxa"/>
            <w:left w:w="0" w:type="dxa"/>
            <w:bottom w:w="0" w:type="dxa"/>
            <w:right w:w="0" w:type="dxa"/>
          </w:tblCellMar>
        </w:tblPrEx>
        <w:trPr>
          <w:trHeight w:val="91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5</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采购内容</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sz w:val="24"/>
                <w:highlight w:val="none"/>
              </w:rPr>
              <w:t>平顶山市新华区环境卫生服务中心生活垃圾收运及环境整治（垃圾中转站配套升级改造）项目，包含体南餐厨垃圾减量化处理中心改造、长青路垃圾分拣中心改造、武庄垃圾分拣中心改造、中央花园大件垃圾处理中心、街心花园垃圾分类宣教中心、双鹰垃圾中转站垂直压缩机更换、陈庄沟垃圾中转站垂直压缩机更换、移动箱体及车厢可卸式垃圾车配套建设。主要内容包括土建部分：拆除部分墙体、外立面原墙砖、室内墙裙、室内抹灰层、25cm厚混凝土地面；新建地砖及环氧地坪漆地面、白色乳胶漆内墙面、柔性石材外墙面、矿棉板吊顶等；安装部分：配电箱、电缆、开关、插座等；设备部分：垃圾车、吸污车等内容。</w:t>
            </w:r>
          </w:p>
        </w:tc>
      </w:tr>
      <w:tr>
        <w:tblPrEx>
          <w:tblLayout w:type="fixed"/>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6</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采购方式</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 w:val="24"/>
                <w:highlight w:val="none"/>
              </w:rPr>
            </w:pPr>
            <w:r>
              <w:rPr>
                <w:rFonts w:hint="eastAsia" w:ascii="仿宋" w:hAnsi="仿宋" w:eastAsia="仿宋"/>
                <w:sz w:val="24"/>
                <w:highlight w:val="none"/>
              </w:rPr>
              <w:t>公开招标</w:t>
            </w:r>
          </w:p>
        </w:tc>
      </w:tr>
      <w:tr>
        <w:tblPrEx>
          <w:tblLayout w:type="fixed"/>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7</w:t>
            </w:r>
          </w:p>
        </w:tc>
        <w:tc>
          <w:tcPr>
            <w:tcW w:w="150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highlight w:val="none"/>
              </w:rPr>
            </w:pPr>
            <w:r>
              <w:rPr>
                <w:rFonts w:hint="eastAsia" w:ascii="仿宋" w:hAnsi="仿宋" w:eastAsia="仿宋"/>
                <w:sz w:val="24"/>
                <w:highlight w:val="none"/>
              </w:rPr>
              <w:t>采购项目属性</w:t>
            </w:r>
          </w:p>
        </w:tc>
        <w:tc>
          <w:tcPr>
            <w:tcW w:w="643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highlight w:val="none"/>
              </w:rPr>
            </w:pPr>
            <w:r>
              <w:rPr>
                <w:rFonts w:hint="eastAsia" w:ascii="仿宋" w:hAnsi="仿宋" w:eastAsia="仿宋"/>
                <w:sz w:val="24"/>
                <w:highlight w:val="none"/>
              </w:rPr>
              <w:t xml:space="preserve">☑货物       </w:t>
            </w:r>
            <w:r>
              <w:rPr>
                <w:rFonts w:ascii="仿宋" w:hAnsi="仿宋" w:eastAsia="仿宋" w:cs="宋体"/>
                <w:sz w:val="24"/>
                <w:highlight w:val="none"/>
              </w:rPr>
              <w:fldChar w:fldCharType="begin"/>
            </w:r>
            <w:r>
              <w:rPr>
                <w:rFonts w:ascii="仿宋" w:hAnsi="仿宋" w:eastAsia="仿宋" w:cs="宋体"/>
                <w:sz w:val="24"/>
                <w:highlight w:val="none"/>
              </w:rPr>
              <w:instrText xml:space="preserve"> </w:instrText>
            </w:r>
            <w:r>
              <w:rPr>
                <w:rFonts w:hint="eastAsia" w:ascii="仿宋" w:hAnsi="仿宋" w:eastAsia="仿宋" w:cs="宋体"/>
                <w:sz w:val="24"/>
                <w:highlight w:val="none"/>
              </w:rPr>
              <w:instrText xml:space="preserve">eq \o\ac(□)</w:instrText>
            </w:r>
            <w:r>
              <w:rPr>
                <w:rFonts w:ascii="仿宋" w:hAnsi="仿宋" w:eastAsia="仿宋" w:cs="宋体"/>
                <w:sz w:val="24"/>
                <w:highlight w:val="none"/>
              </w:rPr>
              <w:fldChar w:fldCharType="end"/>
            </w:r>
            <w:r>
              <w:rPr>
                <w:rFonts w:hint="eastAsia" w:ascii="仿宋" w:hAnsi="仿宋" w:eastAsia="仿宋"/>
                <w:sz w:val="24"/>
                <w:highlight w:val="none"/>
              </w:rPr>
              <w:t xml:space="preserve">服务       </w:t>
            </w:r>
            <w:r>
              <w:rPr>
                <w:rFonts w:hint="eastAsia" w:ascii="仿宋" w:hAnsi="仿宋" w:eastAsia="仿宋"/>
                <w:sz w:val="24"/>
                <w:highlight w:val="none"/>
                <w:lang w:eastAsia="zh-CN"/>
              </w:rPr>
              <w:t>☑</w:t>
            </w:r>
            <w:r>
              <w:rPr>
                <w:rFonts w:hint="eastAsia" w:ascii="仿宋" w:hAnsi="仿宋" w:eastAsia="仿宋"/>
                <w:sz w:val="24"/>
                <w:highlight w:val="none"/>
              </w:rPr>
              <w:t>工程</w:t>
            </w:r>
          </w:p>
        </w:tc>
      </w:tr>
      <w:tr>
        <w:tblPrEx>
          <w:tblLayout w:type="fixed"/>
          <w:tblCellMar>
            <w:top w:w="0" w:type="dxa"/>
            <w:left w:w="0" w:type="dxa"/>
            <w:bottom w:w="0" w:type="dxa"/>
            <w:right w:w="0" w:type="dxa"/>
          </w:tblCellMar>
        </w:tblPrEx>
        <w:trPr>
          <w:trHeight w:val="453"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8</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sz w:val="24"/>
                <w:highlight w:val="none"/>
              </w:rPr>
              <w:t>合同履行期限</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自合同签订之日起至完成全部内容止</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9</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服务期限</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szCs w:val="22"/>
                <w:highlight w:val="none"/>
              </w:rPr>
              <w:t>签订合同后60日历天完成土建、安装部分的竣工验收及设备的交货、安装、调试、验收；；</w:t>
            </w:r>
          </w:p>
        </w:tc>
      </w:tr>
      <w:tr>
        <w:tblPrEx>
          <w:tblLayout w:type="fixed"/>
          <w:tblCellMar>
            <w:top w:w="0" w:type="dxa"/>
            <w:left w:w="0" w:type="dxa"/>
            <w:bottom w:w="0" w:type="dxa"/>
            <w:right w:w="0" w:type="dxa"/>
          </w:tblCellMar>
        </w:tblPrEx>
        <w:trPr>
          <w:trHeight w:val="46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10</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服务地点</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新华区境内采购人指定地点</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11</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质量要求</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sz w:val="24"/>
                <w:highlight w:val="none"/>
              </w:rPr>
              <w:t>土建及安装部分:合格；设备部分：达到国家相关法律、法规规定的生产、制造、验收合格标准</w:t>
            </w:r>
          </w:p>
        </w:tc>
      </w:tr>
      <w:tr>
        <w:tblPrEx>
          <w:tblLayout w:type="fixed"/>
          <w:tblCellMar>
            <w:top w:w="0" w:type="dxa"/>
            <w:left w:w="0" w:type="dxa"/>
            <w:bottom w:w="0" w:type="dxa"/>
            <w:right w:w="0" w:type="dxa"/>
          </w:tblCellMar>
        </w:tblPrEx>
        <w:trPr>
          <w:trHeight w:val="41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12</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投标人资格要求</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bCs/>
                <w:sz w:val="24"/>
                <w:highlight w:val="none"/>
              </w:rPr>
              <w:t>详见招标公告</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13</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是否接受联合体</w:t>
            </w:r>
          </w:p>
          <w:p>
            <w:pPr>
              <w:jc w:val="center"/>
              <w:rPr>
                <w:rFonts w:ascii="仿宋" w:hAnsi="仿宋" w:eastAsia="仿宋" w:cs="宋体"/>
                <w:sz w:val="24"/>
                <w:highlight w:val="none"/>
              </w:rPr>
            </w:pPr>
            <w:r>
              <w:rPr>
                <w:rFonts w:hint="eastAsia" w:ascii="仿宋" w:hAnsi="仿宋" w:eastAsia="仿宋" w:cs="宋体"/>
                <w:sz w:val="24"/>
                <w:highlight w:val="none"/>
              </w:rPr>
              <w:t>投标</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☑不接受</w:t>
            </w:r>
          </w:p>
          <w:p>
            <w:pPr>
              <w:jc w:val="left"/>
              <w:rPr>
                <w:rFonts w:ascii="仿宋" w:hAnsi="仿宋" w:eastAsia="仿宋" w:cs="宋体"/>
                <w:sz w:val="24"/>
                <w:highlight w:val="none"/>
              </w:rPr>
            </w:pPr>
            <w:r>
              <w:rPr>
                <w:rFonts w:hint="eastAsia" w:ascii="仿宋" w:hAnsi="仿宋" w:eastAsia="仿宋" w:cs="宋体"/>
                <w:sz w:val="24"/>
                <w:highlight w:val="none"/>
              </w:rPr>
              <w:t>□接受</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14</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踏勘现场及答疑</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☑不组织</w:t>
            </w:r>
          </w:p>
          <w:p>
            <w:pPr>
              <w:jc w:val="left"/>
              <w:rPr>
                <w:rFonts w:ascii="仿宋" w:hAnsi="仿宋" w:eastAsia="仿宋" w:cs="宋体"/>
                <w:sz w:val="24"/>
                <w:highlight w:val="none"/>
              </w:rPr>
            </w:pPr>
            <w:r>
              <w:rPr>
                <w:rFonts w:hint="eastAsia" w:ascii="仿宋" w:hAnsi="仿宋" w:eastAsia="仿宋" w:cs="宋体"/>
                <w:sz w:val="24"/>
                <w:highlight w:val="none"/>
              </w:rPr>
              <w:t>□组织</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15</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投标预备会</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☑不召开</w:t>
            </w:r>
          </w:p>
          <w:p>
            <w:pPr>
              <w:jc w:val="left"/>
              <w:rPr>
                <w:rFonts w:ascii="仿宋" w:hAnsi="仿宋" w:eastAsia="仿宋" w:cs="宋体"/>
                <w:sz w:val="24"/>
                <w:highlight w:val="none"/>
              </w:rPr>
            </w:pPr>
            <w:r>
              <w:rPr>
                <w:rFonts w:hint="eastAsia" w:ascii="仿宋" w:hAnsi="仿宋" w:eastAsia="仿宋" w:cs="宋体"/>
                <w:sz w:val="24"/>
                <w:highlight w:val="none"/>
              </w:rPr>
              <w:t>□召开</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16</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技术偏离</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□不允许负偏差</w:t>
            </w:r>
          </w:p>
          <w:p>
            <w:pPr>
              <w:jc w:val="left"/>
              <w:rPr>
                <w:rFonts w:ascii="仿宋" w:hAnsi="仿宋" w:eastAsia="仿宋" w:cs="宋体"/>
                <w:sz w:val="24"/>
                <w:highlight w:val="none"/>
              </w:rPr>
            </w:pPr>
            <w:r>
              <w:rPr>
                <w:rFonts w:hint="eastAsia" w:ascii="仿宋" w:hAnsi="仿宋" w:eastAsia="仿宋" w:cs="宋体"/>
                <w:sz w:val="24"/>
                <w:highlight w:val="none"/>
              </w:rPr>
              <w:t>☑允许</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17</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构成招标文件的</w:t>
            </w:r>
          </w:p>
          <w:p>
            <w:pPr>
              <w:jc w:val="center"/>
              <w:rPr>
                <w:rFonts w:ascii="仿宋" w:hAnsi="仿宋" w:eastAsia="仿宋" w:cs="宋体"/>
                <w:sz w:val="24"/>
                <w:highlight w:val="none"/>
              </w:rPr>
            </w:pPr>
            <w:r>
              <w:rPr>
                <w:rFonts w:hint="eastAsia" w:ascii="仿宋" w:hAnsi="仿宋" w:eastAsia="仿宋" w:cs="宋体"/>
                <w:sz w:val="24"/>
                <w:highlight w:val="none"/>
              </w:rPr>
              <w:t>其他材料</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与本项目有关的解答、澄清、修改与补充等</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18</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投标人要求澄清招标文件的截止时间</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按招标文件规定的投标文件截止前</w:t>
            </w:r>
            <w:r>
              <w:rPr>
                <w:rFonts w:ascii="仿宋" w:hAnsi="仿宋" w:eastAsia="仿宋" w:cs="宋体"/>
                <w:sz w:val="24"/>
                <w:highlight w:val="none"/>
              </w:rPr>
              <w:t xml:space="preserve"> 1</w:t>
            </w:r>
            <w:r>
              <w:rPr>
                <w:rFonts w:hint="eastAsia" w:ascii="仿宋" w:hAnsi="仿宋" w:eastAsia="仿宋" w:cs="宋体"/>
                <w:sz w:val="24"/>
                <w:highlight w:val="none"/>
              </w:rPr>
              <w:t>5</w:t>
            </w:r>
            <w:r>
              <w:rPr>
                <w:rFonts w:ascii="仿宋" w:hAnsi="仿宋" w:eastAsia="仿宋" w:cs="宋体"/>
                <w:sz w:val="24"/>
                <w:highlight w:val="none"/>
              </w:rPr>
              <w:t xml:space="preserve"> </w:t>
            </w:r>
            <w:r>
              <w:rPr>
                <w:rFonts w:hint="eastAsia" w:ascii="仿宋" w:hAnsi="仿宋" w:eastAsia="仿宋" w:cs="宋体"/>
                <w:sz w:val="24"/>
                <w:highlight w:val="none"/>
              </w:rPr>
              <w:t>日前</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19</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投标截止时间</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szCs w:val="22"/>
                <w:highlight w:val="none"/>
              </w:rPr>
            </w:pPr>
            <w:r>
              <w:rPr>
                <w:rFonts w:hint="eastAsia" w:ascii="仿宋" w:hAnsi="仿宋" w:eastAsia="仿宋" w:cs="宋体"/>
                <w:sz w:val="24"/>
                <w:szCs w:val="22"/>
                <w:highlight w:val="none"/>
              </w:rPr>
              <w:t>2023年</w:t>
            </w:r>
            <w:r>
              <w:rPr>
                <w:rFonts w:hint="eastAsia" w:ascii="仿宋" w:hAnsi="仿宋" w:eastAsia="仿宋" w:cs="宋体"/>
                <w:sz w:val="24"/>
                <w:szCs w:val="22"/>
                <w:highlight w:val="none"/>
                <w:lang w:val="en-US" w:eastAsia="zh-CN"/>
              </w:rPr>
              <w:t>11</w:t>
            </w:r>
            <w:r>
              <w:rPr>
                <w:rFonts w:hint="eastAsia" w:ascii="仿宋" w:hAnsi="仿宋" w:eastAsia="仿宋" w:cs="宋体"/>
                <w:sz w:val="24"/>
                <w:szCs w:val="22"/>
                <w:highlight w:val="none"/>
              </w:rPr>
              <w:t>月</w:t>
            </w:r>
            <w:r>
              <w:rPr>
                <w:rFonts w:hint="eastAsia" w:ascii="仿宋" w:hAnsi="仿宋" w:eastAsia="仿宋" w:cs="宋体"/>
                <w:sz w:val="24"/>
                <w:szCs w:val="22"/>
                <w:highlight w:val="none"/>
                <w:lang w:val="en-US" w:eastAsia="zh-CN"/>
              </w:rPr>
              <w:t>29</w:t>
            </w:r>
            <w:r>
              <w:rPr>
                <w:rFonts w:hint="eastAsia" w:ascii="仿宋" w:hAnsi="仿宋" w:eastAsia="仿宋" w:cs="宋体"/>
                <w:sz w:val="24"/>
                <w:szCs w:val="22"/>
                <w:highlight w:val="none"/>
              </w:rPr>
              <w:t>日</w:t>
            </w:r>
            <w:r>
              <w:rPr>
                <w:rFonts w:hint="eastAsia" w:ascii="仿宋" w:hAnsi="仿宋" w:eastAsia="仿宋" w:cs="宋体"/>
                <w:sz w:val="24"/>
                <w:szCs w:val="22"/>
                <w:highlight w:val="none"/>
                <w:lang w:val="en-US" w:eastAsia="zh-CN"/>
              </w:rPr>
              <w:t>8</w:t>
            </w:r>
            <w:r>
              <w:rPr>
                <w:rFonts w:hint="eastAsia" w:ascii="仿宋" w:hAnsi="仿宋" w:eastAsia="仿宋" w:cs="宋体"/>
                <w:sz w:val="24"/>
                <w:szCs w:val="22"/>
                <w:highlight w:val="none"/>
              </w:rPr>
              <w:t>时</w:t>
            </w:r>
            <w:r>
              <w:rPr>
                <w:rFonts w:hint="eastAsia" w:ascii="仿宋" w:hAnsi="仿宋" w:eastAsia="仿宋" w:cs="宋体"/>
                <w:sz w:val="24"/>
                <w:szCs w:val="22"/>
                <w:highlight w:val="none"/>
                <w:lang w:val="en-US" w:eastAsia="zh-CN"/>
              </w:rPr>
              <w:t>40</w:t>
            </w:r>
            <w:r>
              <w:rPr>
                <w:rFonts w:hint="eastAsia" w:ascii="仿宋" w:hAnsi="仿宋" w:eastAsia="仿宋" w:cs="宋体"/>
                <w:sz w:val="24"/>
                <w:szCs w:val="22"/>
                <w:highlight w:val="none"/>
              </w:rPr>
              <w:t>分（北京时间）</w:t>
            </w:r>
          </w:p>
          <w:p>
            <w:pPr>
              <w:jc w:val="left"/>
              <w:rPr>
                <w:rFonts w:ascii="仿宋" w:hAnsi="仿宋" w:eastAsia="仿宋" w:cs="宋体"/>
                <w:sz w:val="24"/>
                <w:highlight w:val="none"/>
              </w:rPr>
            </w:pPr>
            <w:r>
              <w:rPr>
                <w:rFonts w:hint="eastAsia" w:ascii="仿宋" w:hAnsi="仿宋" w:eastAsia="仿宋" w:cs="宋体"/>
                <w:sz w:val="24"/>
                <w:highlight w:val="none"/>
              </w:rPr>
              <w:t>注：全面实行在线“不见面”开标，投标人远程在线解密投标文件，不再到开标现场，投标人开标前应仔细阅读《“不见面”开标注意事项及操作流程》。</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20</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投标文件电子版</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加密版投标文件1份（.file格式），并按规定进行上传。</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21</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投标有效期</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sz w:val="24"/>
                <w:highlight w:val="none"/>
              </w:rPr>
              <w:t>投标截止之日起60个日历天</w:t>
            </w:r>
          </w:p>
        </w:tc>
      </w:tr>
      <w:tr>
        <w:tblPrEx>
          <w:tblLayout w:type="fixed"/>
          <w:tblCellMar>
            <w:top w:w="0" w:type="dxa"/>
            <w:left w:w="0" w:type="dxa"/>
            <w:bottom w:w="0" w:type="dxa"/>
            <w:right w:w="0" w:type="dxa"/>
          </w:tblCellMar>
        </w:tblPrEx>
        <w:trPr>
          <w:trHeight w:val="349" w:hRule="atLeast"/>
        </w:trPr>
        <w:tc>
          <w:tcPr>
            <w:tcW w:w="858"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22</w:t>
            </w:r>
          </w:p>
        </w:tc>
        <w:tc>
          <w:tcPr>
            <w:tcW w:w="1501"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投标保证金</w:t>
            </w:r>
          </w:p>
        </w:tc>
        <w:tc>
          <w:tcPr>
            <w:tcW w:w="6437"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pPr>
              <w:jc w:val="center"/>
              <w:rPr>
                <w:rFonts w:ascii="仿宋" w:hAnsi="仿宋" w:eastAsia="仿宋" w:cs="宋体"/>
                <w:sz w:val="24"/>
                <w:highlight w:val="none"/>
              </w:rPr>
            </w:pPr>
          </w:p>
        </w:tc>
        <w:tc>
          <w:tcPr>
            <w:tcW w:w="1501"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履约保证金</w:t>
            </w:r>
          </w:p>
        </w:tc>
        <w:tc>
          <w:tcPr>
            <w:tcW w:w="6437"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pPr>
              <w:jc w:val="center"/>
              <w:rPr>
                <w:rFonts w:ascii="仿宋" w:hAnsi="仿宋" w:eastAsia="仿宋" w:cs="宋体"/>
                <w:sz w:val="24"/>
                <w:highlight w:val="none"/>
              </w:rPr>
            </w:pPr>
          </w:p>
        </w:tc>
        <w:tc>
          <w:tcPr>
            <w:tcW w:w="1501"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质量保证金</w:t>
            </w:r>
          </w:p>
        </w:tc>
        <w:tc>
          <w:tcPr>
            <w:tcW w:w="6437"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p>
        </w:tc>
        <w:tc>
          <w:tcPr>
            <w:tcW w:w="1501"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招标文件费用</w:t>
            </w:r>
          </w:p>
        </w:tc>
        <w:tc>
          <w:tcPr>
            <w:tcW w:w="6437"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Fonts w:hint="eastAsia" w:ascii="仿宋" w:hAnsi="仿宋" w:eastAsia="仿宋"/>
                <w:sz w:val="24"/>
                <w:highlight w:val="none"/>
              </w:rPr>
              <w:t>不收取</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23</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签字或盖章要求</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24</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递交投标文件地点</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平顶山市公共资源交易中心电子交易系统</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25</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开标时间和地点</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开标时间：同投标截止时间；</w:t>
            </w:r>
          </w:p>
          <w:p>
            <w:pPr>
              <w:jc w:val="left"/>
              <w:rPr>
                <w:rFonts w:ascii="仿宋" w:hAnsi="仿宋" w:eastAsia="仿宋" w:cs="宋体"/>
                <w:sz w:val="24"/>
                <w:highlight w:val="none"/>
              </w:rPr>
            </w:pPr>
            <w:r>
              <w:rPr>
                <w:rFonts w:hint="eastAsia" w:ascii="仿宋" w:hAnsi="仿宋" w:eastAsia="仿宋" w:cs="宋体"/>
                <w:sz w:val="24"/>
                <w:highlight w:val="none"/>
              </w:rPr>
              <w:t>开标地点：平顶山市公共资源交易中心</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26</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开标程序</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1</w:t>
            </w:r>
            <w:r>
              <w:rPr>
                <w:rFonts w:hint="eastAsia" w:ascii="仿宋" w:hAnsi="仿宋" w:eastAsia="仿宋" w:cs="宋体"/>
                <w:sz w:val="24"/>
                <w:highlight w:val="none"/>
              </w:rPr>
              <w:t>）电子化投标文件采用双重加密方式。开标时，首先由投标人使用</w:t>
            </w:r>
            <w:r>
              <w:rPr>
                <w:rFonts w:ascii="仿宋" w:hAnsi="仿宋" w:eastAsia="仿宋" w:cs="宋体"/>
                <w:sz w:val="24"/>
                <w:highlight w:val="none"/>
              </w:rPr>
              <w:t xml:space="preserve"> CA </w:t>
            </w:r>
            <w:r>
              <w:rPr>
                <w:rFonts w:hint="eastAsia" w:ascii="仿宋" w:hAnsi="仿宋" w:eastAsia="仿宋" w:cs="宋体"/>
                <w:sz w:val="24"/>
                <w:highlight w:val="none"/>
              </w:rPr>
              <w:t>证书，在规定时间内对其电子化投标文件进行首次解密，投标人解密完成后，再由中介服务机构使用</w:t>
            </w:r>
            <w:r>
              <w:rPr>
                <w:rFonts w:ascii="仿宋" w:hAnsi="仿宋" w:eastAsia="仿宋" w:cs="宋体"/>
                <w:sz w:val="24"/>
                <w:highlight w:val="none"/>
              </w:rPr>
              <w:t xml:space="preserve"> CA </w:t>
            </w:r>
            <w:r>
              <w:rPr>
                <w:rFonts w:hint="eastAsia" w:ascii="仿宋" w:hAnsi="仿宋" w:eastAsia="仿宋" w:cs="宋体"/>
                <w:sz w:val="24"/>
                <w:highlight w:val="none"/>
              </w:rPr>
              <w:t>证书对投标文件进行再次解密。</w:t>
            </w:r>
          </w:p>
          <w:p>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2</w:t>
            </w:r>
            <w:r>
              <w:rPr>
                <w:rFonts w:hint="eastAsia" w:ascii="仿宋" w:hAnsi="仿宋" w:eastAsia="仿宋" w:cs="宋体"/>
                <w:sz w:val="24"/>
                <w:highlight w:val="none"/>
              </w:rPr>
              <w:t>）待所有投标人投标文件解密完成后，由中介服务机构操作，对所有已解密投标文件进行唱标。</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27</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评标委员会的组建</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评标委员会构成：由采购人代表及相关技术、经济专家</w:t>
            </w:r>
            <w:r>
              <w:rPr>
                <w:rFonts w:hint="eastAsia" w:ascii="仿宋" w:hAnsi="仿宋" w:eastAsia="仿宋" w:cs="宋体"/>
                <w:sz w:val="24"/>
                <w:highlight w:val="none"/>
                <w:lang w:val="en-US" w:eastAsia="zh-CN"/>
              </w:rPr>
              <w:t>7</w:t>
            </w:r>
            <w:r>
              <w:rPr>
                <w:rFonts w:hint="eastAsia" w:ascii="仿宋" w:hAnsi="仿宋" w:eastAsia="仿宋" w:cs="宋体"/>
                <w:sz w:val="24"/>
                <w:highlight w:val="none"/>
              </w:rPr>
              <w:t>人以上单数组成。</w:t>
            </w:r>
          </w:p>
          <w:p>
            <w:pPr>
              <w:jc w:val="left"/>
              <w:rPr>
                <w:rFonts w:ascii="仿宋" w:hAnsi="仿宋" w:eastAsia="仿宋" w:cs="宋体"/>
                <w:sz w:val="24"/>
                <w:highlight w:val="none"/>
              </w:rPr>
            </w:pPr>
            <w:r>
              <w:rPr>
                <w:rFonts w:hint="eastAsia" w:ascii="仿宋" w:hAnsi="仿宋" w:eastAsia="仿宋" w:cs="宋体"/>
                <w:sz w:val="24"/>
                <w:highlight w:val="none"/>
              </w:rPr>
              <w:t>评标专家确定方式</w:t>
            </w:r>
            <w:r>
              <w:rPr>
                <w:rFonts w:ascii="仿宋" w:hAnsi="仿宋" w:eastAsia="仿宋" w:cs="宋体"/>
                <w:sz w:val="24"/>
                <w:highlight w:val="none"/>
              </w:rPr>
              <w:t>:</w:t>
            </w:r>
            <w:r>
              <w:rPr>
                <w:rFonts w:hint="eastAsia" w:ascii="仿宋" w:hAnsi="仿宋" w:eastAsia="仿宋" w:cs="宋体"/>
                <w:sz w:val="24"/>
                <w:highlight w:val="none"/>
              </w:rPr>
              <w:t>由招标人从相关评标专家库中随机抽取。上述规定为一组评标专家组成方式，根据项目标段数量和评标工作量，可由多组专家完成评审，但一个标段只能由一组专家评审。</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28</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是否授权评标委会</w:t>
            </w:r>
          </w:p>
          <w:p>
            <w:pPr>
              <w:jc w:val="center"/>
              <w:rPr>
                <w:rFonts w:ascii="仿宋" w:hAnsi="仿宋" w:eastAsia="仿宋" w:cs="宋体"/>
                <w:sz w:val="24"/>
                <w:highlight w:val="none"/>
              </w:rPr>
            </w:pPr>
            <w:r>
              <w:rPr>
                <w:rFonts w:hint="eastAsia" w:ascii="仿宋" w:hAnsi="仿宋" w:eastAsia="仿宋" w:cs="宋体"/>
                <w:sz w:val="24"/>
                <w:highlight w:val="none"/>
              </w:rPr>
              <w:t>确定中标人</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tblPrEx>
          <w:tblLayout w:type="fixed"/>
          <w:tblCellMar>
            <w:top w:w="0" w:type="dxa"/>
            <w:left w:w="0" w:type="dxa"/>
            <w:bottom w:w="0" w:type="dxa"/>
            <w:right w:w="0" w:type="dxa"/>
          </w:tblCellMar>
        </w:tblPrEx>
        <w:trPr>
          <w:trHeight w:val="431"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29</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接收质疑函的方式和联系方式</w:t>
            </w:r>
          </w:p>
        </w:tc>
        <w:tc>
          <w:tcPr>
            <w:tcW w:w="643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4"/>
                <w:highlight w:val="none"/>
              </w:rPr>
            </w:pPr>
            <w:r>
              <w:rPr>
                <w:rFonts w:hint="eastAsia" w:ascii="仿宋" w:hAnsi="仿宋" w:eastAsia="仿宋" w:cs="宋体"/>
                <w:sz w:val="24"/>
                <w:highlight w:val="none"/>
              </w:rPr>
              <w:t>质疑函应在平顶山市公共资源交易系统中接收，质疑函的格式和内容应当符合相关法律法规的要求。联系方式如下：</w:t>
            </w:r>
          </w:p>
          <w:p>
            <w:pPr>
              <w:rPr>
                <w:rFonts w:ascii="仿宋" w:hAnsi="仿宋" w:eastAsia="仿宋" w:cs="宋体"/>
                <w:sz w:val="24"/>
                <w:highlight w:val="none"/>
              </w:rPr>
            </w:pPr>
            <w:r>
              <w:rPr>
                <w:rFonts w:hint="eastAsia" w:ascii="仿宋" w:hAnsi="仿宋" w:eastAsia="仿宋" w:cs="宋体"/>
                <w:sz w:val="24"/>
                <w:highlight w:val="none"/>
              </w:rPr>
              <w:t>联系人：金广涛          联系电话：13323756823</w:t>
            </w:r>
          </w:p>
          <w:p>
            <w:pPr>
              <w:rPr>
                <w:rFonts w:ascii="仿宋" w:hAnsi="仿宋" w:eastAsia="仿宋" w:cs="宋体"/>
                <w:sz w:val="24"/>
                <w:highlight w:val="none"/>
              </w:rPr>
            </w:pPr>
            <w:r>
              <w:rPr>
                <w:rFonts w:hint="eastAsia" w:ascii="仿宋" w:hAnsi="仿宋" w:eastAsia="仿宋" w:cs="宋体"/>
                <w:sz w:val="24"/>
                <w:highlight w:val="none"/>
              </w:rPr>
              <w:t>对供应商提出的质疑，采购人、采购代理机构应当依法及时答复和处理，不得推诿扯皮故意刁难，须进行实质性回应。</w:t>
            </w:r>
          </w:p>
        </w:tc>
      </w:tr>
      <w:tr>
        <w:tblPrEx>
          <w:tblLayout w:type="fixed"/>
          <w:tblCellMar>
            <w:top w:w="0" w:type="dxa"/>
            <w:left w:w="0" w:type="dxa"/>
            <w:bottom w:w="0" w:type="dxa"/>
            <w:right w:w="0" w:type="dxa"/>
          </w:tblCellMar>
        </w:tblPrEx>
        <w:trPr>
          <w:trHeight w:val="691" w:hRule="atLeast"/>
        </w:trPr>
        <w:tc>
          <w:tcPr>
            <w:tcW w:w="858" w:type="dxa"/>
            <w:tcBorders>
              <w:top w:val="single" w:color="000000" w:sz="4" w:space="0"/>
              <w:left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30</w:t>
            </w:r>
          </w:p>
        </w:tc>
        <w:tc>
          <w:tcPr>
            <w:tcW w:w="1501" w:type="dxa"/>
            <w:tcBorders>
              <w:top w:val="single" w:color="000000" w:sz="4" w:space="0"/>
              <w:left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最高投标限价</w:t>
            </w:r>
          </w:p>
        </w:tc>
        <w:tc>
          <w:tcPr>
            <w:tcW w:w="6437" w:type="dxa"/>
            <w:tcBorders>
              <w:top w:val="single" w:color="000000" w:sz="4" w:space="0"/>
              <w:left w:val="single" w:color="000000" w:sz="4" w:space="0"/>
              <w:right w:val="single" w:color="000000" w:sz="4" w:space="0"/>
            </w:tcBorders>
            <w:vAlign w:val="center"/>
          </w:tcPr>
          <w:p>
            <w:pPr>
              <w:rPr>
                <w:rFonts w:ascii="仿宋" w:hAnsi="仿宋" w:eastAsia="仿宋"/>
                <w:sz w:val="24"/>
                <w:highlight w:val="none"/>
              </w:rPr>
            </w:pPr>
            <w:r>
              <w:rPr>
                <w:rFonts w:hint="eastAsia" w:ascii="仿宋" w:hAnsi="仿宋" w:eastAsia="仿宋"/>
                <w:sz w:val="24"/>
                <w:highlight w:val="none"/>
              </w:rPr>
              <w:t>最高限价：</w:t>
            </w:r>
            <w:r>
              <w:rPr>
                <w:rFonts w:hint="eastAsia" w:ascii="仿宋" w:hAnsi="仿宋" w:eastAsia="仿宋"/>
                <w:sz w:val="24"/>
                <w:highlight w:val="none"/>
                <w:lang w:eastAsia="zh-CN"/>
              </w:rPr>
              <w:t>17866337.59</w:t>
            </w:r>
            <w:r>
              <w:rPr>
                <w:rFonts w:hint="eastAsia" w:ascii="仿宋" w:hAnsi="仿宋" w:eastAsia="仿宋"/>
                <w:sz w:val="24"/>
                <w:highlight w:val="none"/>
              </w:rPr>
              <w:t xml:space="preserve"> 元</w:t>
            </w:r>
          </w:p>
          <w:p>
            <w:pPr>
              <w:rPr>
                <w:rFonts w:ascii="仿宋" w:hAnsi="仿宋" w:eastAsia="仿宋"/>
                <w:sz w:val="24"/>
                <w:highlight w:val="none"/>
              </w:rPr>
            </w:pPr>
            <w:r>
              <w:rPr>
                <w:rFonts w:hint="eastAsia" w:ascii="仿宋" w:hAnsi="仿宋" w:eastAsia="仿宋"/>
                <w:sz w:val="24"/>
                <w:highlight w:val="none"/>
              </w:rPr>
              <w:t>注：超出最高限价按废标处理。</w:t>
            </w:r>
          </w:p>
        </w:tc>
      </w:tr>
      <w:tr>
        <w:tblPrEx>
          <w:tblLayout w:type="fixed"/>
          <w:tblCellMar>
            <w:top w:w="0" w:type="dxa"/>
            <w:left w:w="0" w:type="dxa"/>
            <w:bottom w:w="0" w:type="dxa"/>
            <w:right w:w="0" w:type="dxa"/>
          </w:tblCellMar>
        </w:tblPrEx>
        <w:trPr>
          <w:trHeight w:val="2031"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31</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ascii="仿宋" w:hAnsi="仿宋" w:eastAsia="仿宋" w:cs="宋体"/>
                <w:sz w:val="24"/>
                <w:highlight w:val="none"/>
              </w:rPr>
              <w:t>招标代理服务费</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highlight w:val="none"/>
              </w:rPr>
            </w:pPr>
            <w:r>
              <w:rPr>
                <w:rFonts w:hint="eastAsia" w:ascii="仿宋" w:hAnsi="仿宋" w:eastAsia="仿宋" w:cs="宋体"/>
                <w:sz w:val="24"/>
                <w:highlight w:val="none"/>
              </w:rPr>
              <w:t>招标代理费参照豫招协【2023】002号文件</w:t>
            </w:r>
            <w:r>
              <w:rPr>
                <w:rFonts w:hint="eastAsia" w:ascii="仿宋" w:hAnsi="仿宋" w:eastAsia="仿宋" w:cs="宋体"/>
                <w:sz w:val="24"/>
                <w:highlight w:val="none"/>
                <w:lang w:eastAsia="zh-CN"/>
              </w:rPr>
              <w:t>货物类</w:t>
            </w:r>
            <w:r>
              <w:rPr>
                <w:rFonts w:hint="eastAsia" w:ascii="仿宋" w:hAnsi="仿宋" w:eastAsia="仿宋" w:cs="宋体"/>
                <w:sz w:val="24"/>
                <w:highlight w:val="none"/>
              </w:rPr>
              <w:t>，以中标价为基数上浮20%，，中标单位领取中标通知书时一次性向代理公司交纳。</w:t>
            </w:r>
          </w:p>
          <w:p>
            <w:pPr>
              <w:jc w:val="left"/>
              <w:rPr>
                <w:rFonts w:ascii="仿宋" w:hAnsi="仿宋" w:eastAsia="仿宋" w:cs="宋体"/>
                <w:sz w:val="24"/>
                <w:highlight w:val="none"/>
              </w:rPr>
            </w:pPr>
            <w:r>
              <w:rPr>
                <w:rFonts w:hint="eastAsia" w:ascii="仿宋" w:hAnsi="仿宋" w:eastAsia="仿宋" w:cs="宋体"/>
                <w:sz w:val="24"/>
                <w:highlight w:val="none"/>
              </w:rPr>
              <w:t>此费用由投标人综合考虑到投标报价中，不再单独列项。此费用由投标人综合考虑到投标报价中，不再单独列项。</w:t>
            </w:r>
          </w:p>
        </w:tc>
      </w:tr>
      <w:tr>
        <w:tblPrEx>
          <w:tblLayout w:type="fixed"/>
          <w:tblCellMar>
            <w:top w:w="0" w:type="dxa"/>
            <w:left w:w="0" w:type="dxa"/>
            <w:bottom w:w="0" w:type="dxa"/>
            <w:right w:w="0" w:type="dxa"/>
          </w:tblCellMar>
        </w:tblPrEx>
        <w:trPr>
          <w:trHeight w:val="13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32</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付款方式</w:t>
            </w:r>
          </w:p>
        </w:tc>
        <w:tc>
          <w:tcPr>
            <w:tcW w:w="643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szCs w:val="22"/>
                <w:highlight w:val="none"/>
              </w:rPr>
            </w:pPr>
            <w:r>
              <w:rPr>
                <w:rFonts w:hint="eastAsia" w:ascii="仿宋" w:hAnsi="仿宋" w:eastAsia="仿宋" w:cs="宋体"/>
                <w:sz w:val="24"/>
                <w:szCs w:val="22"/>
                <w:highlight w:val="none"/>
              </w:rPr>
              <w:t>1、合同签订后，采购方向中标人支付中标金额的</w:t>
            </w:r>
            <w:r>
              <w:rPr>
                <w:rFonts w:hint="eastAsia" w:ascii="仿宋" w:hAnsi="仿宋" w:eastAsia="仿宋" w:cs="宋体"/>
                <w:sz w:val="24"/>
                <w:szCs w:val="22"/>
                <w:highlight w:val="none"/>
                <w:lang w:val="en-US" w:eastAsia="zh-CN"/>
              </w:rPr>
              <w:t>3</w:t>
            </w:r>
            <w:r>
              <w:rPr>
                <w:rFonts w:hint="eastAsia" w:ascii="仿宋" w:hAnsi="仿宋" w:eastAsia="仿宋" w:cs="宋体"/>
                <w:sz w:val="24"/>
                <w:szCs w:val="22"/>
                <w:highlight w:val="none"/>
              </w:rPr>
              <w:t>0%作为预付款；</w:t>
            </w:r>
          </w:p>
          <w:p>
            <w:pPr>
              <w:jc w:val="left"/>
              <w:rPr>
                <w:rFonts w:ascii="仿宋" w:hAnsi="仿宋" w:eastAsia="仿宋" w:cs="宋体"/>
                <w:sz w:val="24"/>
                <w:highlight w:val="none"/>
              </w:rPr>
            </w:pPr>
            <w:r>
              <w:rPr>
                <w:rFonts w:hint="eastAsia" w:ascii="仿宋" w:hAnsi="仿宋" w:eastAsia="仿宋" w:cs="宋体"/>
                <w:sz w:val="24"/>
                <w:szCs w:val="22"/>
                <w:highlight w:val="none"/>
              </w:rPr>
              <w:t>2、</w:t>
            </w:r>
            <w:r>
              <w:rPr>
                <w:rFonts w:hint="eastAsia" w:ascii="仿宋" w:hAnsi="仿宋" w:eastAsia="仿宋" w:cs="宋体"/>
                <w:sz w:val="24"/>
                <w:szCs w:val="22"/>
                <w:highlight w:val="none"/>
                <w:lang w:eastAsia="zh-CN"/>
              </w:rPr>
              <w:t>工程竣工验收及</w:t>
            </w:r>
            <w:r>
              <w:rPr>
                <w:rFonts w:hint="eastAsia" w:ascii="仿宋" w:hAnsi="仿宋" w:eastAsia="仿宋" w:cs="宋体"/>
                <w:sz w:val="24"/>
                <w:szCs w:val="22"/>
                <w:highlight w:val="none"/>
              </w:rPr>
              <w:t>货物全部交付并安装调试完成，经验收合格后采购方向中标人付中标金额的</w:t>
            </w:r>
            <w:r>
              <w:rPr>
                <w:rFonts w:hint="eastAsia" w:ascii="仿宋" w:hAnsi="仿宋" w:eastAsia="仿宋" w:cs="宋体"/>
                <w:sz w:val="24"/>
                <w:szCs w:val="22"/>
                <w:highlight w:val="none"/>
                <w:lang w:val="en-US" w:eastAsia="zh-CN"/>
              </w:rPr>
              <w:t>7</w:t>
            </w:r>
            <w:r>
              <w:rPr>
                <w:rFonts w:hint="eastAsia" w:ascii="仿宋" w:hAnsi="仿宋" w:eastAsia="仿宋" w:cs="宋体"/>
                <w:sz w:val="24"/>
                <w:szCs w:val="22"/>
                <w:highlight w:val="none"/>
              </w:rPr>
              <w:t>0%。</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33</w:t>
            </w:r>
          </w:p>
        </w:tc>
        <w:tc>
          <w:tcPr>
            <w:tcW w:w="15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政采领域优化营商环境相关政策</w:t>
            </w:r>
          </w:p>
          <w:p>
            <w:pPr>
              <w:spacing w:line="360" w:lineRule="auto"/>
              <w:jc w:val="center"/>
              <w:rPr>
                <w:rFonts w:ascii="仿宋" w:hAnsi="仿宋" w:eastAsia="仿宋" w:cs="宋体"/>
                <w:sz w:val="24"/>
                <w:highlight w:val="none"/>
              </w:rPr>
            </w:pPr>
          </w:p>
        </w:tc>
        <w:tc>
          <w:tcPr>
            <w:tcW w:w="643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一、落实四个“一日办”精神：</w:t>
            </w:r>
          </w:p>
          <w:p>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按照《平顶山市财政局关于压减政府采购各环节时限 进一步优化政府采购营商环境的通知》（平财购〔2021〕34号）通知，落实四个“一日办”精神：</w:t>
            </w:r>
          </w:p>
          <w:p>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（1）在评审结束后1日内确定采购结果，同时对中标单位发出中标或成交通知书，并在网上进行公告；</w:t>
            </w:r>
          </w:p>
          <w:p>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（2）中标或成交通知书发出后，1日内与中标或成交供应商签订合同，合同签订当日完成合同备案工作；</w:t>
            </w:r>
          </w:p>
          <w:p>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（3）政府采购项目供应商履约完成后，采购人应在供应商提出验收申请1个工作日内完成验收，同时在平顶山市政府采购网发布验收结果公告；</w:t>
            </w:r>
          </w:p>
          <w:p>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（4）验收合格具备付款条件的项目，采购人要在1个工作日内按照合同约定支付项目资金。</w:t>
            </w:r>
          </w:p>
          <w:p>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注：签合同需法定代表人携带本人身份证（如为授权委托人，则携带法定代表人授权委托书及本人身份证）、单位公章、合同纸质版本一式六份及合同电子版。</w:t>
            </w:r>
          </w:p>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二、维护企业在政府采购活动中的知情权</w:t>
            </w:r>
          </w:p>
          <w:p>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三、提供中小企业声明函格式</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在采购文件中，采购代理机构应按照财政部、工信部印发的《政府采购促进中小企业发展管理办法》的通知精神（财库〔2020〕46号）提供中小企业声明函格式。</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根据《政府采购促进中小企业发展管理办法》（财库〔2020〕46号）第四条：在政府采购活动中，供应商提供的货物、工程或者服务符合下列情形的，享受本办法规定的中小企业扶持政策：</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（一）在货物采购项目中，货物由中小企业制造，即货物由中小企业生产且使用该中小企业商号或者注册商标；</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（二）在工程采购项目中，工程由中小企业承建，即工程施工单位为中小企业；</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（三）在服务采购项目中，服务由中小企业承接，即提供服务的人员为中小企业依照《中华人民共和国劳动合同法》订立劳动合同的从业人员。</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在货物采购项目中，供应商提供的货物既有中小企业制</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造货物，也有大型企业制造货物的，不享受本办法规定的中小企业扶持政策。</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以联合体形式参加政府采购活动，联合体各方均为中小企业的，联合体视同中小企业。其中，联合体各方均为小微企业的，联合体视同小微企业。</w:t>
            </w:r>
          </w:p>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四、</w:t>
            </w:r>
            <w:r>
              <w:rPr>
                <w:rFonts w:ascii="仿宋" w:hAnsi="仿宋" w:eastAsia="仿宋" w:cs="宋体"/>
                <w:b/>
                <w:sz w:val="24"/>
                <w:highlight w:val="none"/>
              </w:rPr>
              <w:t>推广</w:t>
            </w:r>
            <w:r>
              <w:rPr>
                <w:rFonts w:hint="eastAsia" w:ascii="仿宋" w:hAnsi="仿宋" w:eastAsia="仿宋" w:cs="宋体"/>
                <w:b/>
                <w:sz w:val="24"/>
                <w:highlight w:val="none"/>
              </w:rPr>
              <w:t>政府采购合同融资</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要求采购人和代理机构将“政府采购合同融资告知函”写入招标文件，</w:t>
            </w:r>
            <w:r>
              <w:rPr>
                <w:rFonts w:ascii="仿宋" w:hAnsi="仿宋" w:eastAsia="仿宋" w:cs="宋体"/>
                <w:sz w:val="24"/>
                <w:highlight w:val="none"/>
              </w:rPr>
              <w:t>鼓励中标供应商凭借采购合同申请贷款，助力解决中小企业融资难、融资贵的问题。</w:t>
            </w:r>
          </w:p>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五、落实预留采购份额</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六、落实价格评审优惠政策</w:t>
            </w:r>
          </w:p>
          <w:p>
            <w:pPr>
              <w:pStyle w:val="7"/>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w:t>
            </w:r>
            <w:r>
              <w:rPr>
                <w:rFonts w:hint="eastAsia" w:ascii="仿宋" w:hAnsi="仿宋" w:eastAsia="仿宋" w:cs="宋体"/>
                <w:b/>
                <w:sz w:val="24"/>
                <w:highlight w:val="none"/>
              </w:rPr>
              <w:t>从高选择</w:t>
            </w:r>
            <w:r>
              <w:rPr>
                <w:rFonts w:hint="eastAsia" w:ascii="仿宋" w:hAnsi="仿宋" w:eastAsia="仿宋" w:cs="宋体"/>
                <w:sz w:val="24"/>
                <w:highlight w:val="none"/>
              </w:rPr>
              <w:t>价格扣除比例和评审优惠幅度，支持中小企业发展。上述政策应当在评审办法中</w:t>
            </w:r>
            <w:r>
              <w:rPr>
                <w:rFonts w:hint="eastAsia" w:ascii="仿宋" w:hAnsi="仿宋" w:eastAsia="仿宋" w:cs="宋体"/>
                <w:b/>
                <w:sz w:val="24"/>
                <w:highlight w:val="none"/>
              </w:rPr>
              <w:t>注明确定值。</w:t>
            </w:r>
          </w:p>
        </w:tc>
      </w:tr>
      <w:tr>
        <w:tblPrEx>
          <w:tblLayout w:type="fixed"/>
          <w:tblCellMar>
            <w:top w:w="0" w:type="dxa"/>
            <w:left w:w="0" w:type="dxa"/>
            <w:bottom w:w="0" w:type="dxa"/>
            <w:right w:w="0" w:type="dxa"/>
          </w:tblCellMar>
        </w:tblPrEx>
        <w:trPr>
          <w:trHeight w:val="18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highlight w:val="none"/>
              </w:rPr>
            </w:pPr>
            <w:r>
              <w:rPr>
                <w:rFonts w:hint="eastAsia" w:ascii="仿宋" w:hAnsi="仿宋" w:eastAsia="仿宋" w:cs="宋体"/>
                <w:sz w:val="24"/>
                <w:highlight w:val="none"/>
              </w:rPr>
              <w:t>34</w:t>
            </w:r>
          </w:p>
        </w:tc>
        <w:tc>
          <w:tcPr>
            <w:tcW w:w="15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落实绿色产品（节能产品、环境标志产品）优先采购政策。</w:t>
            </w:r>
          </w:p>
        </w:tc>
        <w:tc>
          <w:tcPr>
            <w:tcW w:w="643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sz w:val="24"/>
                <w:szCs w:val="22"/>
                <w:highlight w:val="none"/>
                <w:lang w:val="zh-TW"/>
              </w:rPr>
            </w:pPr>
            <w:r>
              <w:rPr>
                <w:rFonts w:hint="eastAsia" w:ascii="仿宋" w:hAnsi="仿宋" w:eastAsia="仿宋" w:cs="宋体"/>
                <w:sz w:val="24"/>
                <w:szCs w:val="22"/>
                <w:highlight w:val="none"/>
                <w:lang w:val="zh-TW"/>
              </w:rPr>
              <w:t>本项目执行节能产品、环境标志产品优先采购政策。所投产品如为节能产品政府采购品目清单内的产品得1分，如没有不得分。</w:t>
            </w:r>
          </w:p>
          <w:p>
            <w:pPr>
              <w:rPr>
                <w:rFonts w:ascii="仿宋" w:hAnsi="仿宋" w:eastAsia="仿宋" w:cs="宋体"/>
                <w:sz w:val="24"/>
                <w:highlight w:val="none"/>
              </w:rPr>
            </w:pPr>
            <w:r>
              <w:rPr>
                <w:rFonts w:hint="eastAsia" w:ascii="仿宋" w:hAnsi="仿宋" w:eastAsia="仿宋" w:cs="宋体"/>
                <w:sz w:val="24"/>
                <w:szCs w:val="22"/>
                <w:highlight w:val="none"/>
                <w:lang w:val="zh-TW"/>
              </w:rPr>
              <w:t>所投产品如为环境标志产品政府采购品目清单内的产品得1分，如没有不得分。</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35</w:t>
            </w:r>
          </w:p>
        </w:tc>
        <w:tc>
          <w:tcPr>
            <w:tcW w:w="15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本项目所属行业</w:t>
            </w:r>
          </w:p>
        </w:tc>
        <w:tc>
          <w:tcPr>
            <w:tcW w:w="643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宋体"/>
                <w:sz w:val="24"/>
                <w:szCs w:val="22"/>
                <w:highlight w:val="none"/>
                <w:lang w:val="zh-TW"/>
              </w:rPr>
            </w:pPr>
          </w:p>
          <w:p>
            <w:pPr>
              <w:rPr>
                <w:rFonts w:ascii="仿宋" w:hAnsi="仿宋" w:eastAsia="仿宋" w:cs="宋体"/>
                <w:sz w:val="24"/>
                <w:szCs w:val="22"/>
                <w:highlight w:val="none"/>
              </w:rPr>
            </w:pPr>
            <w:r>
              <w:rPr>
                <w:rFonts w:hint="eastAsia" w:ascii="仿宋" w:hAnsi="仿宋" w:eastAsia="仿宋" w:cs="宋体"/>
                <w:sz w:val="24"/>
                <w:szCs w:val="22"/>
                <w:highlight w:val="none"/>
                <w:lang w:val="zh-TW"/>
              </w:rPr>
              <w:t>标的</w:t>
            </w:r>
            <w:r>
              <w:rPr>
                <w:rFonts w:hint="eastAsia" w:ascii="仿宋" w:hAnsi="仿宋" w:eastAsia="仿宋" w:cs="宋体"/>
                <w:sz w:val="24"/>
                <w:szCs w:val="22"/>
                <w:highlight w:val="none"/>
                <w:lang w:val="en-US" w:eastAsia="zh-CN"/>
              </w:rPr>
              <w:t>1</w:t>
            </w:r>
            <w:r>
              <w:rPr>
                <w:rFonts w:hint="eastAsia" w:ascii="仿宋" w:hAnsi="仿宋" w:eastAsia="仿宋" w:cs="宋体"/>
                <w:sz w:val="24"/>
                <w:szCs w:val="22"/>
                <w:highlight w:val="none"/>
                <w:lang w:val="zh-TW"/>
              </w:rPr>
              <w:t>：31吨纯电动车厢可卸式垃圾车；18吨纯电动压缩垃圾车；10吨纯电动压缩垃圾车；18吨纯电动吸污车；厨余垃圾处理设备；空气净化设备；大件垃圾处理设备；叉车；18方整体压缩机；垂直压缩机；</w:t>
            </w:r>
          </w:p>
          <w:p>
            <w:pPr>
              <w:rPr>
                <w:rFonts w:hint="eastAsia" w:ascii="仿宋" w:hAnsi="仿宋" w:eastAsia="仿宋" w:cs="宋体"/>
                <w:sz w:val="24"/>
                <w:szCs w:val="22"/>
                <w:highlight w:val="none"/>
              </w:rPr>
            </w:pPr>
            <w:r>
              <w:rPr>
                <w:rFonts w:hint="eastAsia" w:ascii="仿宋" w:hAnsi="仿宋" w:eastAsia="仿宋" w:cs="宋体"/>
                <w:sz w:val="24"/>
                <w:szCs w:val="22"/>
                <w:highlight w:val="none"/>
                <w:lang w:val="zh-TW"/>
              </w:rPr>
              <w:t>属于：工业</w:t>
            </w:r>
            <w:r>
              <w:rPr>
                <w:rFonts w:hint="eastAsia" w:ascii="仿宋" w:hAnsi="仿宋" w:eastAsia="仿宋" w:cs="宋体"/>
                <w:sz w:val="24"/>
                <w:szCs w:val="22"/>
                <w:highlight w:val="none"/>
              </w:rPr>
              <w:t xml:space="preserve">（行业属性划分参照关于印发中小企业划型标准规定的通知(工信部联企业〔2011〕300号) </w:t>
            </w:r>
          </w:p>
          <w:p>
            <w:pPr>
              <w:rPr>
                <w:rFonts w:hint="eastAsia" w:ascii="仿宋" w:hAnsi="仿宋" w:eastAsia="仿宋" w:cs="宋体"/>
                <w:sz w:val="24"/>
                <w:szCs w:val="22"/>
                <w:highlight w:val="none"/>
                <w:lang w:val="zh-TW"/>
              </w:rPr>
            </w:pPr>
          </w:p>
          <w:p>
            <w:pPr>
              <w:rPr>
                <w:rFonts w:hint="eastAsia" w:ascii="仿宋" w:hAnsi="仿宋" w:eastAsia="仿宋" w:cs="宋体"/>
                <w:sz w:val="24"/>
                <w:szCs w:val="22"/>
                <w:highlight w:val="none"/>
              </w:rPr>
            </w:pPr>
            <w:r>
              <w:rPr>
                <w:rFonts w:hint="eastAsia" w:ascii="仿宋" w:hAnsi="仿宋" w:eastAsia="仿宋" w:cs="宋体"/>
                <w:sz w:val="24"/>
                <w:szCs w:val="22"/>
                <w:highlight w:val="none"/>
                <w:lang w:val="zh-TW"/>
              </w:rPr>
              <w:t>标的</w:t>
            </w:r>
            <w:r>
              <w:rPr>
                <w:rFonts w:hint="eastAsia" w:ascii="仿宋" w:hAnsi="仿宋" w:eastAsia="仿宋" w:cs="宋体"/>
                <w:sz w:val="24"/>
                <w:szCs w:val="22"/>
                <w:highlight w:val="none"/>
                <w:lang w:val="en-US" w:eastAsia="zh-CN"/>
              </w:rPr>
              <w:t>2</w:t>
            </w:r>
            <w:r>
              <w:rPr>
                <w:rFonts w:hint="eastAsia" w:ascii="仿宋" w:hAnsi="仿宋" w:eastAsia="仿宋" w:cs="宋体"/>
                <w:sz w:val="24"/>
                <w:szCs w:val="22"/>
                <w:highlight w:val="none"/>
                <w:lang w:val="zh-TW"/>
              </w:rPr>
              <w:t xml:space="preserve">： </w:t>
            </w:r>
            <w:r>
              <w:rPr>
                <w:rFonts w:hint="eastAsia" w:ascii="仿宋" w:hAnsi="仿宋" w:eastAsia="仿宋" w:cs="宋体"/>
                <w:sz w:val="24"/>
                <w:szCs w:val="22"/>
                <w:highlight w:val="none"/>
              </w:rPr>
              <w:t>平顶山市新华区环境卫生服务中心生活垃圾收运及环境整治（垃圾中转站配套升级改造）项目</w:t>
            </w:r>
            <w:r>
              <w:rPr>
                <w:rFonts w:hint="eastAsia" w:ascii="仿宋" w:hAnsi="仿宋" w:eastAsia="仿宋" w:cs="宋体"/>
                <w:sz w:val="24"/>
                <w:szCs w:val="22"/>
                <w:highlight w:val="none"/>
                <w:lang w:eastAsia="zh-CN"/>
              </w:rPr>
              <w:t>（设备部分以外的其他部分）；</w:t>
            </w:r>
          </w:p>
          <w:p>
            <w:pPr>
              <w:rPr>
                <w:rFonts w:hint="eastAsia" w:ascii="仿宋" w:hAnsi="仿宋" w:eastAsia="仿宋" w:cs="宋体"/>
                <w:sz w:val="24"/>
                <w:szCs w:val="22"/>
                <w:highlight w:val="none"/>
              </w:rPr>
            </w:pPr>
            <w:r>
              <w:rPr>
                <w:rFonts w:hint="eastAsia" w:ascii="仿宋" w:hAnsi="仿宋" w:eastAsia="仿宋" w:cs="宋体"/>
                <w:sz w:val="24"/>
                <w:szCs w:val="22"/>
                <w:highlight w:val="none"/>
                <w:lang w:val="zh-TW"/>
              </w:rPr>
              <w:t>属于：</w:t>
            </w:r>
            <w:r>
              <w:rPr>
                <w:rFonts w:hint="eastAsia" w:ascii="仿宋" w:hAnsi="仿宋" w:eastAsia="仿宋" w:cs="宋体"/>
                <w:sz w:val="24"/>
                <w:szCs w:val="22"/>
                <w:highlight w:val="none"/>
                <w:lang w:val="zh-TW" w:eastAsia="zh-CN"/>
              </w:rPr>
              <w:t>建筑业</w:t>
            </w:r>
            <w:r>
              <w:rPr>
                <w:rFonts w:hint="eastAsia" w:ascii="仿宋" w:hAnsi="仿宋" w:eastAsia="仿宋" w:cs="宋体"/>
                <w:sz w:val="24"/>
                <w:szCs w:val="22"/>
                <w:highlight w:val="none"/>
              </w:rPr>
              <w:t xml:space="preserve">（行业属性划分参照关于印发中小企业划型标准规定的通知(工信部联企业〔2011〕300号) </w:t>
            </w:r>
          </w:p>
          <w:p>
            <w:pPr>
              <w:pStyle w:val="15"/>
              <w:rPr>
                <w:highlight w:val="none"/>
              </w:rPr>
            </w:pP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36</w:t>
            </w:r>
          </w:p>
        </w:tc>
        <w:tc>
          <w:tcPr>
            <w:tcW w:w="15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核心产品</w:t>
            </w:r>
          </w:p>
        </w:tc>
        <w:tc>
          <w:tcPr>
            <w:tcW w:w="6437"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仿宋" w:hAnsi="仿宋" w:eastAsia="仿宋" w:cs="宋体"/>
                <w:sz w:val="24"/>
                <w:szCs w:val="22"/>
                <w:highlight w:val="none"/>
                <w:lang w:val="en-US" w:eastAsia="zh-CN"/>
              </w:rPr>
            </w:pPr>
            <w:r>
              <w:rPr>
                <w:rFonts w:hint="eastAsia" w:ascii="仿宋" w:hAnsi="仿宋" w:eastAsia="仿宋" w:cs="宋体"/>
                <w:sz w:val="24"/>
                <w:szCs w:val="22"/>
                <w:highlight w:val="none"/>
              </w:rPr>
              <w:t>本项目</w:t>
            </w:r>
            <w:r>
              <w:rPr>
                <w:rFonts w:hint="eastAsia" w:ascii="仿宋" w:hAnsi="仿宋" w:eastAsia="仿宋" w:cs="宋体"/>
                <w:sz w:val="24"/>
                <w:szCs w:val="22"/>
                <w:highlight w:val="none"/>
                <w:lang w:eastAsia="zh-CN"/>
              </w:rPr>
              <w:t>设备部分</w:t>
            </w:r>
            <w:r>
              <w:rPr>
                <w:rFonts w:hint="eastAsia" w:ascii="仿宋" w:hAnsi="仿宋" w:eastAsia="仿宋" w:cs="宋体"/>
                <w:sz w:val="24"/>
                <w:szCs w:val="22"/>
                <w:highlight w:val="none"/>
              </w:rPr>
              <w:t>核心心产品：31吨纯电动车厢可卸式垃圾车</w:t>
            </w:r>
            <w:r>
              <w:rPr>
                <w:rFonts w:hint="eastAsia" w:ascii="仿宋" w:hAnsi="仿宋" w:eastAsia="仿宋" w:cs="宋体"/>
                <w:sz w:val="24"/>
                <w:szCs w:val="22"/>
                <w:highlight w:val="none"/>
                <w:lang w:val="en-US" w:eastAsia="zh-CN"/>
              </w:rPr>
              <w:t>、18吨纯电动压缩垃圾车、18吨纯电动吸污车、大件垃圾处理设备</w:t>
            </w:r>
          </w:p>
          <w:p>
            <w:pPr>
              <w:rPr>
                <w:rFonts w:ascii="仿宋" w:hAnsi="仿宋" w:eastAsia="仿宋" w:cs="宋体"/>
                <w:sz w:val="24"/>
                <w:highlight w:val="none"/>
                <w:lang w:val="zh-TW"/>
              </w:rPr>
            </w:pPr>
            <w:r>
              <w:rPr>
                <w:rFonts w:hint="eastAsia" w:ascii="仿宋" w:hAnsi="仿宋" w:eastAsia="仿宋" w:cs="宋体"/>
                <w:sz w:val="24"/>
                <w:szCs w:val="22"/>
                <w:highlight w:val="none"/>
                <w:lang w:val="zh-TW"/>
              </w:rPr>
              <w:t>核心产品品牌相同，且通过资格审查、符合性审查的不同投标人参加同一合同项下投标的，按一家投标人计算，评审后得分最高的同品牌投标人获得中标人推荐资格，评审得分相同的，由采购人委托评标委员会按照投标报价最低的投标人获得中标人推荐资格，投标报价也相同的，采取随机抽取方式确定，其他同品牌投标人不作为中标候选人。</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其它</w:t>
            </w:r>
          </w:p>
        </w:tc>
        <w:tc>
          <w:tcPr>
            <w:tcW w:w="15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合同签订方式</w:t>
            </w:r>
          </w:p>
        </w:tc>
        <w:tc>
          <w:tcPr>
            <w:tcW w:w="6437" w:type="dxa"/>
            <w:tcBorders>
              <w:top w:val="single" w:color="000000" w:sz="4" w:space="0"/>
              <w:left w:val="single" w:color="000000" w:sz="4" w:space="0"/>
              <w:bottom w:val="single" w:color="000000" w:sz="4" w:space="0"/>
              <w:right w:val="single" w:color="000000" w:sz="4" w:space="0"/>
            </w:tcBorders>
            <w:vAlign w:val="center"/>
          </w:tcPr>
          <w:p>
            <w:pPr>
              <w:pStyle w:val="7"/>
              <w:ind w:right="105" w:rightChars="50" w:firstLine="0" w:firstLineChars="0"/>
              <w:rPr>
                <w:rFonts w:ascii="仿宋" w:hAnsi="仿宋" w:eastAsia="仿宋" w:cs="宋体"/>
                <w:sz w:val="24"/>
                <w:highlight w:val="none"/>
              </w:rPr>
            </w:pPr>
            <w:r>
              <w:rPr>
                <w:rFonts w:hint="eastAsia" w:ascii="仿宋" w:hAnsi="仿宋" w:eastAsia="仿宋" w:cs="宋体"/>
                <w:sz w:val="24"/>
                <w:highlight w:val="none"/>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50"/>
    </w:tbl>
    <w:p>
      <w:pPr>
        <w:rPr>
          <w:highlight w:val="none"/>
        </w:rPr>
      </w:pPr>
    </w:p>
    <w:bookmarkEnd w:id="42"/>
    <w:bookmarkEnd w:id="43"/>
    <w:bookmarkEnd w:id="44"/>
    <w:bookmarkEnd w:id="45"/>
    <w:bookmarkEnd w:id="46"/>
    <w:bookmarkEnd w:id="47"/>
    <w:bookmarkEnd w:id="48"/>
    <w:bookmarkEnd w:id="49"/>
    <w:bookmarkEnd w:id="51"/>
    <w:p>
      <w:pPr>
        <w:pStyle w:val="3"/>
        <w:rPr>
          <w:highlight w:val="none"/>
        </w:rPr>
      </w:pPr>
      <w:r>
        <w:rPr>
          <w:rFonts w:hint="eastAsia"/>
          <w:highlight w:val="none"/>
        </w:rPr>
        <w:t>投标人须知正文</w:t>
      </w:r>
    </w:p>
    <w:p>
      <w:pPr>
        <w:spacing w:line="400" w:lineRule="exact"/>
        <w:rPr>
          <w:rFonts w:ascii="宋体" w:hAnsi="宋体" w:cs="宋体"/>
          <w:szCs w:val="21"/>
          <w:highlight w:val="none"/>
        </w:rPr>
      </w:pPr>
      <w:r>
        <w:rPr>
          <w:rFonts w:hint="eastAsia" w:ascii="宋体" w:hAnsi="宋体" w:cs="宋体"/>
          <w:szCs w:val="21"/>
          <w:highlight w:val="none"/>
        </w:rPr>
        <w:t>1、本采购项目采购人：见投标人须知前附表。</w:t>
      </w:r>
    </w:p>
    <w:p>
      <w:pPr>
        <w:spacing w:line="400" w:lineRule="exact"/>
        <w:rPr>
          <w:rFonts w:ascii="宋体" w:hAnsi="宋体" w:cs="宋体"/>
          <w:szCs w:val="21"/>
          <w:highlight w:val="none"/>
        </w:rPr>
      </w:pPr>
      <w:r>
        <w:rPr>
          <w:rFonts w:hint="eastAsia" w:ascii="宋体" w:hAnsi="宋体" w:cs="宋体"/>
          <w:szCs w:val="21"/>
          <w:highlight w:val="none"/>
        </w:rPr>
        <w:t>2、本采购项目采购代理机构：见投标人须知前附表。</w:t>
      </w:r>
    </w:p>
    <w:p>
      <w:pPr>
        <w:spacing w:line="400" w:lineRule="exact"/>
        <w:rPr>
          <w:rFonts w:ascii="宋体" w:hAnsi="宋体" w:cs="宋体"/>
          <w:szCs w:val="21"/>
          <w:highlight w:val="none"/>
        </w:rPr>
      </w:pPr>
      <w:r>
        <w:rPr>
          <w:rFonts w:hint="eastAsia" w:ascii="宋体" w:hAnsi="宋体" w:cs="宋体"/>
          <w:szCs w:val="21"/>
          <w:highlight w:val="none"/>
        </w:rPr>
        <w:t>3、本采购项目名称：见投标人须知前附表。</w:t>
      </w:r>
      <w:bookmarkStart w:id="52" w:name="_Toc144974499"/>
      <w:bookmarkStart w:id="53" w:name="_Toc246996920"/>
      <w:bookmarkStart w:id="54" w:name="_Toc247085691"/>
      <w:bookmarkStart w:id="55" w:name="_Toc152042307"/>
      <w:bookmarkStart w:id="56" w:name="_Toc512597507"/>
      <w:bookmarkStart w:id="57" w:name="_Toc152045531"/>
      <w:bookmarkStart w:id="58" w:name="_Toc246996177"/>
      <w:bookmarkStart w:id="59" w:name="_Toc410287378"/>
      <w:bookmarkStart w:id="60" w:name="_Toc296602422"/>
      <w:bookmarkStart w:id="61" w:name="_Toc179632548"/>
      <w:bookmarkStart w:id="62" w:name="_Toc14440"/>
    </w:p>
    <w:p>
      <w:pPr>
        <w:spacing w:line="400" w:lineRule="exact"/>
        <w:rPr>
          <w:rFonts w:ascii="宋体" w:hAnsi="宋体" w:cs="宋体"/>
          <w:szCs w:val="21"/>
          <w:highlight w:val="none"/>
        </w:rPr>
      </w:pPr>
      <w:r>
        <w:rPr>
          <w:rFonts w:hint="eastAsia" w:ascii="宋体" w:hAnsi="宋体" w:cs="宋体"/>
          <w:szCs w:val="21"/>
          <w:highlight w:val="none"/>
        </w:rPr>
        <w:t>4、本采购项目资金来源和落实情况</w:t>
      </w:r>
      <w:bookmarkEnd w:id="52"/>
      <w:bookmarkEnd w:id="53"/>
      <w:bookmarkEnd w:id="54"/>
      <w:bookmarkEnd w:id="55"/>
      <w:bookmarkEnd w:id="56"/>
      <w:bookmarkEnd w:id="57"/>
      <w:bookmarkEnd w:id="58"/>
      <w:bookmarkEnd w:id="59"/>
      <w:bookmarkEnd w:id="60"/>
      <w:bookmarkEnd w:id="61"/>
      <w:bookmarkEnd w:id="62"/>
    </w:p>
    <w:p>
      <w:pPr>
        <w:spacing w:line="400" w:lineRule="exact"/>
        <w:rPr>
          <w:rFonts w:ascii="宋体" w:hAnsi="宋体" w:cs="宋体"/>
          <w:szCs w:val="21"/>
          <w:highlight w:val="none"/>
        </w:rPr>
      </w:pPr>
      <w:r>
        <w:rPr>
          <w:rFonts w:hint="eastAsia" w:ascii="宋体" w:hAnsi="宋体" w:cs="宋体"/>
          <w:szCs w:val="21"/>
          <w:highlight w:val="none"/>
        </w:rPr>
        <w:t>5、本次采购内容：见投标人须知前附表。</w:t>
      </w:r>
    </w:p>
    <w:p>
      <w:pPr>
        <w:spacing w:line="400" w:lineRule="exact"/>
        <w:rPr>
          <w:rFonts w:ascii="宋体" w:hAnsi="宋体" w:cs="宋体"/>
          <w:szCs w:val="21"/>
          <w:highlight w:val="none"/>
        </w:rPr>
      </w:pPr>
      <w:r>
        <w:rPr>
          <w:rFonts w:hint="eastAsia" w:ascii="宋体" w:hAnsi="宋体" w:cs="宋体"/>
          <w:szCs w:val="21"/>
          <w:highlight w:val="none"/>
        </w:rPr>
        <w:t>6、本采购项目的采购方式：见投标人须知前附表。</w:t>
      </w:r>
    </w:p>
    <w:p>
      <w:pPr>
        <w:spacing w:line="400" w:lineRule="exact"/>
        <w:rPr>
          <w:rFonts w:ascii="宋体" w:hAnsi="宋体" w:cs="宋体"/>
          <w:szCs w:val="21"/>
          <w:highlight w:val="none"/>
        </w:rPr>
      </w:pPr>
      <w:r>
        <w:rPr>
          <w:rFonts w:hint="eastAsia" w:ascii="宋体" w:hAnsi="宋体" w:cs="宋体"/>
          <w:szCs w:val="21"/>
          <w:highlight w:val="none"/>
        </w:rPr>
        <w:t>7、本次采购项目属性：见投标人须知前附表。</w:t>
      </w:r>
    </w:p>
    <w:p>
      <w:pPr>
        <w:spacing w:line="400" w:lineRule="exact"/>
        <w:rPr>
          <w:rFonts w:ascii="宋体" w:hAnsi="宋体" w:cs="宋体"/>
          <w:szCs w:val="21"/>
          <w:highlight w:val="none"/>
        </w:rPr>
      </w:pPr>
      <w:r>
        <w:rPr>
          <w:rFonts w:hint="eastAsia" w:ascii="宋体" w:hAnsi="宋体" w:cs="宋体"/>
          <w:szCs w:val="21"/>
          <w:highlight w:val="none"/>
        </w:rPr>
        <w:t>8、本次采购项目合同履行期限：见投标人须知前附表。</w:t>
      </w:r>
    </w:p>
    <w:p>
      <w:pPr>
        <w:spacing w:line="400" w:lineRule="exact"/>
        <w:rPr>
          <w:rFonts w:ascii="宋体" w:hAnsi="宋体" w:cs="宋体"/>
          <w:szCs w:val="21"/>
          <w:highlight w:val="none"/>
        </w:rPr>
      </w:pPr>
      <w:r>
        <w:rPr>
          <w:rFonts w:hint="eastAsia" w:ascii="宋体" w:hAnsi="宋体" w:cs="宋体"/>
          <w:szCs w:val="21"/>
          <w:highlight w:val="none"/>
        </w:rPr>
        <w:t>9、本次采购项目</w:t>
      </w:r>
      <w:r>
        <w:rPr>
          <w:rFonts w:hint="eastAsia" w:ascii="宋体" w:hAnsi="宋体" w:cs="宋体"/>
          <w:szCs w:val="21"/>
          <w:highlight w:val="none"/>
          <w:lang w:eastAsia="zh-CN"/>
        </w:rPr>
        <w:t>服务期限</w:t>
      </w:r>
      <w:r>
        <w:rPr>
          <w:rFonts w:hint="eastAsia" w:ascii="宋体" w:hAnsi="宋体" w:cs="宋体"/>
          <w:szCs w:val="21"/>
          <w:highlight w:val="none"/>
        </w:rPr>
        <w:t>：见投标人须知前附表。</w:t>
      </w:r>
    </w:p>
    <w:p>
      <w:pPr>
        <w:spacing w:line="400" w:lineRule="exact"/>
        <w:rPr>
          <w:rFonts w:ascii="宋体" w:hAnsi="宋体" w:cs="宋体"/>
          <w:szCs w:val="21"/>
          <w:highlight w:val="none"/>
        </w:rPr>
      </w:pPr>
      <w:r>
        <w:rPr>
          <w:rFonts w:hint="eastAsia" w:ascii="宋体" w:hAnsi="宋体" w:cs="宋体"/>
          <w:szCs w:val="21"/>
          <w:highlight w:val="none"/>
        </w:rPr>
        <w:t>10、本采购项目的</w:t>
      </w:r>
      <w:r>
        <w:rPr>
          <w:rFonts w:hint="eastAsia" w:ascii="宋体" w:hAnsi="宋体" w:cs="宋体"/>
          <w:szCs w:val="21"/>
          <w:highlight w:val="none"/>
          <w:lang w:eastAsia="zh-CN"/>
        </w:rPr>
        <w:t>服务地点</w:t>
      </w:r>
      <w:r>
        <w:rPr>
          <w:rFonts w:hint="eastAsia" w:ascii="宋体" w:hAnsi="宋体" w:cs="宋体"/>
          <w:szCs w:val="21"/>
          <w:highlight w:val="none"/>
        </w:rPr>
        <w:t>：见投标人须知前附表。</w:t>
      </w:r>
    </w:p>
    <w:p>
      <w:pPr>
        <w:spacing w:line="400" w:lineRule="exact"/>
        <w:rPr>
          <w:rFonts w:ascii="宋体" w:hAnsi="宋体" w:cs="宋体"/>
          <w:szCs w:val="21"/>
          <w:highlight w:val="none"/>
        </w:rPr>
      </w:pPr>
      <w:r>
        <w:rPr>
          <w:rFonts w:hint="eastAsia" w:ascii="宋体" w:hAnsi="宋体" w:cs="宋体"/>
          <w:szCs w:val="21"/>
          <w:highlight w:val="none"/>
        </w:rPr>
        <w:t>11、本采购项目的质量要求：见投标人须知前附表。</w:t>
      </w:r>
    </w:p>
    <w:p>
      <w:pPr>
        <w:spacing w:line="400" w:lineRule="exact"/>
        <w:rPr>
          <w:rFonts w:ascii="宋体" w:hAnsi="宋体" w:cs="宋体"/>
          <w:szCs w:val="21"/>
          <w:highlight w:val="none"/>
        </w:rPr>
      </w:pPr>
      <w:r>
        <w:rPr>
          <w:rFonts w:hint="eastAsia" w:ascii="宋体" w:hAnsi="宋体" w:cs="宋体"/>
          <w:szCs w:val="21"/>
          <w:highlight w:val="none"/>
        </w:rPr>
        <w:t>12、本采购项目的投标人资格：见投标人须知前附表。</w:t>
      </w:r>
    </w:p>
    <w:p>
      <w:pPr>
        <w:spacing w:line="400" w:lineRule="exact"/>
        <w:rPr>
          <w:rFonts w:ascii="宋体" w:hAnsi="宋体" w:cs="宋体"/>
          <w:szCs w:val="21"/>
          <w:highlight w:val="none"/>
        </w:rPr>
      </w:pPr>
      <w:r>
        <w:rPr>
          <w:rFonts w:hint="eastAsia" w:ascii="宋体" w:hAnsi="宋体" w:cs="宋体"/>
          <w:szCs w:val="21"/>
          <w:highlight w:val="none"/>
        </w:rPr>
        <w:t>13、本采购项目是否接受联合体投标：见投标人须知前附表。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13.1投标人须知前附表规定接受联合体投标的，除应符合本章第12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spacing w:line="400" w:lineRule="exact"/>
        <w:rPr>
          <w:rFonts w:ascii="宋体" w:hAnsi="宋体" w:cs="宋体"/>
          <w:szCs w:val="21"/>
          <w:highlight w:val="none"/>
        </w:rPr>
      </w:pPr>
      <w:r>
        <w:rPr>
          <w:rFonts w:hint="eastAsia" w:ascii="宋体" w:hAnsi="宋体" w:cs="宋体"/>
          <w:szCs w:val="21"/>
          <w:highlight w:val="none"/>
        </w:rPr>
        <w:t>14、本采购项目是否踏勘现场及答疑：见投标人须知前附表。</w:t>
      </w:r>
    </w:p>
    <w:p>
      <w:pPr>
        <w:spacing w:line="400" w:lineRule="exact"/>
        <w:rPr>
          <w:rFonts w:ascii="宋体" w:hAnsi="宋体" w:cs="宋体"/>
          <w:szCs w:val="21"/>
          <w:highlight w:val="none"/>
        </w:rPr>
      </w:pPr>
      <w:r>
        <w:rPr>
          <w:rFonts w:hint="eastAsia" w:ascii="宋体" w:hAnsi="宋体" w:cs="宋体"/>
          <w:szCs w:val="21"/>
          <w:highlight w:val="none"/>
        </w:rPr>
        <w:t>15、本采购项目是否招开投标预备会：见投标人须知前附表。</w:t>
      </w:r>
    </w:p>
    <w:p>
      <w:pPr>
        <w:spacing w:line="400" w:lineRule="exact"/>
        <w:rPr>
          <w:rFonts w:ascii="宋体" w:hAnsi="宋体" w:cs="宋体"/>
          <w:szCs w:val="21"/>
          <w:highlight w:val="none"/>
        </w:rPr>
      </w:pPr>
      <w:r>
        <w:rPr>
          <w:rFonts w:hint="eastAsia" w:ascii="宋体" w:hAnsi="宋体" w:cs="宋体"/>
          <w:szCs w:val="21"/>
          <w:highlight w:val="none"/>
        </w:rPr>
        <w:t>16、本采购项目是否允许技术偏离：见投标人须知前附表。</w:t>
      </w:r>
    </w:p>
    <w:p>
      <w:pPr>
        <w:spacing w:line="400" w:lineRule="exact"/>
        <w:rPr>
          <w:rFonts w:ascii="宋体" w:hAnsi="宋体" w:cs="宋体"/>
          <w:szCs w:val="21"/>
          <w:highlight w:val="none"/>
        </w:rPr>
      </w:pPr>
      <w:r>
        <w:rPr>
          <w:rFonts w:hint="eastAsia" w:ascii="宋体" w:hAnsi="宋体" w:cs="宋体"/>
          <w:szCs w:val="21"/>
          <w:highlight w:val="none"/>
        </w:rPr>
        <w:t>17、本采购项目构成招标文件的其他材料：见投标人须知前附表。</w:t>
      </w:r>
    </w:p>
    <w:p>
      <w:pPr>
        <w:spacing w:line="400" w:lineRule="exact"/>
        <w:rPr>
          <w:rFonts w:ascii="宋体" w:hAnsi="宋体" w:cs="宋体"/>
          <w:szCs w:val="21"/>
          <w:highlight w:val="none"/>
        </w:rPr>
      </w:pPr>
      <w:r>
        <w:rPr>
          <w:rFonts w:hint="eastAsia" w:ascii="宋体" w:hAnsi="宋体" w:cs="宋体"/>
          <w:szCs w:val="21"/>
          <w:highlight w:val="none"/>
        </w:rPr>
        <w:t>18、投标人要求澄清招标文件的截止时间：见投标人须知前附表。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18.1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18.2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18.3因交易中心平台在开标前具有保密性，投标人在投标截止时间前须自行查看项目进展、变更通知、澄清、修改公告及回复，因投标人未及时查看而造成的后果自负。19、投标截止时间：见投标人须知前附表。</w:t>
      </w:r>
    </w:p>
    <w:p>
      <w:pPr>
        <w:spacing w:line="400" w:lineRule="exact"/>
        <w:rPr>
          <w:rFonts w:ascii="宋体" w:hAnsi="宋体" w:cs="宋体"/>
          <w:szCs w:val="21"/>
          <w:highlight w:val="none"/>
        </w:rPr>
      </w:pPr>
      <w:r>
        <w:rPr>
          <w:rFonts w:hint="eastAsia" w:ascii="宋体" w:hAnsi="宋体" w:cs="宋体"/>
          <w:szCs w:val="21"/>
          <w:highlight w:val="none"/>
        </w:rPr>
        <w:t>20、投标文件电子版：见投标人须知前附表。</w:t>
      </w:r>
    </w:p>
    <w:p>
      <w:pPr>
        <w:spacing w:line="400" w:lineRule="exact"/>
        <w:rPr>
          <w:rFonts w:ascii="宋体" w:hAnsi="宋体" w:cs="宋体"/>
          <w:szCs w:val="21"/>
          <w:highlight w:val="none"/>
        </w:rPr>
      </w:pPr>
      <w:r>
        <w:rPr>
          <w:rFonts w:hint="eastAsia" w:ascii="宋体" w:hAnsi="宋体" w:cs="宋体"/>
          <w:szCs w:val="21"/>
          <w:highlight w:val="none"/>
        </w:rPr>
        <w:t>21、投标有效期：见投标人须知前附表。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21.1在投标人须知前附表规定的投标有效期内，投标人不得要求撤销或修改其投标文件。</w:t>
      </w:r>
    </w:p>
    <w:p>
      <w:pPr>
        <w:spacing w:line="400" w:lineRule="exact"/>
        <w:ind w:firstLine="420" w:firstLineChars="200"/>
        <w:rPr>
          <w:highlight w:val="none"/>
        </w:rPr>
      </w:pPr>
      <w:r>
        <w:rPr>
          <w:rFonts w:hint="eastAsia" w:ascii="宋体" w:hAnsi="宋体" w:cs="宋体"/>
          <w:szCs w:val="21"/>
          <w:highlight w:val="none"/>
        </w:rPr>
        <w:t>21.2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spacing w:line="400" w:lineRule="exact"/>
        <w:rPr>
          <w:rFonts w:ascii="宋体" w:hAnsi="宋体" w:cs="宋体"/>
          <w:szCs w:val="21"/>
          <w:highlight w:val="none"/>
        </w:rPr>
      </w:pPr>
      <w:r>
        <w:rPr>
          <w:rFonts w:hint="eastAsia" w:ascii="宋体" w:hAnsi="宋体" w:cs="宋体"/>
          <w:szCs w:val="21"/>
          <w:highlight w:val="none"/>
        </w:rPr>
        <w:t>22、本采购项目的投标保证金、履约保证金、质量保证金、招标文件费用：见投标人须知前附表。</w:t>
      </w:r>
    </w:p>
    <w:p>
      <w:pPr>
        <w:spacing w:line="400" w:lineRule="exact"/>
        <w:rPr>
          <w:rFonts w:ascii="宋体" w:hAnsi="宋体" w:cs="宋体"/>
          <w:szCs w:val="21"/>
          <w:highlight w:val="none"/>
        </w:rPr>
      </w:pPr>
      <w:r>
        <w:rPr>
          <w:rFonts w:hint="eastAsia" w:ascii="宋体" w:hAnsi="宋体" w:cs="宋体"/>
          <w:szCs w:val="21"/>
          <w:highlight w:val="none"/>
        </w:rPr>
        <w:t>23、签字或盖章要求：见投标人须知前附表。</w:t>
      </w:r>
    </w:p>
    <w:p>
      <w:pPr>
        <w:spacing w:line="400" w:lineRule="exact"/>
        <w:rPr>
          <w:rFonts w:ascii="宋体" w:hAnsi="宋体" w:cs="宋体"/>
          <w:szCs w:val="21"/>
          <w:highlight w:val="none"/>
        </w:rPr>
      </w:pPr>
      <w:r>
        <w:rPr>
          <w:rFonts w:hint="eastAsia" w:ascii="宋体" w:hAnsi="宋体" w:cs="宋体"/>
          <w:szCs w:val="21"/>
          <w:highlight w:val="none"/>
        </w:rPr>
        <w:t>24、递交投标文件地点：见投标人须知前附表。</w:t>
      </w:r>
    </w:p>
    <w:p>
      <w:pPr>
        <w:spacing w:line="400" w:lineRule="exact"/>
        <w:rPr>
          <w:rFonts w:ascii="宋体" w:hAnsi="宋体" w:cs="宋体"/>
          <w:szCs w:val="21"/>
          <w:highlight w:val="none"/>
        </w:rPr>
      </w:pPr>
      <w:r>
        <w:rPr>
          <w:rFonts w:hint="eastAsia" w:ascii="宋体" w:hAnsi="宋体" w:cs="宋体"/>
          <w:szCs w:val="21"/>
          <w:highlight w:val="none"/>
        </w:rPr>
        <w:t>25、开标时间和地点：见投标人须知前附表。</w:t>
      </w:r>
    </w:p>
    <w:p>
      <w:pPr>
        <w:spacing w:line="400" w:lineRule="exact"/>
        <w:rPr>
          <w:rFonts w:ascii="宋体" w:hAnsi="宋体" w:cs="宋体"/>
          <w:szCs w:val="21"/>
          <w:highlight w:val="none"/>
        </w:rPr>
      </w:pPr>
      <w:r>
        <w:rPr>
          <w:rFonts w:hint="eastAsia" w:ascii="宋体" w:hAnsi="宋体" w:cs="宋体"/>
          <w:szCs w:val="21"/>
          <w:highlight w:val="none"/>
        </w:rPr>
        <w:t>26、开标程序：见投标人须知前附表。</w:t>
      </w:r>
    </w:p>
    <w:p>
      <w:pPr>
        <w:spacing w:line="400" w:lineRule="exact"/>
        <w:rPr>
          <w:rFonts w:ascii="宋体" w:hAnsi="宋体" w:cs="宋体"/>
          <w:szCs w:val="21"/>
          <w:highlight w:val="none"/>
        </w:rPr>
      </w:pPr>
      <w:r>
        <w:rPr>
          <w:rFonts w:hint="eastAsia" w:ascii="宋体" w:hAnsi="宋体" w:cs="宋体"/>
          <w:szCs w:val="21"/>
          <w:highlight w:val="none"/>
        </w:rPr>
        <w:t>27、评标委员会的组建：见投标人须知前附表。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27.1评审专家与参加采购活动的供应商存在下列利害关系之一的,应当回避:</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(一)参加采购活动前三年内,与供应商存在劳动关系,或者担任过供应商的董事、监事,或者是供应商的控股股东或实际控制人;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(二)与供应商的法定代表人或者负责人有夫妻、直系血亲、三代以内旁系血亲或者近姻亲关系;</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(三)与供应商有其他可能影响政府采购活动公平、公正进行的关系。</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27.2评审专家发现本人与参加采购活动的供应商有利害关系的,应当主动提出回避。采购人或者采购代理机构发现评审专家与参加采购活动的供应商有利害关系的,应当要求其回避。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27.3除《政府采购评审专家管理办法》第十三条规定的情形外,评审专家对本单位的政府采购项目只能作为采购人代表参与评审活动。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27.4各级财政部门政府采购监督管理工作人员,不得作为评审专家参与政府采购项目的评审活动。</w:t>
      </w:r>
    </w:p>
    <w:p>
      <w:pPr>
        <w:spacing w:line="400" w:lineRule="exact"/>
        <w:ind w:firstLine="420" w:firstLineChars="200"/>
        <w:rPr>
          <w:highlight w:val="none"/>
        </w:rPr>
      </w:pPr>
      <w:r>
        <w:rPr>
          <w:rFonts w:hint="eastAsia" w:ascii="宋体" w:hAnsi="宋体" w:cs="宋体"/>
          <w:szCs w:val="21"/>
          <w:highlight w:val="none"/>
        </w:rPr>
        <w:t>27.5评标原则：评标活动遵循公平、公正、科学和择优的原则。</w:t>
      </w:r>
    </w:p>
    <w:p>
      <w:pPr>
        <w:spacing w:line="400" w:lineRule="exact"/>
        <w:rPr>
          <w:rFonts w:ascii="宋体" w:hAnsi="宋体" w:cs="宋体"/>
          <w:szCs w:val="21"/>
          <w:highlight w:val="none"/>
        </w:rPr>
      </w:pPr>
      <w:r>
        <w:rPr>
          <w:rFonts w:hint="eastAsia" w:ascii="宋体" w:hAnsi="宋体" w:cs="宋体"/>
          <w:szCs w:val="21"/>
          <w:highlight w:val="none"/>
        </w:rPr>
        <w:t>28、是否授权评标委会确定中标人：见投标人须知前附表。</w:t>
      </w:r>
    </w:p>
    <w:p>
      <w:pPr>
        <w:spacing w:line="400" w:lineRule="exact"/>
        <w:rPr>
          <w:rFonts w:ascii="宋体" w:hAnsi="宋体" w:cs="宋体"/>
          <w:szCs w:val="21"/>
          <w:highlight w:val="none"/>
        </w:rPr>
      </w:pPr>
      <w:r>
        <w:rPr>
          <w:rFonts w:hint="eastAsia" w:ascii="宋体" w:hAnsi="宋体" w:cs="宋体"/>
          <w:szCs w:val="21"/>
          <w:highlight w:val="none"/>
        </w:rPr>
        <w:t>29、接收质疑函的方式和联系方式：见投标人须知前附表。</w:t>
      </w:r>
    </w:p>
    <w:p>
      <w:pPr>
        <w:spacing w:line="400" w:lineRule="exact"/>
        <w:rPr>
          <w:rFonts w:ascii="宋体" w:hAnsi="宋体" w:cs="宋体"/>
          <w:szCs w:val="21"/>
          <w:highlight w:val="none"/>
        </w:rPr>
      </w:pPr>
      <w:r>
        <w:rPr>
          <w:rFonts w:hint="eastAsia" w:ascii="宋体" w:hAnsi="宋体" w:cs="宋体"/>
          <w:szCs w:val="21"/>
          <w:highlight w:val="none"/>
        </w:rPr>
        <w:t>30、最高投标限价：见投标人须知前附表。</w:t>
      </w:r>
    </w:p>
    <w:p>
      <w:pPr>
        <w:spacing w:line="400" w:lineRule="exact"/>
        <w:rPr>
          <w:rFonts w:ascii="宋体" w:hAnsi="宋体" w:cs="宋体"/>
          <w:szCs w:val="21"/>
          <w:highlight w:val="none"/>
        </w:rPr>
      </w:pPr>
      <w:r>
        <w:rPr>
          <w:rFonts w:hint="eastAsia" w:ascii="宋体" w:hAnsi="宋体" w:cs="宋体"/>
          <w:szCs w:val="21"/>
          <w:highlight w:val="none"/>
        </w:rPr>
        <w:t>31、招标代理服务费：见投标人须知前附表。</w:t>
      </w:r>
    </w:p>
    <w:p>
      <w:pPr>
        <w:spacing w:line="400" w:lineRule="exact"/>
        <w:rPr>
          <w:rFonts w:ascii="宋体" w:hAnsi="宋体" w:cs="宋体"/>
          <w:szCs w:val="21"/>
          <w:highlight w:val="none"/>
        </w:rPr>
      </w:pPr>
      <w:r>
        <w:rPr>
          <w:rFonts w:hint="eastAsia" w:ascii="宋体" w:hAnsi="宋体" w:cs="宋体"/>
          <w:szCs w:val="21"/>
          <w:highlight w:val="none"/>
        </w:rPr>
        <w:t>32、付款方式：见投标人须知前附表。</w:t>
      </w:r>
    </w:p>
    <w:p>
      <w:pPr>
        <w:spacing w:line="400" w:lineRule="exact"/>
        <w:rPr>
          <w:rFonts w:ascii="宋体" w:hAnsi="宋体" w:cs="宋体"/>
          <w:szCs w:val="21"/>
          <w:highlight w:val="none"/>
        </w:rPr>
      </w:pPr>
      <w:r>
        <w:rPr>
          <w:rFonts w:hint="eastAsia" w:ascii="宋体" w:hAnsi="宋体" w:cs="宋体"/>
          <w:szCs w:val="21"/>
          <w:highlight w:val="none"/>
        </w:rPr>
        <w:t>33、政采领域优化营商环境相关政策：见投标人须知前附表。</w:t>
      </w:r>
    </w:p>
    <w:p>
      <w:pPr>
        <w:spacing w:line="400" w:lineRule="exact"/>
        <w:rPr>
          <w:rFonts w:ascii="宋体" w:hAnsi="宋体" w:cs="宋体"/>
          <w:szCs w:val="21"/>
          <w:highlight w:val="none"/>
        </w:rPr>
      </w:pPr>
      <w:r>
        <w:rPr>
          <w:rFonts w:hint="eastAsia" w:ascii="宋体" w:hAnsi="宋体" w:cs="宋体"/>
          <w:szCs w:val="21"/>
          <w:highlight w:val="none"/>
        </w:rPr>
        <w:t>34、落实绿色产品（节能产品、环境标志产品）优先采购政策：见投标人须知前附表。</w:t>
      </w:r>
    </w:p>
    <w:p>
      <w:pPr>
        <w:spacing w:line="400" w:lineRule="exact"/>
        <w:rPr>
          <w:rFonts w:ascii="宋体" w:hAnsi="宋体" w:cs="宋体"/>
          <w:szCs w:val="21"/>
          <w:highlight w:val="none"/>
        </w:rPr>
      </w:pPr>
      <w:r>
        <w:rPr>
          <w:rFonts w:hint="eastAsia" w:ascii="宋体" w:hAnsi="宋体" w:cs="宋体"/>
          <w:szCs w:val="21"/>
          <w:highlight w:val="none"/>
        </w:rPr>
        <w:t>35、本项目所属行业：见投标人须知前附表。</w:t>
      </w:r>
    </w:p>
    <w:p>
      <w:pPr>
        <w:pStyle w:val="4"/>
        <w:rPr>
          <w:rFonts w:ascii="宋体" w:hAnsi="宋体" w:cs="宋体"/>
          <w:sz w:val="21"/>
          <w:szCs w:val="21"/>
          <w:highlight w:val="none"/>
        </w:rPr>
      </w:pPr>
      <w:bookmarkStart w:id="63" w:name="_Toc420960596"/>
      <w:bookmarkStart w:id="64" w:name="_Toc420960507"/>
      <w:bookmarkStart w:id="65" w:name="_Toc420960217"/>
      <w:bookmarkStart w:id="66" w:name="_Toc420960304"/>
      <w:bookmarkStart w:id="67" w:name="_Toc15489"/>
      <w:bookmarkStart w:id="68" w:name="_Toc247639843"/>
      <w:bookmarkStart w:id="69" w:name="_Toc512597509"/>
      <w:r>
        <w:rPr>
          <w:rFonts w:hint="eastAsia" w:ascii="宋体" w:hAnsi="宋体" w:cs="宋体"/>
          <w:sz w:val="21"/>
          <w:szCs w:val="21"/>
          <w:highlight w:val="none"/>
        </w:rPr>
        <w:t>36、其它</w:t>
      </w:r>
    </w:p>
    <w:bookmarkEnd w:id="63"/>
    <w:bookmarkEnd w:id="64"/>
    <w:bookmarkEnd w:id="65"/>
    <w:bookmarkEnd w:id="66"/>
    <w:bookmarkEnd w:id="67"/>
    <w:bookmarkEnd w:id="68"/>
    <w:bookmarkEnd w:id="69"/>
    <w:p>
      <w:pPr>
        <w:pStyle w:val="4"/>
        <w:rPr>
          <w:rFonts w:ascii="宋体" w:hAnsi="宋体" w:cs="宋体"/>
          <w:sz w:val="21"/>
          <w:szCs w:val="21"/>
          <w:highlight w:val="none"/>
        </w:rPr>
      </w:pPr>
      <w:bookmarkStart w:id="70" w:name="_Toc144974503"/>
      <w:bookmarkStart w:id="71" w:name="_Toc512597510"/>
      <w:bookmarkStart w:id="72" w:name="_Toc152045535"/>
      <w:bookmarkStart w:id="73" w:name="_Toc246996923"/>
      <w:bookmarkStart w:id="74" w:name="_Toc410287381"/>
      <w:bookmarkStart w:id="75" w:name="_Toc30846"/>
      <w:bookmarkStart w:id="76" w:name="_Toc152042311"/>
      <w:bookmarkStart w:id="77" w:name="_Toc296602425"/>
      <w:bookmarkStart w:id="78" w:name="_Toc247085694"/>
      <w:bookmarkStart w:id="79" w:name="_Toc179632552"/>
      <w:bookmarkStart w:id="80" w:name="_Toc246996180"/>
      <w:r>
        <w:rPr>
          <w:rFonts w:hint="eastAsia" w:ascii="宋体" w:hAnsi="宋体" w:cs="宋体"/>
          <w:sz w:val="21"/>
          <w:szCs w:val="21"/>
          <w:highlight w:val="none"/>
        </w:rPr>
        <w:t>36.1费用承担</w:t>
      </w:r>
      <w:bookmarkEnd w:id="70"/>
      <w:bookmarkEnd w:id="71"/>
      <w:bookmarkEnd w:id="72"/>
      <w:bookmarkEnd w:id="73"/>
      <w:bookmarkEnd w:id="74"/>
      <w:bookmarkEnd w:id="75"/>
      <w:bookmarkEnd w:id="76"/>
      <w:bookmarkEnd w:id="77"/>
      <w:bookmarkEnd w:id="78"/>
      <w:bookmarkEnd w:id="79"/>
      <w:bookmarkEnd w:id="80"/>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投标人准备和参加投标活动发生的费用自理。</w:t>
      </w:r>
    </w:p>
    <w:p>
      <w:pPr>
        <w:pStyle w:val="4"/>
        <w:rPr>
          <w:rFonts w:ascii="宋体" w:hAnsi="宋体" w:cs="宋体"/>
          <w:sz w:val="21"/>
          <w:szCs w:val="21"/>
          <w:highlight w:val="none"/>
        </w:rPr>
      </w:pPr>
      <w:bookmarkStart w:id="81" w:name="_Toc247085695"/>
      <w:bookmarkStart w:id="82" w:name="_Toc152042312"/>
      <w:bookmarkStart w:id="83" w:name="_Toc246996181"/>
      <w:bookmarkStart w:id="84" w:name="_Toc246996924"/>
      <w:bookmarkStart w:id="85" w:name="_Toc512597511"/>
      <w:bookmarkStart w:id="86" w:name="_Toc152045536"/>
      <w:bookmarkStart w:id="87" w:name="_Toc11754"/>
      <w:bookmarkStart w:id="88" w:name="_Toc144974504"/>
      <w:bookmarkStart w:id="89" w:name="_Toc179632553"/>
      <w:bookmarkStart w:id="90" w:name="_Toc410287382"/>
      <w:bookmarkStart w:id="91" w:name="_Toc296602426"/>
      <w:r>
        <w:rPr>
          <w:rFonts w:hint="eastAsia" w:ascii="宋体" w:hAnsi="宋体" w:cs="宋体"/>
          <w:sz w:val="21"/>
          <w:szCs w:val="21"/>
          <w:highlight w:val="none"/>
        </w:rPr>
        <w:t>36.2保密</w:t>
      </w:r>
      <w:bookmarkEnd w:id="81"/>
      <w:bookmarkEnd w:id="82"/>
      <w:bookmarkEnd w:id="83"/>
      <w:bookmarkEnd w:id="84"/>
      <w:bookmarkEnd w:id="85"/>
      <w:bookmarkEnd w:id="86"/>
      <w:bookmarkEnd w:id="87"/>
      <w:bookmarkEnd w:id="88"/>
      <w:bookmarkEnd w:id="89"/>
      <w:bookmarkEnd w:id="90"/>
      <w:bookmarkEnd w:id="91"/>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pPr>
        <w:pStyle w:val="4"/>
        <w:rPr>
          <w:rFonts w:ascii="宋体" w:hAnsi="宋体" w:cs="宋体"/>
          <w:sz w:val="21"/>
          <w:szCs w:val="21"/>
          <w:highlight w:val="none"/>
        </w:rPr>
      </w:pPr>
      <w:bookmarkStart w:id="92" w:name="_Toc144974505"/>
      <w:bookmarkStart w:id="93" w:name="_Toc247085696"/>
      <w:bookmarkStart w:id="94" w:name="_Toc296602427"/>
      <w:bookmarkStart w:id="95" w:name="_Toc152042313"/>
      <w:bookmarkStart w:id="96" w:name="_Toc512597512"/>
      <w:bookmarkStart w:id="97" w:name="_Toc12852"/>
      <w:bookmarkStart w:id="98" w:name="_Toc152045537"/>
      <w:bookmarkStart w:id="99" w:name="_Toc179632554"/>
      <w:bookmarkStart w:id="100" w:name="_Toc246996925"/>
      <w:bookmarkStart w:id="101" w:name="_Toc410287383"/>
      <w:bookmarkStart w:id="102" w:name="_Toc246996182"/>
      <w:r>
        <w:rPr>
          <w:rFonts w:hint="eastAsia" w:ascii="宋体" w:hAnsi="宋体" w:cs="宋体"/>
          <w:sz w:val="21"/>
          <w:szCs w:val="21"/>
          <w:highlight w:val="none"/>
        </w:rPr>
        <w:t>36.7 语言</w:t>
      </w:r>
      <w:bookmarkEnd w:id="92"/>
      <w:r>
        <w:rPr>
          <w:rFonts w:hint="eastAsia" w:ascii="宋体" w:hAnsi="宋体" w:cs="宋体"/>
          <w:sz w:val="21"/>
          <w:szCs w:val="21"/>
          <w:highlight w:val="none"/>
        </w:rPr>
        <w:t>文字</w:t>
      </w:r>
      <w:bookmarkEnd w:id="93"/>
      <w:bookmarkEnd w:id="94"/>
      <w:bookmarkEnd w:id="95"/>
      <w:bookmarkEnd w:id="96"/>
      <w:bookmarkEnd w:id="97"/>
      <w:bookmarkEnd w:id="98"/>
      <w:bookmarkEnd w:id="99"/>
      <w:bookmarkEnd w:id="100"/>
      <w:bookmarkEnd w:id="101"/>
      <w:bookmarkEnd w:id="102"/>
    </w:p>
    <w:p>
      <w:pPr>
        <w:spacing w:line="400" w:lineRule="exact"/>
        <w:ind w:firstLine="420" w:firstLineChars="200"/>
        <w:rPr>
          <w:rFonts w:ascii="宋体" w:hAnsi="宋体" w:cs="宋体"/>
          <w:szCs w:val="21"/>
          <w:highlight w:val="none"/>
        </w:rPr>
      </w:pPr>
      <w:bookmarkStart w:id="103" w:name="_Toc246996183"/>
      <w:bookmarkStart w:id="104" w:name="_Toc144974506"/>
      <w:bookmarkStart w:id="105" w:name="_Toc152045538"/>
      <w:bookmarkStart w:id="106" w:name="_Toc247085697"/>
      <w:bookmarkStart w:id="107" w:name="_Toc179632555"/>
      <w:bookmarkStart w:id="108" w:name="_Toc246996926"/>
      <w:bookmarkStart w:id="109" w:name="_Toc152042314"/>
      <w:r>
        <w:rPr>
          <w:rFonts w:hint="eastAsia" w:ascii="宋体" w:hAnsi="宋体" w:cs="宋体"/>
          <w:szCs w:val="21"/>
          <w:highlight w:val="none"/>
        </w:rPr>
        <w:t>招标投标文件使用的语言文字为中文。专业技术术语允许使用外文，但应附有中文翻译。</w:t>
      </w:r>
    </w:p>
    <w:p>
      <w:pPr>
        <w:pStyle w:val="4"/>
        <w:rPr>
          <w:rFonts w:ascii="宋体" w:hAnsi="宋体" w:cs="宋体"/>
          <w:sz w:val="21"/>
          <w:szCs w:val="21"/>
          <w:highlight w:val="none"/>
        </w:rPr>
      </w:pPr>
      <w:bookmarkStart w:id="110" w:name="_Toc410287384"/>
      <w:bookmarkStart w:id="111" w:name="_Toc512597513"/>
      <w:bookmarkStart w:id="112" w:name="_Toc296602428"/>
      <w:bookmarkStart w:id="113" w:name="_Toc21912"/>
      <w:r>
        <w:rPr>
          <w:rFonts w:hint="eastAsia" w:ascii="宋体" w:hAnsi="宋体" w:cs="宋体"/>
          <w:sz w:val="21"/>
          <w:szCs w:val="21"/>
          <w:highlight w:val="none"/>
        </w:rPr>
        <w:t>36.8计量单位</w:t>
      </w:r>
      <w:bookmarkEnd w:id="103"/>
      <w:bookmarkEnd w:id="104"/>
      <w:bookmarkEnd w:id="105"/>
      <w:bookmarkEnd w:id="106"/>
      <w:bookmarkEnd w:id="107"/>
      <w:bookmarkEnd w:id="108"/>
      <w:bookmarkEnd w:id="109"/>
      <w:bookmarkEnd w:id="110"/>
      <w:bookmarkEnd w:id="111"/>
      <w:bookmarkEnd w:id="112"/>
      <w:bookmarkEnd w:id="113"/>
    </w:p>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所有计量均采用中华人民共和国法定计量单位。</w:t>
      </w:r>
    </w:p>
    <w:p>
      <w:pPr>
        <w:pStyle w:val="4"/>
        <w:rPr>
          <w:rFonts w:ascii="宋体" w:hAnsi="宋体" w:cs="宋体"/>
          <w:sz w:val="21"/>
          <w:szCs w:val="21"/>
          <w:highlight w:val="none"/>
        </w:rPr>
      </w:pPr>
      <w:bookmarkStart w:id="114" w:name="_Toc512597524"/>
      <w:bookmarkStart w:id="115" w:name="_Toc152042324"/>
      <w:bookmarkStart w:id="116" w:name="_Toc144974516"/>
      <w:bookmarkStart w:id="117" w:name="_Toc246996936"/>
      <w:bookmarkStart w:id="118" w:name="_Toc179632566"/>
      <w:bookmarkStart w:id="119" w:name="_Toc152045548"/>
      <w:bookmarkStart w:id="120" w:name="_Toc246996193"/>
      <w:bookmarkStart w:id="121" w:name="_Toc8071"/>
      <w:bookmarkStart w:id="122" w:name="_Toc296602438"/>
      <w:bookmarkStart w:id="123" w:name="_Toc247085707"/>
      <w:r>
        <w:rPr>
          <w:rFonts w:hint="eastAsia" w:ascii="宋体" w:hAnsi="宋体" w:cs="宋体"/>
          <w:sz w:val="21"/>
          <w:szCs w:val="21"/>
          <w:highlight w:val="none"/>
        </w:rPr>
        <w:t>36.9投标报价</w:t>
      </w:r>
      <w:bookmarkEnd w:id="114"/>
      <w:bookmarkEnd w:id="115"/>
      <w:bookmarkEnd w:id="116"/>
      <w:bookmarkEnd w:id="117"/>
      <w:bookmarkEnd w:id="118"/>
      <w:bookmarkEnd w:id="119"/>
      <w:bookmarkEnd w:id="120"/>
      <w:bookmarkEnd w:id="121"/>
      <w:bookmarkEnd w:id="122"/>
      <w:bookmarkEnd w:id="123"/>
    </w:p>
    <w:p>
      <w:pPr>
        <w:spacing w:line="400" w:lineRule="exact"/>
        <w:ind w:firstLine="420" w:firstLineChars="200"/>
        <w:rPr>
          <w:rFonts w:ascii="宋体" w:hAnsi="宋体" w:cs="宋体"/>
          <w:szCs w:val="21"/>
          <w:highlight w:val="none"/>
        </w:rPr>
      </w:pPr>
      <w:bookmarkStart w:id="124" w:name="_Toc152042325"/>
      <w:bookmarkStart w:id="125" w:name="_Toc179632567"/>
      <w:bookmarkStart w:id="126" w:name="_Toc144974517"/>
      <w:bookmarkStart w:id="127" w:name="_Toc152045549"/>
      <w:r>
        <w:rPr>
          <w:rFonts w:hint="eastAsia" w:ascii="宋体" w:hAnsi="宋体" w:cs="宋体"/>
          <w:szCs w:val="21"/>
          <w:highlight w:val="none"/>
        </w:rPr>
        <w:t>36.9.1投标报价为固定总报价，包含货物费用、运输、安装、调式、验收、质保期内售后服务人工费及备品备件、</w:t>
      </w:r>
      <w:r>
        <w:rPr>
          <w:rFonts w:hint="eastAsia" w:ascii="宋体" w:hAnsi="宋体" w:cs="宋体"/>
          <w:highlight w:val="none"/>
        </w:rPr>
        <w:t>办理大型设备配置许可证（如需要）</w:t>
      </w:r>
      <w:r>
        <w:rPr>
          <w:rFonts w:hint="eastAsia" w:ascii="宋体" w:hAnsi="宋体" w:cs="宋体"/>
          <w:szCs w:val="21"/>
          <w:highlight w:val="none"/>
        </w:rPr>
        <w:t>等与之相关的一切费用。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36.9.2投标文件报价出现前后不一致的，除招标文件另有规定外，按照下列规定修正：</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（一）投标文件中开标一览表（报价表）内容与投标文件中相应内容不一致的，以开标一览表（报价表）为准；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（二）大写金额和小写金额不一致的，以大写金额为准；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（三）单价金额小数点或者百分比有明显错位的，以开标一览表的总价为准，并修改单价；</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（四）总价金额与按单价汇总金额不一致的，以单价金额计算结果为准。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同时出现两种以上不一致的，按照前款规定的顺序修正。修正后的报价按照本须知36.12.3款的规定经投标人确认后产生约束力，投标人不确认的，其投标无效。</w:t>
      </w:r>
    </w:p>
    <w:bookmarkEnd w:id="124"/>
    <w:bookmarkEnd w:id="125"/>
    <w:bookmarkEnd w:id="126"/>
    <w:bookmarkEnd w:id="127"/>
    <w:p>
      <w:pPr>
        <w:pStyle w:val="4"/>
        <w:spacing w:line="440" w:lineRule="exact"/>
        <w:rPr>
          <w:rFonts w:ascii="宋体" w:hAnsi="宋体" w:cs="宋体"/>
          <w:sz w:val="21"/>
          <w:szCs w:val="21"/>
          <w:highlight w:val="none"/>
        </w:rPr>
      </w:pPr>
      <w:bookmarkStart w:id="128" w:name="_Toc512597529"/>
      <w:bookmarkStart w:id="129" w:name="_Toc296602442"/>
      <w:bookmarkStart w:id="130" w:name="_Toc28498"/>
      <w:bookmarkStart w:id="131" w:name="_Toc246996197"/>
      <w:bookmarkStart w:id="132" w:name="_Toc144974521"/>
      <w:bookmarkStart w:id="133" w:name="_Toc247085711"/>
      <w:bookmarkStart w:id="134" w:name="_Toc152045553"/>
      <w:bookmarkStart w:id="135" w:name="_Toc246996940"/>
      <w:bookmarkStart w:id="136" w:name="_Toc179632571"/>
      <w:bookmarkStart w:id="137" w:name="_Toc152042329"/>
      <w:r>
        <w:rPr>
          <w:rFonts w:hint="eastAsia" w:ascii="宋体" w:hAnsi="宋体" w:cs="宋体"/>
          <w:sz w:val="21"/>
          <w:szCs w:val="21"/>
          <w:highlight w:val="none"/>
        </w:rPr>
        <w:t>36.10投标文件的编制</w:t>
      </w:r>
      <w:bookmarkEnd w:id="128"/>
      <w:bookmarkEnd w:id="129"/>
      <w:bookmarkEnd w:id="130"/>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36.10.1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36.10.2投标文件应当对招标文件有关</w:t>
      </w:r>
      <w:r>
        <w:rPr>
          <w:rFonts w:hint="eastAsia" w:ascii="宋体" w:hAnsi="宋体" w:cs="宋体"/>
          <w:szCs w:val="21"/>
          <w:highlight w:val="none"/>
          <w:lang w:eastAsia="zh-CN"/>
        </w:rPr>
        <w:t>服务期限</w:t>
      </w:r>
      <w:r>
        <w:rPr>
          <w:rFonts w:hint="eastAsia" w:ascii="宋体" w:hAnsi="宋体" w:cs="宋体"/>
          <w:szCs w:val="21"/>
          <w:highlight w:val="none"/>
        </w:rPr>
        <w:t>、投标有效期、质量要求、采购需求、采购范围等实质性内容作出响应。</w:t>
      </w:r>
    </w:p>
    <w:bookmarkEnd w:id="131"/>
    <w:bookmarkEnd w:id="132"/>
    <w:bookmarkEnd w:id="133"/>
    <w:bookmarkEnd w:id="134"/>
    <w:bookmarkEnd w:id="135"/>
    <w:bookmarkEnd w:id="136"/>
    <w:bookmarkEnd w:id="137"/>
    <w:p>
      <w:pPr>
        <w:pStyle w:val="4"/>
        <w:spacing w:line="400" w:lineRule="exact"/>
        <w:rPr>
          <w:rFonts w:ascii="宋体" w:hAnsi="宋体" w:cs="宋体"/>
          <w:sz w:val="21"/>
          <w:szCs w:val="21"/>
          <w:highlight w:val="none"/>
        </w:rPr>
      </w:pPr>
      <w:bookmarkStart w:id="138" w:name="_Toc152045557"/>
      <w:bookmarkStart w:id="139" w:name="_Toc246996201"/>
      <w:bookmarkStart w:id="140" w:name="_Toc296602445"/>
      <w:bookmarkStart w:id="141" w:name="_Toc144974525"/>
      <w:bookmarkStart w:id="142" w:name="_Toc179632575"/>
      <w:bookmarkStart w:id="143" w:name="_Toc512597532"/>
      <w:bookmarkStart w:id="144" w:name="_Toc246996944"/>
      <w:bookmarkStart w:id="145" w:name="_Toc152042333"/>
      <w:bookmarkStart w:id="146" w:name="_Toc25042"/>
      <w:bookmarkStart w:id="147" w:name="_Toc247085715"/>
      <w:r>
        <w:rPr>
          <w:rFonts w:hint="eastAsia" w:ascii="宋体" w:hAnsi="宋体" w:cs="宋体"/>
          <w:sz w:val="21"/>
          <w:szCs w:val="21"/>
          <w:highlight w:val="none"/>
        </w:rPr>
        <w:t>36.11投标文件的递交</w:t>
      </w:r>
      <w:bookmarkEnd w:id="138"/>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firstLine="539" w:firstLineChars="257"/>
        <w:jc w:val="left"/>
        <w:rPr>
          <w:rFonts w:ascii="宋体" w:hAnsi="宋体" w:cs="宋体"/>
          <w:kern w:val="0"/>
          <w:szCs w:val="21"/>
          <w:highlight w:val="none"/>
        </w:rPr>
      </w:pPr>
      <w:bookmarkStart w:id="148" w:name="_Toc246996945"/>
      <w:bookmarkStart w:id="149" w:name="_Toc246996202"/>
      <w:bookmarkStart w:id="150" w:name="_Toc512597533"/>
      <w:bookmarkStart w:id="151" w:name="_Toc152045558"/>
      <w:bookmarkStart w:id="152" w:name="_Toc179632576"/>
      <w:bookmarkStart w:id="153" w:name="_Toc296602446"/>
      <w:bookmarkStart w:id="154" w:name="_Toc152042334"/>
      <w:bookmarkStart w:id="155" w:name="_Toc144974526"/>
      <w:bookmarkStart w:id="156" w:name="_Toc247085716"/>
      <w:r>
        <w:rPr>
          <w:rFonts w:hint="eastAsia" w:ascii="宋体" w:hAnsi="宋体" w:cs="宋体"/>
          <w:kern w:val="0"/>
          <w:szCs w:val="21"/>
          <w:highlight w:val="none"/>
        </w:rPr>
        <w:t>36.11.1 网上投标上传的电子投标文件应使用CA数字证书认证并加密，上传时必须得到电脑“上传成功”的确认，未按要求加密和CA数字证书认证的投标文件，将被视为无效投标文件，其投标文件将被拒绝，采购人不予受理。</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36.11.2投标人应在本章规定的投标截止时间前递交投标文件。</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36.11.3除投标人须知前附表另有规定外，投标人所递交的投标文件不予退还。</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36.11.4逾期上传的投标文件，采购人不予受理。</w:t>
      </w:r>
    </w:p>
    <w:p>
      <w:pPr>
        <w:pStyle w:val="4"/>
        <w:rPr>
          <w:rFonts w:ascii="宋体" w:hAnsi="宋体" w:cs="宋体"/>
          <w:sz w:val="21"/>
          <w:szCs w:val="21"/>
          <w:highlight w:val="none"/>
        </w:rPr>
      </w:pPr>
      <w:bookmarkStart w:id="157" w:name="_Toc30108"/>
      <w:r>
        <w:rPr>
          <w:rFonts w:hint="eastAsia" w:ascii="宋体" w:hAnsi="宋体" w:cs="宋体"/>
          <w:sz w:val="21"/>
          <w:szCs w:val="21"/>
          <w:highlight w:val="none"/>
        </w:rPr>
        <w:t>36.12投标文件的修改与撤回</w:t>
      </w:r>
      <w:bookmarkEnd w:id="148"/>
      <w:bookmarkEnd w:id="149"/>
      <w:bookmarkEnd w:id="150"/>
      <w:bookmarkEnd w:id="151"/>
      <w:bookmarkEnd w:id="152"/>
      <w:bookmarkEnd w:id="153"/>
      <w:bookmarkEnd w:id="154"/>
      <w:bookmarkEnd w:id="155"/>
      <w:bookmarkEnd w:id="156"/>
      <w:bookmarkEnd w:id="157"/>
    </w:p>
    <w:p>
      <w:pPr>
        <w:autoSpaceDE w:val="0"/>
        <w:autoSpaceDN w:val="0"/>
        <w:adjustRightInd w:val="0"/>
        <w:spacing w:line="360" w:lineRule="auto"/>
        <w:ind w:firstLine="539" w:firstLineChars="257"/>
        <w:jc w:val="left"/>
        <w:rPr>
          <w:rFonts w:ascii="宋体" w:hAnsi="宋体" w:cs="宋体"/>
          <w:kern w:val="0"/>
          <w:szCs w:val="21"/>
          <w:highlight w:val="none"/>
        </w:rPr>
      </w:pPr>
      <w:bookmarkStart w:id="158" w:name="_Toc512597534"/>
      <w:bookmarkStart w:id="159" w:name="_Toc247085717"/>
      <w:bookmarkStart w:id="160" w:name="_Toc246996946"/>
      <w:bookmarkStart w:id="161" w:name="_Toc296602447"/>
      <w:bookmarkStart w:id="162" w:name="_Toc144974527"/>
      <w:bookmarkStart w:id="163" w:name="_Toc179632577"/>
      <w:bookmarkStart w:id="164" w:name="_Toc246996203"/>
      <w:bookmarkStart w:id="165" w:name="_Toc152042335"/>
      <w:bookmarkStart w:id="166" w:name="_Toc152045559"/>
      <w:r>
        <w:rPr>
          <w:rFonts w:hint="eastAsia" w:ascii="宋体" w:hAnsi="宋体" w:cs="宋体"/>
          <w:kern w:val="0"/>
          <w:szCs w:val="21"/>
          <w:highlight w:val="none"/>
        </w:rPr>
        <w:t>36.12.1 在投标人须知前附表规定的投标截止时间前，投标人可以修改或撤回已递交的投标文件，最终投标文件以投标截止时间前完成上传至公共资源交易管理中心电子交易系统最后一份投标文件为准。</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36.12.2 投标截止时间之后，在投标有效期内，投标人不得撤回投标文件。</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58"/>
    <w:bookmarkEnd w:id="159"/>
    <w:bookmarkEnd w:id="160"/>
    <w:bookmarkEnd w:id="161"/>
    <w:bookmarkEnd w:id="162"/>
    <w:bookmarkEnd w:id="163"/>
    <w:bookmarkEnd w:id="164"/>
    <w:bookmarkEnd w:id="165"/>
    <w:bookmarkEnd w:id="166"/>
    <w:p>
      <w:pPr>
        <w:pStyle w:val="4"/>
        <w:rPr>
          <w:rFonts w:ascii="宋体" w:hAnsi="宋体" w:cs="宋体"/>
          <w:sz w:val="21"/>
          <w:szCs w:val="21"/>
          <w:highlight w:val="none"/>
        </w:rPr>
      </w:pPr>
      <w:bookmarkStart w:id="167" w:name="_Toc246996952"/>
      <w:bookmarkStart w:id="168" w:name="_Toc152042341"/>
      <w:bookmarkStart w:id="169" w:name="_Toc179632583"/>
      <w:bookmarkStart w:id="170" w:name="_Toc512597540"/>
      <w:bookmarkStart w:id="171" w:name="_Toc246996209"/>
      <w:bookmarkStart w:id="172" w:name="_Toc296602454"/>
      <w:bookmarkStart w:id="173" w:name="_Toc144974533"/>
      <w:bookmarkStart w:id="174" w:name="_Toc247085723"/>
      <w:bookmarkStart w:id="175" w:name="_Toc29792"/>
      <w:bookmarkStart w:id="176" w:name="_Toc152045565"/>
      <w:r>
        <w:rPr>
          <w:rFonts w:hint="eastAsia" w:ascii="宋体" w:hAnsi="宋体" w:cs="宋体"/>
          <w:sz w:val="21"/>
          <w:szCs w:val="21"/>
          <w:highlight w:val="none"/>
        </w:rPr>
        <w:t>36.13评标</w:t>
      </w:r>
      <w:bookmarkEnd w:id="167"/>
      <w:bookmarkEnd w:id="168"/>
      <w:bookmarkEnd w:id="169"/>
      <w:bookmarkEnd w:id="170"/>
      <w:bookmarkEnd w:id="171"/>
      <w:bookmarkEnd w:id="172"/>
      <w:bookmarkEnd w:id="173"/>
      <w:bookmarkEnd w:id="174"/>
      <w:bookmarkEnd w:id="175"/>
      <w:bookmarkEnd w:id="176"/>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bookmarkStart w:id="177" w:name="_Toc246996953"/>
      <w:bookmarkStart w:id="178" w:name="_Toc296602455"/>
      <w:bookmarkStart w:id="179" w:name="_Toc152042342"/>
      <w:bookmarkStart w:id="180" w:name="_Toc246996210"/>
      <w:bookmarkStart w:id="181" w:name="_Toc152045566"/>
      <w:bookmarkStart w:id="182" w:name="_Toc247085724"/>
      <w:bookmarkStart w:id="183" w:name="_Toc179632584"/>
      <w:bookmarkStart w:id="184" w:name="_Toc144974534"/>
    </w:p>
    <w:bookmarkEnd w:id="177"/>
    <w:bookmarkEnd w:id="178"/>
    <w:bookmarkEnd w:id="179"/>
    <w:bookmarkEnd w:id="180"/>
    <w:bookmarkEnd w:id="181"/>
    <w:bookmarkEnd w:id="182"/>
    <w:bookmarkEnd w:id="183"/>
    <w:bookmarkEnd w:id="184"/>
    <w:p>
      <w:pPr>
        <w:pStyle w:val="4"/>
        <w:rPr>
          <w:rFonts w:ascii="宋体" w:hAnsi="宋体" w:cs="宋体"/>
          <w:sz w:val="21"/>
          <w:szCs w:val="21"/>
          <w:highlight w:val="none"/>
        </w:rPr>
      </w:pPr>
      <w:bookmarkStart w:id="185" w:name="_Toc512597543"/>
      <w:bookmarkStart w:id="186" w:name="_Toc296602457"/>
      <w:bookmarkStart w:id="187" w:name="_Toc6266"/>
      <w:r>
        <w:rPr>
          <w:rFonts w:hint="eastAsia" w:ascii="宋体" w:hAnsi="宋体" w:cs="宋体"/>
          <w:sz w:val="21"/>
          <w:szCs w:val="21"/>
          <w:highlight w:val="none"/>
        </w:rPr>
        <w:t>36.14中标结果公</w:t>
      </w:r>
      <w:bookmarkEnd w:id="185"/>
      <w:bookmarkEnd w:id="186"/>
      <w:r>
        <w:rPr>
          <w:rFonts w:hint="eastAsia" w:ascii="宋体" w:hAnsi="宋体" w:cs="宋体"/>
          <w:sz w:val="21"/>
          <w:szCs w:val="21"/>
          <w:highlight w:val="none"/>
        </w:rPr>
        <w:t>告</w:t>
      </w:r>
      <w:bookmarkEnd w:id="187"/>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采购人在招标公告公布的媒介公示中标结果。</w:t>
      </w:r>
    </w:p>
    <w:p>
      <w:pPr>
        <w:pStyle w:val="4"/>
        <w:rPr>
          <w:rFonts w:ascii="宋体" w:hAnsi="宋体" w:cs="宋体"/>
          <w:sz w:val="21"/>
          <w:szCs w:val="21"/>
          <w:highlight w:val="none"/>
        </w:rPr>
      </w:pPr>
      <w:bookmarkStart w:id="188" w:name="_Toc152045568"/>
      <w:bookmarkStart w:id="189" w:name="_Toc24251"/>
      <w:bookmarkStart w:id="190" w:name="_Toc512597544"/>
      <w:bookmarkStart w:id="191" w:name="_Toc152042344"/>
      <w:bookmarkStart w:id="192" w:name="_Toc144974536"/>
      <w:bookmarkStart w:id="193" w:name="_Toc247085726"/>
      <w:bookmarkStart w:id="194" w:name="_Toc179632586"/>
      <w:bookmarkStart w:id="195" w:name="_Toc246996955"/>
      <w:bookmarkStart w:id="196" w:name="_Toc246996212"/>
      <w:bookmarkStart w:id="197" w:name="_Toc296602458"/>
      <w:r>
        <w:rPr>
          <w:rFonts w:hint="eastAsia" w:ascii="宋体" w:hAnsi="宋体" w:cs="宋体"/>
          <w:sz w:val="21"/>
          <w:szCs w:val="21"/>
          <w:highlight w:val="none"/>
        </w:rPr>
        <w:t>36.15 中标通知</w:t>
      </w:r>
      <w:bookmarkEnd w:id="188"/>
      <w:bookmarkEnd w:id="189"/>
      <w:bookmarkEnd w:id="190"/>
      <w:bookmarkEnd w:id="191"/>
      <w:bookmarkEnd w:id="192"/>
      <w:bookmarkEnd w:id="193"/>
      <w:bookmarkEnd w:id="194"/>
      <w:bookmarkEnd w:id="195"/>
      <w:bookmarkEnd w:id="196"/>
      <w:bookmarkEnd w:id="197"/>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在本章规定的投标有效期内，采购人以书面形式向中标人发出中标通知书，同时将中标结果通知通过电子交易系统通知未中标的投标人。</w:t>
      </w:r>
    </w:p>
    <w:p>
      <w:pPr>
        <w:pStyle w:val="3"/>
        <w:rPr>
          <w:rFonts w:ascii="宋体" w:hAnsi="宋体" w:eastAsia="宋体" w:cs="宋体"/>
          <w:sz w:val="21"/>
          <w:szCs w:val="21"/>
          <w:highlight w:val="none"/>
        </w:rPr>
      </w:pPr>
      <w:bookmarkStart w:id="198" w:name="_Toc184635078"/>
      <w:bookmarkStart w:id="199" w:name="_Toc512597547"/>
      <w:bookmarkStart w:id="200" w:name="_Toc2040"/>
      <w:bookmarkStart w:id="201" w:name="_Toc152045580"/>
      <w:bookmarkStart w:id="202" w:name="_Toc144974547"/>
      <w:bookmarkStart w:id="203" w:name="_Toc152042357"/>
      <w:bookmarkStart w:id="204" w:name="_Toc179632598"/>
      <w:bookmarkStart w:id="205" w:name="_Toc246996224"/>
      <w:bookmarkStart w:id="206" w:name="_Toc246996967"/>
      <w:bookmarkStart w:id="207" w:name="_Toc247085738"/>
      <w:bookmarkStart w:id="208" w:name="_Toc296602467"/>
      <w:r>
        <w:rPr>
          <w:rFonts w:hint="eastAsia" w:ascii="宋体" w:hAnsi="宋体" w:eastAsia="宋体" w:cs="宋体"/>
          <w:sz w:val="21"/>
          <w:szCs w:val="21"/>
          <w:highlight w:val="none"/>
        </w:rPr>
        <w:t>36.16废标和</w:t>
      </w:r>
      <w:bookmarkEnd w:id="198"/>
      <w:bookmarkEnd w:id="199"/>
      <w:r>
        <w:rPr>
          <w:rFonts w:hint="eastAsia" w:ascii="宋体" w:hAnsi="宋体" w:eastAsia="宋体" w:cs="宋体"/>
          <w:sz w:val="21"/>
          <w:szCs w:val="21"/>
          <w:highlight w:val="none"/>
        </w:rPr>
        <w:t>其它采购方式</w:t>
      </w:r>
      <w:bookmarkEnd w:id="200"/>
    </w:p>
    <w:p>
      <w:pPr>
        <w:pStyle w:val="4"/>
        <w:ind w:firstLine="422" w:firstLineChars="200"/>
        <w:rPr>
          <w:rFonts w:ascii="宋体" w:hAnsi="宋体" w:cs="宋体"/>
          <w:sz w:val="21"/>
          <w:szCs w:val="21"/>
          <w:highlight w:val="none"/>
        </w:rPr>
      </w:pPr>
      <w:bookmarkStart w:id="209" w:name="_Toc3521"/>
      <w:r>
        <w:rPr>
          <w:rFonts w:hint="eastAsia" w:ascii="宋体" w:hAnsi="宋体" w:cs="宋体"/>
          <w:sz w:val="21"/>
          <w:szCs w:val="21"/>
          <w:highlight w:val="none"/>
        </w:rPr>
        <w:t>36.16.1废标</w:t>
      </w:r>
      <w:bookmarkEnd w:id="209"/>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在招标采购中，出现下列情形之一的，应予废标：</w:t>
      </w:r>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（一）符合专业条件的供应商或者对招标文件作实质响应的供应商不足三家的；</w:t>
      </w:r>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（二）出现影响采购公正的违法、违规行为的；</w:t>
      </w:r>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（三）投标人的报价均超过了采购预算，采购人不能支付的；</w:t>
      </w:r>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（四）因重大变故，采购任务取消的。</w:t>
      </w:r>
    </w:p>
    <w:p>
      <w:pPr>
        <w:spacing w:line="360" w:lineRule="auto"/>
        <w:ind w:firstLine="840" w:firstLineChars="400"/>
        <w:textAlignment w:val="baseline"/>
        <w:rPr>
          <w:rFonts w:ascii="宋体" w:hAnsi="宋体" w:cs="宋体"/>
          <w:szCs w:val="21"/>
          <w:highlight w:val="none"/>
        </w:rPr>
      </w:pPr>
      <w:r>
        <w:rPr>
          <w:rFonts w:hint="eastAsia" w:ascii="宋体" w:hAnsi="宋体" w:cs="宋体"/>
          <w:szCs w:val="21"/>
          <w:highlight w:val="none"/>
        </w:rPr>
        <w:t>废标后，采购人应当将废标理由通知所有投标人。</w:t>
      </w:r>
    </w:p>
    <w:p>
      <w:pPr>
        <w:pStyle w:val="4"/>
        <w:ind w:firstLine="422" w:firstLineChars="200"/>
        <w:rPr>
          <w:rFonts w:ascii="宋体" w:hAnsi="宋体" w:cs="宋体"/>
          <w:sz w:val="21"/>
          <w:szCs w:val="21"/>
          <w:highlight w:val="none"/>
        </w:rPr>
      </w:pPr>
      <w:bookmarkStart w:id="210" w:name="_Toc27415"/>
      <w:r>
        <w:rPr>
          <w:rFonts w:hint="eastAsia" w:ascii="宋体" w:hAnsi="宋体" w:cs="宋体"/>
          <w:sz w:val="21"/>
          <w:szCs w:val="21"/>
          <w:highlight w:val="none"/>
        </w:rPr>
        <w:t>36.16.2它采购方式</w:t>
      </w:r>
      <w:bookmarkEnd w:id="210"/>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重新招标后投标人仍少于3 个或者所有投标被否决的，经原审批或核准部门批准后采用非招标方式进行采购或不再进行招标。</w:t>
      </w:r>
    </w:p>
    <w:p>
      <w:pPr>
        <w:pStyle w:val="3"/>
        <w:rPr>
          <w:rFonts w:ascii="宋体" w:hAnsi="宋体" w:eastAsia="宋体" w:cs="宋体"/>
          <w:sz w:val="21"/>
          <w:szCs w:val="21"/>
          <w:highlight w:val="none"/>
        </w:rPr>
      </w:pPr>
      <w:bookmarkStart w:id="211" w:name="_Toc6135"/>
      <w:bookmarkStart w:id="212" w:name="_Toc512597550"/>
      <w:bookmarkStart w:id="213" w:name="_Toc184635079"/>
      <w:r>
        <w:rPr>
          <w:rFonts w:hint="eastAsia" w:ascii="宋体" w:hAnsi="宋体" w:eastAsia="宋体" w:cs="宋体"/>
          <w:sz w:val="21"/>
          <w:szCs w:val="21"/>
          <w:highlight w:val="none"/>
        </w:rPr>
        <w:t>36.17纪律和监督</w:t>
      </w:r>
      <w:bookmarkEnd w:id="211"/>
      <w:bookmarkEnd w:id="212"/>
      <w:bookmarkEnd w:id="213"/>
    </w:p>
    <w:p>
      <w:pPr>
        <w:pStyle w:val="4"/>
        <w:ind w:firstLine="422" w:firstLineChars="200"/>
        <w:rPr>
          <w:rFonts w:ascii="宋体" w:hAnsi="宋体" w:cs="宋体"/>
          <w:sz w:val="21"/>
          <w:szCs w:val="21"/>
          <w:highlight w:val="none"/>
        </w:rPr>
      </w:pPr>
      <w:bookmarkStart w:id="214" w:name="_Toc512597551"/>
      <w:bookmarkStart w:id="215" w:name="_Toc20450"/>
      <w:r>
        <w:rPr>
          <w:rFonts w:hint="eastAsia" w:ascii="宋体" w:hAnsi="宋体" w:cs="宋体"/>
          <w:sz w:val="21"/>
          <w:szCs w:val="21"/>
          <w:highlight w:val="none"/>
        </w:rPr>
        <w:t>36.17.1 对采购人的纪律要求</w:t>
      </w:r>
      <w:bookmarkEnd w:id="214"/>
      <w:bookmarkEnd w:id="215"/>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采购人不得泄漏招标投标活动中应当保密的情况和资料，不得与投标人串通损害国家利益、社会公共利益或者他人合法权益。</w:t>
      </w:r>
    </w:p>
    <w:p>
      <w:pPr>
        <w:spacing w:line="360" w:lineRule="auto"/>
        <w:ind w:firstLine="422" w:firstLineChars="200"/>
        <w:jc w:val="left"/>
        <w:textAlignment w:val="baseline"/>
        <w:rPr>
          <w:rStyle w:val="52"/>
          <w:rFonts w:hint="eastAsia" w:ascii="宋体" w:hAnsi="宋体" w:eastAsia="宋体" w:cs="宋体"/>
          <w:bCs/>
          <w:sz w:val="21"/>
          <w:szCs w:val="21"/>
          <w:highlight w:val="none"/>
          <w:lang w:eastAsia="zh-CN"/>
        </w:rPr>
      </w:pPr>
      <w:bookmarkStart w:id="216" w:name="_Toc1262"/>
      <w:r>
        <w:rPr>
          <w:rStyle w:val="52"/>
          <w:rFonts w:hint="eastAsia" w:ascii="宋体" w:hAnsi="宋体" w:cs="宋体"/>
          <w:bCs/>
          <w:sz w:val="21"/>
          <w:szCs w:val="21"/>
          <w:highlight w:val="none"/>
        </w:rPr>
        <w:t>禁止采购人与投标人串通投标</w:t>
      </w:r>
      <w:bookmarkEnd w:id="216"/>
    </w:p>
    <w:p>
      <w:pPr>
        <w:spacing w:line="360"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    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（二）供应商按照采购人或者采购代理机构的授意撤换、修改投标文件或者响应文件；</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（三）供应商之间协商报价、技术方案等投标文件或者响应文件的实质性内容；</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pPr>
        <w:pStyle w:val="4"/>
        <w:ind w:firstLine="422" w:firstLineChars="200"/>
        <w:rPr>
          <w:rFonts w:ascii="宋体" w:hAnsi="宋体" w:cs="宋体"/>
          <w:sz w:val="21"/>
          <w:szCs w:val="21"/>
          <w:highlight w:val="none"/>
        </w:rPr>
      </w:pPr>
      <w:bookmarkStart w:id="217" w:name="_Toc17935"/>
      <w:bookmarkStart w:id="218" w:name="_Toc512597552"/>
      <w:r>
        <w:rPr>
          <w:rFonts w:hint="eastAsia" w:ascii="宋体" w:hAnsi="宋体" w:cs="宋体"/>
          <w:sz w:val="21"/>
          <w:szCs w:val="21"/>
          <w:highlight w:val="none"/>
        </w:rPr>
        <w:t>36.17.2 对投标人的纪律要求</w:t>
      </w:r>
      <w:bookmarkEnd w:id="217"/>
      <w:bookmarkEnd w:id="218"/>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left="420" w:leftChars="200"/>
        <w:jc w:val="left"/>
        <w:textAlignment w:val="baseline"/>
        <w:rPr>
          <w:rStyle w:val="52"/>
          <w:rFonts w:ascii="宋体" w:hAnsi="宋体" w:cs="宋体"/>
          <w:bCs/>
          <w:sz w:val="21"/>
          <w:szCs w:val="21"/>
          <w:highlight w:val="none"/>
        </w:rPr>
      </w:pPr>
      <w:bookmarkStart w:id="219" w:name="_Toc15818"/>
      <w:r>
        <w:rPr>
          <w:rStyle w:val="52"/>
          <w:rFonts w:hint="eastAsia" w:ascii="宋体" w:hAnsi="宋体" w:cs="宋体"/>
          <w:bCs/>
          <w:sz w:val="21"/>
          <w:szCs w:val="21"/>
          <w:highlight w:val="none"/>
        </w:rPr>
        <w:t>禁止投标人相互串通投标</w:t>
      </w:r>
      <w:bookmarkEnd w:id="219"/>
    </w:p>
    <w:p>
      <w:pPr>
        <w:spacing w:line="360"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（二）供应商按照采购人或者采购代理机构的授意撤换、修改投标文件或者响应文件；</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（三）供应商之间协商报价、技术方案等投标文件或者响应文件的实质性内容；</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pPr>
        <w:spacing w:line="360" w:lineRule="auto"/>
        <w:ind w:firstLine="422" w:firstLineChars="200"/>
        <w:jc w:val="left"/>
        <w:textAlignment w:val="baseline"/>
        <w:rPr>
          <w:rFonts w:ascii="宋体" w:hAnsi="宋体" w:cs="宋体"/>
          <w:bCs/>
          <w:szCs w:val="21"/>
          <w:highlight w:val="none"/>
        </w:rPr>
      </w:pPr>
      <w:bookmarkStart w:id="220" w:name="_Toc20849"/>
      <w:r>
        <w:rPr>
          <w:rStyle w:val="52"/>
          <w:rFonts w:hint="eastAsia" w:ascii="宋体" w:hAnsi="宋体" w:cs="宋体"/>
          <w:bCs/>
          <w:sz w:val="21"/>
          <w:szCs w:val="21"/>
          <w:highlight w:val="none"/>
        </w:rPr>
        <w:t>有下列情形之一的，视为投标人相互串通投标：</w:t>
      </w:r>
      <w:bookmarkEnd w:id="220"/>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（一）不同投标人的投标文件由同一单位或者个人编制；</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（二）不同投标人委托同一单位或者个人办理投标事宜；</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（三）不同投标人的投标文件载明的项目管理成员或者联系人员为同一人；</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（四）不同投标人的投标文件异常一致或者投标报价呈规律性差异；</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（五）不同投标人的投标文件相互混装；</w:t>
      </w:r>
    </w:p>
    <w:p>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（六）不同投标人的投标保证金从同一单位或者个人的账户转出。</w:t>
      </w:r>
    </w:p>
    <w:p>
      <w:pPr>
        <w:pStyle w:val="4"/>
        <w:rPr>
          <w:rFonts w:ascii="宋体" w:hAnsi="宋体" w:cs="宋体"/>
          <w:sz w:val="21"/>
          <w:szCs w:val="21"/>
          <w:highlight w:val="none"/>
        </w:rPr>
      </w:pPr>
      <w:bookmarkStart w:id="221" w:name="_Toc512597553"/>
      <w:bookmarkStart w:id="222" w:name="_Toc24933"/>
      <w:r>
        <w:rPr>
          <w:rFonts w:hint="eastAsia" w:ascii="宋体" w:hAnsi="宋体" w:cs="宋体"/>
          <w:sz w:val="21"/>
          <w:szCs w:val="21"/>
          <w:highlight w:val="none"/>
        </w:rPr>
        <w:t>36.17.4 对评标委员会成员的纪律要求</w:t>
      </w:r>
      <w:bookmarkEnd w:id="221"/>
      <w:bookmarkEnd w:id="222"/>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宋体" w:hAnsi="宋体" w:cs="宋体"/>
          <w:sz w:val="21"/>
          <w:szCs w:val="21"/>
          <w:highlight w:val="none"/>
        </w:rPr>
      </w:pPr>
      <w:bookmarkStart w:id="223" w:name="_Toc512597554"/>
      <w:bookmarkStart w:id="224" w:name="_Toc24193"/>
      <w:r>
        <w:rPr>
          <w:rFonts w:hint="eastAsia" w:ascii="宋体" w:hAnsi="宋体" w:cs="宋体"/>
          <w:sz w:val="21"/>
          <w:szCs w:val="21"/>
          <w:highlight w:val="none"/>
        </w:rPr>
        <w:t>36.17.5 对与评标活动有关的工作人员的纪律要求</w:t>
      </w:r>
      <w:bookmarkEnd w:id="223"/>
      <w:bookmarkEnd w:id="224"/>
    </w:p>
    <w:p>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bookmarkEnd w:id="202"/>
      <w:bookmarkEnd w:id="203"/>
      <w:bookmarkEnd w:id="204"/>
      <w:bookmarkEnd w:id="205"/>
      <w:bookmarkEnd w:id="206"/>
      <w:bookmarkEnd w:id="207"/>
      <w:bookmarkEnd w:id="208"/>
      <w:bookmarkStart w:id="225" w:name="_Toc30779"/>
      <w:bookmarkStart w:id="226" w:name="_Toc987"/>
      <w:bookmarkStart w:id="227" w:name="_Toc512597558"/>
      <w:r>
        <w:rPr>
          <w:rFonts w:hint="eastAsia" w:ascii="宋体" w:hAnsi="宋体" w:cs="宋体"/>
          <w:szCs w:val="21"/>
          <w:highlight w:val="none"/>
        </w:rPr>
        <w:br w:type="page"/>
      </w:r>
    </w:p>
    <w:p>
      <w:pPr>
        <w:pStyle w:val="2"/>
        <w:jc w:val="center"/>
        <w:rPr>
          <w:highlight w:val="none"/>
        </w:rPr>
      </w:pPr>
      <w:bookmarkStart w:id="228" w:name="_Toc11616_WPSOffice_Level1"/>
      <w:r>
        <w:rPr>
          <w:rFonts w:hint="eastAsia"/>
          <w:highlight w:val="none"/>
        </w:rPr>
        <w:t>第三章 评标办法</w:t>
      </w:r>
      <w:bookmarkEnd w:id="225"/>
      <w:bookmarkEnd w:id="226"/>
      <w:bookmarkEnd w:id="227"/>
      <w:bookmarkEnd w:id="228"/>
    </w:p>
    <w:p>
      <w:pPr>
        <w:jc w:val="center"/>
        <w:rPr>
          <w:b/>
          <w:sz w:val="24"/>
          <w:szCs w:val="24"/>
          <w:highlight w:val="none"/>
        </w:rPr>
      </w:pPr>
      <w:r>
        <w:rPr>
          <w:rFonts w:hint="eastAsia"/>
          <w:b/>
          <w:sz w:val="24"/>
          <w:szCs w:val="24"/>
          <w:highlight w:val="none"/>
        </w:rPr>
        <w:t>评标办法前附表</w:t>
      </w:r>
    </w:p>
    <w:p>
      <w:pPr>
        <w:rPr>
          <w:b/>
          <w:sz w:val="24"/>
          <w:szCs w:val="24"/>
          <w:highlight w:val="none"/>
        </w:rPr>
      </w:pPr>
      <w:r>
        <w:rPr>
          <w:rFonts w:hint="eastAsia"/>
          <w:b/>
          <w:sz w:val="24"/>
          <w:szCs w:val="24"/>
          <w:highlight w:val="none"/>
        </w:rPr>
        <w:br w:type="page"/>
      </w:r>
    </w:p>
    <w:p>
      <w:pPr>
        <w:rPr>
          <w:highlight w:val="none"/>
        </w:rPr>
      </w:pPr>
    </w:p>
    <w:tbl>
      <w:tblPr>
        <w:tblStyle w:val="36"/>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pPr>
              <w:spacing w:line="360" w:lineRule="auto"/>
              <w:jc w:val="center"/>
              <w:rPr>
                <w:b/>
                <w:sz w:val="24"/>
                <w:highlight w:val="none"/>
              </w:rPr>
            </w:pPr>
            <w:r>
              <w:rPr>
                <w:b/>
                <w:sz w:val="24"/>
                <w:highlight w:val="none"/>
              </w:rPr>
              <w:t>条款号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b/>
                <w:sz w:val="24"/>
                <w:highlight w:val="none"/>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b/>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pPr>
              <w:spacing w:line="360" w:lineRule="auto"/>
              <w:jc w:val="center"/>
              <w:rPr>
                <w:sz w:val="22"/>
                <w:szCs w:val="18"/>
                <w:highlight w:val="none"/>
              </w:rPr>
            </w:pPr>
          </w:p>
          <w:p>
            <w:pPr>
              <w:spacing w:line="360" w:lineRule="auto"/>
              <w:rPr>
                <w:sz w:val="22"/>
                <w:szCs w:val="18"/>
                <w:highlight w:val="none"/>
              </w:rPr>
            </w:pPr>
            <w:r>
              <w:rPr>
                <w:rFonts w:hint="eastAsia"/>
                <w:sz w:val="22"/>
                <w:szCs w:val="18"/>
                <w:highlight w:val="none"/>
              </w:rPr>
              <w:t>1.1</w:t>
            </w:r>
          </w:p>
        </w:tc>
        <w:tc>
          <w:tcPr>
            <w:tcW w:w="1040" w:type="dxa"/>
            <w:vMerge w:val="restart"/>
            <w:tcBorders>
              <w:top w:val="single" w:color="auto" w:sz="4" w:space="0"/>
              <w:right w:val="single" w:color="auto" w:sz="4" w:space="0"/>
            </w:tcBorders>
            <w:vAlign w:val="center"/>
          </w:tcPr>
          <w:p>
            <w:pPr>
              <w:spacing w:line="360" w:lineRule="auto"/>
              <w:jc w:val="center"/>
              <w:rPr>
                <w:sz w:val="22"/>
                <w:szCs w:val="18"/>
                <w:highlight w:val="none"/>
              </w:rPr>
            </w:pPr>
            <w:r>
              <w:rPr>
                <w:sz w:val="22"/>
                <w:szCs w:val="18"/>
                <w:highlight w:val="none"/>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b/>
                <w:bCs/>
                <w:highlight w:val="none"/>
              </w:rPr>
              <w:t>1.满足《中华人民共和国政府采购法》第二十二条规定；</w:t>
            </w:r>
          </w:p>
          <w:p>
            <w:pPr>
              <w:spacing w:line="360" w:lineRule="auto"/>
              <w:rPr>
                <w:rFonts w:hint="eastAsia" w:hAnsi="宋体"/>
                <w:szCs w:val="22"/>
                <w:highlight w:val="none"/>
              </w:rPr>
            </w:pPr>
            <w:r>
              <w:rPr>
                <w:rFonts w:hint="eastAsia" w:ascii="宋体" w:hAnsi="宋体" w:cs="宋体"/>
                <w:b/>
                <w:bCs/>
                <w:highlight w:val="none"/>
              </w:rPr>
              <w:t>2.落实政府采购政策需满足的资格要求：</w:t>
            </w:r>
            <w:r>
              <w:rPr>
                <w:rFonts w:hint="eastAsia" w:hAnsi="宋体"/>
                <w:highlight w:val="none"/>
              </w:rPr>
              <w:t>本项目非专门面向中小企业采购，制造商为小微企业、监狱企业、残疾人福利性单位，落实中小企业价格评审优惠政策； 中小企业划型标准请依据工信部联企业〔2011〕300号文件之规定</w:t>
            </w:r>
            <w:r>
              <w:rPr>
                <w:rFonts w:hint="eastAsia" w:hAnsi="宋体"/>
                <w:szCs w:val="22"/>
                <w:highlight w:val="none"/>
              </w:rPr>
              <w:t>。</w:t>
            </w:r>
          </w:p>
          <w:p>
            <w:pPr>
              <w:spacing w:line="360" w:lineRule="auto"/>
              <w:rPr>
                <w:rFonts w:ascii="宋体" w:hAnsi="宋体" w:cs="宋体"/>
                <w:b/>
                <w:bCs/>
                <w:highlight w:val="none"/>
              </w:rPr>
            </w:pPr>
            <w:r>
              <w:rPr>
                <w:rFonts w:hint="eastAsia" w:ascii="宋体" w:hAnsi="宋体" w:cs="宋体"/>
                <w:b/>
                <w:bCs/>
                <w:highlight w:val="none"/>
              </w:rPr>
              <w:t>3.本项目的特定资格要求：</w:t>
            </w:r>
          </w:p>
          <w:p>
            <w:pPr>
              <w:spacing w:line="360" w:lineRule="auto"/>
              <w:ind w:left="0" w:leftChars="0" w:firstLine="420" w:firstLineChars="200"/>
              <w:rPr>
                <w:rFonts w:hint="eastAsia"/>
                <w:highlight w:val="none"/>
              </w:rPr>
            </w:pPr>
            <w:r>
              <w:rPr>
                <w:rFonts w:hint="eastAsia"/>
                <w:highlight w:val="none"/>
              </w:rPr>
              <w:t>3.1供应商具有有效的营业执照或电子营业执照。</w:t>
            </w:r>
          </w:p>
          <w:p>
            <w:pPr>
              <w:spacing w:line="360" w:lineRule="auto"/>
              <w:ind w:left="0" w:leftChars="0" w:firstLine="420" w:firstLineChars="200"/>
              <w:rPr>
                <w:rFonts w:hint="eastAsia"/>
                <w:highlight w:val="none"/>
              </w:rPr>
            </w:pPr>
            <w:r>
              <w:rPr>
                <w:rFonts w:hint="eastAsia"/>
                <w:highlight w:val="none"/>
              </w:rPr>
              <w:t>3.2具有良好的商业信誉和健全的财务会计制度（自行承诺）；</w:t>
            </w:r>
          </w:p>
          <w:p>
            <w:pPr>
              <w:spacing w:line="360" w:lineRule="auto"/>
              <w:ind w:left="0" w:leftChars="0" w:firstLine="420" w:firstLineChars="200"/>
              <w:rPr>
                <w:rFonts w:hint="eastAsia"/>
                <w:highlight w:val="none"/>
              </w:rPr>
            </w:pPr>
            <w:r>
              <w:rPr>
                <w:rFonts w:hint="eastAsia"/>
                <w:highlight w:val="none"/>
              </w:rPr>
              <w:t>3.3履行合同所必需的专业技术能力（提供证明材料或承诺书）；</w:t>
            </w:r>
          </w:p>
          <w:p>
            <w:pPr>
              <w:spacing w:line="360" w:lineRule="auto"/>
              <w:ind w:left="0" w:leftChars="0" w:firstLine="420" w:firstLineChars="200"/>
              <w:rPr>
                <w:rFonts w:hint="eastAsia"/>
                <w:highlight w:val="none"/>
              </w:rPr>
            </w:pPr>
            <w:r>
              <w:rPr>
                <w:rFonts w:hint="eastAsia"/>
                <w:highlight w:val="none"/>
              </w:rPr>
              <w:t>3.4有依法缴纳税收和社会保障资金的良好记录（自行承诺）；</w:t>
            </w:r>
          </w:p>
          <w:p>
            <w:pPr>
              <w:spacing w:line="360" w:lineRule="auto"/>
              <w:ind w:left="0" w:leftChars="0" w:firstLine="420" w:firstLineChars="200"/>
              <w:rPr>
                <w:rFonts w:hint="eastAsia"/>
                <w:highlight w:val="none"/>
              </w:rPr>
            </w:pPr>
            <w:r>
              <w:rPr>
                <w:rFonts w:hint="eastAsia"/>
                <w:highlight w:val="none"/>
              </w:rPr>
              <w:t>3.5参加政府采购活动前三年或注册公司以来，在经营活动中没有重大违法记录的书面声明；</w:t>
            </w:r>
          </w:p>
          <w:p>
            <w:pPr>
              <w:spacing w:line="360" w:lineRule="auto"/>
              <w:ind w:left="0" w:leftChars="0" w:firstLine="420" w:firstLineChars="200"/>
              <w:rPr>
                <w:rFonts w:hint="eastAsia"/>
                <w:highlight w:val="none"/>
              </w:rPr>
            </w:pPr>
            <w:r>
              <w:rPr>
                <w:rFonts w:hint="eastAsia"/>
                <w:highlight w:val="none"/>
              </w:rPr>
              <w:t>3.6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pPr>
              <w:spacing w:line="360" w:lineRule="auto"/>
              <w:ind w:left="0" w:leftChars="0" w:firstLine="420" w:firstLineChars="200"/>
              <w:rPr>
                <w:rFonts w:hint="eastAsia"/>
                <w:highlight w:val="none"/>
              </w:rPr>
            </w:pPr>
            <w:r>
              <w:rPr>
                <w:rFonts w:hint="eastAsia"/>
                <w:highlight w:val="none"/>
                <w:lang w:val="en-US" w:eastAsia="zh-CN"/>
              </w:rPr>
              <w:t>3.7</w:t>
            </w:r>
            <w:r>
              <w:rPr>
                <w:rFonts w:hint="eastAsia"/>
                <w:highlight w:val="none"/>
              </w:rPr>
              <w:t>投标人须</w:t>
            </w:r>
            <w:r>
              <w:rPr>
                <w:rFonts w:hint="eastAsia"/>
                <w:highlight w:val="none"/>
                <w:lang w:eastAsia="zh-CN"/>
              </w:rPr>
              <w:t>同时</w:t>
            </w:r>
            <w:r>
              <w:rPr>
                <w:rFonts w:hint="eastAsia"/>
                <w:highlight w:val="none"/>
              </w:rPr>
              <w:t>具有建设行政主管部门核发的建筑工程施工总承包叁级及以上资质</w:t>
            </w:r>
            <w:r>
              <w:rPr>
                <w:rFonts w:hint="eastAsia"/>
                <w:highlight w:val="none"/>
                <w:lang w:val="en-US" w:eastAsia="zh-CN"/>
              </w:rPr>
              <w:t>和</w:t>
            </w:r>
            <w:r>
              <w:rPr>
                <w:rFonts w:hint="eastAsia"/>
                <w:highlight w:val="none"/>
              </w:rPr>
              <w:t>机电工程施工总承包叁级及以上资质，具有有效的安全生产许可证；</w:t>
            </w:r>
          </w:p>
          <w:p>
            <w:pPr>
              <w:spacing w:line="360" w:lineRule="auto"/>
              <w:ind w:left="0" w:leftChars="0" w:firstLine="420" w:firstLineChars="200"/>
              <w:rPr>
                <w:rFonts w:hint="eastAsia"/>
                <w:highlight w:val="none"/>
              </w:rPr>
            </w:pPr>
            <w:r>
              <w:rPr>
                <w:rFonts w:hint="eastAsia"/>
                <w:highlight w:val="none"/>
                <w:lang w:val="en-US" w:eastAsia="zh-CN"/>
              </w:rPr>
              <w:t>3.8</w:t>
            </w:r>
            <w:r>
              <w:rPr>
                <w:rFonts w:hint="eastAsia"/>
                <w:highlight w:val="none"/>
              </w:rPr>
              <w:t>拟派项目经理具有建筑工程专业二级及以上注册建造师证书（不含临时执业资格）及安全生产考核合格证且无在建；拟派技术负责人具有相关专业中级及以上技术职称；</w:t>
            </w:r>
          </w:p>
          <w:p>
            <w:pPr>
              <w:spacing w:line="360" w:lineRule="auto"/>
              <w:ind w:left="0" w:leftChars="0" w:firstLine="420" w:firstLineChars="200"/>
              <w:rPr>
                <w:rFonts w:hint="eastAsia"/>
                <w:highlight w:val="none"/>
              </w:rPr>
            </w:pPr>
            <w:r>
              <w:rPr>
                <w:rFonts w:hint="eastAsia"/>
                <w:highlight w:val="none"/>
              </w:rPr>
              <w:t>3.</w:t>
            </w:r>
            <w:r>
              <w:rPr>
                <w:rFonts w:hint="eastAsia"/>
                <w:highlight w:val="none"/>
                <w:lang w:val="en-US" w:eastAsia="zh-CN"/>
              </w:rPr>
              <w:t>9</w:t>
            </w:r>
            <w:r>
              <w:rPr>
                <w:rFonts w:hint="eastAsia"/>
                <w:highlight w:val="none"/>
              </w:rPr>
              <w:t>与招标人存在利害关系可能影响招标公正性的单位，不得参加投标。单位负责人为同一人或存在控股、管理关系的不同单位，不得参加同一标段投标，否则，相关投标均无效。</w:t>
            </w:r>
          </w:p>
          <w:p>
            <w:pPr>
              <w:spacing w:line="360" w:lineRule="auto"/>
              <w:ind w:left="0" w:leftChars="0" w:firstLine="420" w:firstLineChars="200"/>
              <w:rPr>
                <w:rFonts w:hint="eastAsia"/>
                <w:highlight w:val="none"/>
              </w:rPr>
            </w:pPr>
            <w:r>
              <w:rPr>
                <w:rFonts w:hint="eastAsia"/>
                <w:highlight w:val="none"/>
              </w:rPr>
              <w:t>3.</w:t>
            </w:r>
            <w:r>
              <w:rPr>
                <w:rFonts w:hint="eastAsia"/>
                <w:highlight w:val="none"/>
                <w:lang w:val="en-US" w:eastAsia="zh-CN"/>
              </w:rPr>
              <w:t>10</w:t>
            </w:r>
            <w:r>
              <w:rPr>
                <w:rFonts w:hint="eastAsia"/>
                <w:highlight w:val="none"/>
              </w:rPr>
              <w:t>本项目不接受联合体投标。</w:t>
            </w:r>
          </w:p>
          <w:p>
            <w:pPr>
              <w:spacing w:line="360" w:lineRule="auto"/>
              <w:ind w:left="0" w:leftChars="0" w:firstLine="420" w:firstLineChars="200"/>
              <w:rPr>
                <w:rFonts w:hint="eastAsia"/>
                <w:highlight w:val="none"/>
              </w:rPr>
            </w:pPr>
            <w:r>
              <w:rPr>
                <w:rFonts w:hint="eastAsia"/>
                <w:highlight w:val="none"/>
              </w:rPr>
              <w:t>注：1、本项目采用资格后审；</w:t>
            </w:r>
          </w:p>
          <w:p>
            <w:pPr>
              <w:numPr>
                <w:ilvl w:val="0"/>
                <w:numId w:val="2"/>
              </w:numPr>
              <w:spacing w:line="360" w:lineRule="auto"/>
              <w:ind w:left="0" w:leftChars="0" w:firstLine="420" w:firstLineChars="200"/>
              <w:rPr>
                <w:rFonts w:hint="eastAsia"/>
                <w:highlight w:val="none"/>
              </w:rPr>
            </w:pPr>
            <w:r>
              <w:rPr>
                <w:rFonts w:hint="eastAsia"/>
                <w:highlight w:val="none"/>
              </w:rPr>
              <w:t>如投标人为新成立企业，可提供注册后的相关证明材料。</w:t>
            </w:r>
          </w:p>
          <w:p>
            <w:pPr>
              <w:spacing w:line="360" w:lineRule="auto"/>
              <w:ind w:firstLine="440" w:firstLineChars="200"/>
              <w:rPr>
                <w:sz w:val="22"/>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pPr>
              <w:spacing w:line="360" w:lineRule="auto"/>
              <w:jc w:val="center"/>
              <w:rPr>
                <w:sz w:val="22"/>
                <w:szCs w:val="18"/>
                <w:highlight w:val="none"/>
              </w:rPr>
            </w:pPr>
          </w:p>
          <w:p>
            <w:pPr>
              <w:spacing w:line="360" w:lineRule="auto"/>
              <w:jc w:val="center"/>
              <w:rPr>
                <w:sz w:val="22"/>
                <w:szCs w:val="18"/>
                <w:highlight w:val="none"/>
              </w:rPr>
            </w:pPr>
          </w:p>
          <w:p>
            <w:pPr>
              <w:spacing w:line="360" w:lineRule="auto"/>
              <w:jc w:val="center"/>
              <w:rPr>
                <w:sz w:val="22"/>
                <w:szCs w:val="18"/>
                <w:highlight w:val="none"/>
              </w:rPr>
            </w:pPr>
            <w:r>
              <w:rPr>
                <w:sz w:val="22"/>
                <w:szCs w:val="18"/>
                <w:highlight w:val="none"/>
              </w:rPr>
              <w:t>1.</w:t>
            </w:r>
            <w:r>
              <w:rPr>
                <w:rFonts w:hint="eastAsia"/>
                <w:sz w:val="22"/>
                <w:szCs w:val="18"/>
                <w:highlight w:val="none"/>
              </w:rPr>
              <w:t>2</w:t>
            </w:r>
          </w:p>
          <w:p>
            <w:pPr>
              <w:spacing w:line="360" w:lineRule="auto"/>
              <w:jc w:val="center"/>
              <w:rPr>
                <w:sz w:val="22"/>
                <w:szCs w:val="18"/>
                <w:highlight w:val="none"/>
              </w:rPr>
            </w:pPr>
          </w:p>
          <w:p>
            <w:pPr>
              <w:spacing w:line="360" w:lineRule="auto"/>
              <w:rPr>
                <w:sz w:val="22"/>
                <w:szCs w:val="18"/>
                <w:highlight w:val="none"/>
              </w:rPr>
            </w:pPr>
          </w:p>
        </w:tc>
        <w:tc>
          <w:tcPr>
            <w:tcW w:w="1040" w:type="dxa"/>
            <w:tcBorders>
              <w:top w:val="single" w:color="auto" w:sz="4" w:space="0"/>
              <w:right w:val="single" w:color="auto" w:sz="4" w:space="0"/>
            </w:tcBorders>
            <w:vAlign w:val="center"/>
          </w:tcPr>
          <w:p>
            <w:pPr>
              <w:spacing w:line="360" w:lineRule="auto"/>
              <w:rPr>
                <w:sz w:val="22"/>
                <w:szCs w:val="18"/>
                <w:highlight w:val="none"/>
              </w:rPr>
            </w:pPr>
            <w:r>
              <w:rPr>
                <w:rFonts w:hint="eastAsia" w:ascii="宋体" w:hAnsi="宋体"/>
                <w:highlight w:val="none"/>
              </w:rPr>
              <w:t>初步评</w:t>
            </w:r>
            <w:r>
              <w:rPr>
                <w:rFonts w:hint="eastAsia" w:ascii="宋体" w:hAnsi="宋体"/>
                <w:szCs w:val="22"/>
                <w:highlight w:val="none"/>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18" w:firstLineChars="104"/>
              <w:rPr>
                <w:szCs w:val="22"/>
                <w:highlight w:val="none"/>
              </w:rPr>
            </w:pPr>
            <w:r>
              <w:rPr>
                <w:rFonts w:hint="eastAsia"/>
                <w:szCs w:val="22"/>
                <w:highlight w:val="none"/>
              </w:rPr>
              <w:t>（1）投标函未按招标文件要求签章。</w:t>
            </w:r>
          </w:p>
          <w:p>
            <w:pPr>
              <w:spacing w:line="360" w:lineRule="auto"/>
              <w:ind w:firstLine="218" w:firstLineChars="104"/>
              <w:rPr>
                <w:szCs w:val="22"/>
                <w:highlight w:val="none"/>
              </w:rPr>
            </w:pPr>
            <w:r>
              <w:rPr>
                <w:rFonts w:hint="eastAsia"/>
                <w:szCs w:val="22"/>
                <w:highlight w:val="none"/>
              </w:rPr>
              <w:t xml:space="preserve">（2）在一份投标文件中报有两个（含两个）以上报价的。 </w:t>
            </w:r>
          </w:p>
          <w:p>
            <w:pPr>
              <w:spacing w:line="360" w:lineRule="auto"/>
              <w:ind w:firstLine="218" w:firstLineChars="104"/>
              <w:rPr>
                <w:szCs w:val="22"/>
                <w:highlight w:val="none"/>
              </w:rPr>
            </w:pPr>
            <w:r>
              <w:rPr>
                <w:rFonts w:hint="eastAsia"/>
                <w:szCs w:val="22"/>
                <w:highlight w:val="none"/>
              </w:rPr>
              <w:t>（3）以他人名义投标、串通投标、弄虚作假的。</w:t>
            </w:r>
          </w:p>
          <w:p>
            <w:pPr>
              <w:spacing w:line="360" w:lineRule="auto"/>
              <w:ind w:firstLine="218" w:firstLineChars="104"/>
              <w:rPr>
                <w:szCs w:val="22"/>
                <w:highlight w:val="none"/>
              </w:rPr>
            </w:pPr>
            <w:r>
              <w:rPr>
                <w:rFonts w:hint="eastAsia"/>
                <w:szCs w:val="22"/>
                <w:highlight w:val="none"/>
              </w:rPr>
              <w:t>（4）投标报价高于最高投标限价。</w:t>
            </w:r>
          </w:p>
          <w:p>
            <w:pPr>
              <w:spacing w:line="360" w:lineRule="auto"/>
              <w:ind w:firstLine="218" w:firstLineChars="104"/>
              <w:rPr>
                <w:szCs w:val="22"/>
                <w:highlight w:val="none"/>
              </w:rPr>
            </w:pPr>
            <w:r>
              <w:rPr>
                <w:rFonts w:hint="eastAsia"/>
                <w:szCs w:val="22"/>
                <w:highlight w:val="none"/>
              </w:rPr>
              <w:t>（5）</w:t>
            </w:r>
            <w:r>
              <w:rPr>
                <w:rFonts w:hint="eastAsia"/>
                <w:szCs w:val="22"/>
                <w:highlight w:val="none"/>
                <w:lang w:eastAsia="zh-CN"/>
              </w:rPr>
              <w:t>设备部分技术参数、</w:t>
            </w:r>
            <w:r>
              <w:rPr>
                <w:rFonts w:hint="eastAsia"/>
                <w:szCs w:val="22"/>
                <w:highlight w:val="none"/>
              </w:rPr>
              <w:t>投标有效期、</w:t>
            </w:r>
            <w:r>
              <w:rPr>
                <w:rFonts w:hint="eastAsia"/>
                <w:szCs w:val="22"/>
                <w:highlight w:val="none"/>
                <w:lang w:eastAsia="zh-CN"/>
              </w:rPr>
              <w:t>服务地点</w:t>
            </w:r>
            <w:r>
              <w:rPr>
                <w:rFonts w:hint="eastAsia"/>
                <w:szCs w:val="22"/>
                <w:highlight w:val="none"/>
              </w:rPr>
              <w:t>、</w:t>
            </w:r>
            <w:r>
              <w:rPr>
                <w:rFonts w:hint="eastAsia"/>
                <w:szCs w:val="22"/>
                <w:highlight w:val="none"/>
                <w:lang w:eastAsia="zh-CN"/>
              </w:rPr>
              <w:t>服务期限</w:t>
            </w:r>
            <w:r>
              <w:rPr>
                <w:rFonts w:hint="eastAsia"/>
                <w:szCs w:val="22"/>
                <w:highlight w:val="none"/>
              </w:rPr>
              <w:t>、质保期、质量要求不满足招标文件要求。</w:t>
            </w:r>
          </w:p>
          <w:p>
            <w:pPr>
              <w:spacing w:line="360" w:lineRule="auto"/>
              <w:ind w:firstLine="218" w:firstLineChars="104"/>
              <w:rPr>
                <w:sz w:val="22"/>
                <w:szCs w:val="18"/>
                <w:highlight w:val="none"/>
              </w:rPr>
            </w:pPr>
            <w:r>
              <w:rPr>
                <w:rFonts w:hint="eastAsia"/>
                <w:szCs w:val="22"/>
                <w:highlight w:val="none"/>
              </w:rPr>
              <w:t>（6）其它不响应招标文件、不符合法律法规的情况。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highlight w:val="none"/>
              </w:rPr>
            </w:pPr>
            <w:r>
              <w:rPr>
                <w:rFonts w:hint="eastAsia" w:ascii="宋体" w:hAnsi="宋体"/>
                <w:szCs w:val="21"/>
                <w:highlight w:val="none"/>
              </w:rPr>
              <w:t>2.2.1</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highlight w:val="none"/>
              </w:rPr>
            </w:pPr>
            <w:r>
              <w:rPr>
                <w:rFonts w:hint="eastAsia" w:ascii="宋体" w:hAnsi="宋体"/>
                <w:szCs w:val="21"/>
                <w:highlight w:val="none"/>
              </w:rPr>
              <w:t>分值构成</w:t>
            </w:r>
          </w:p>
          <w:p>
            <w:pPr>
              <w:tabs>
                <w:tab w:val="center" w:pos="4153"/>
                <w:tab w:val="right" w:pos="8306"/>
              </w:tabs>
              <w:snapToGrid w:val="0"/>
              <w:jc w:val="center"/>
              <w:rPr>
                <w:rFonts w:ascii="宋体" w:hAnsi="宋体"/>
                <w:szCs w:val="21"/>
                <w:highlight w:val="none"/>
              </w:rPr>
            </w:pPr>
            <w:r>
              <w:rPr>
                <w:rFonts w:hint="eastAsia" w:ascii="宋体" w:hAnsi="宋体"/>
                <w:szCs w:val="21"/>
                <w:highlight w:val="none"/>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szCs w:val="21"/>
                <w:highlight w:val="none"/>
              </w:rPr>
            </w:pPr>
            <w:r>
              <w:rPr>
                <w:rFonts w:hint="eastAsia" w:ascii="宋体" w:hAnsi="宋体"/>
                <w:szCs w:val="21"/>
                <w:highlight w:val="none"/>
              </w:rPr>
              <w:t>报价部分：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0 </w:t>
            </w:r>
            <w:r>
              <w:rPr>
                <w:rFonts w:hint="eastAsia" w:ascii="宋体" w:hAnsi="宋体"/>
                <w:szCs w:val="21"/>
                <w:highlight w:val="none"/>
              </w:rPr>
              <w:t>分</w:t>
            </w:r>
          </w:p>
          <w:p>
            <w:pPr>
              <w:tabs>
                <w:tab w:val="center" w:pos="4153"/>
                <w:tab w:val="right" w:pos="8306"/>
              </w:tabs>
              <w:snapToGrid w:val="0"/>
              <w:rPr>
                <w:rFonts w:ascii="宋体" w:hAnsi="宋体"/>
                <w:szCs w:val="21"/>
                <w:highlight w:val="none"/>
              </w:rPr>
            </w:pPr>
            <w:r>
              <w:rPr>
                <w:rFonts w:hint="eastAsia" w:ascii="宋体" w:hAnsi="宋体"/>
                <w:szCs w:val="21"/>
                <w:highlight w:val="none"/>
              </w:rPr>
              <w:t>技术部分：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50</w:t>
            </w:r>
            <w:r>
              <w:rPr>
                <w:rFonts w:hint="eastAsia" w:ascii="宋体" w:hAnsi="宋体"/>
                <w:szCs w:val="21"/>
                <w:highlight w:val="none"/>
              </w:rPr>
              <w:t>分</w:t>
            </w:r>
          </w:p>
          <w:p>
            <w:pPr>
              <w:tabs>
                <w:tab w:val="center" w:pos="4153"/>
                <w:tab w:val="right" w:pos="8306"/>
              </w:tabs>
              <w:snapToGrid w:val="0"/>
              <w:rPr>
                <w:rFonts w:ascii="宋体" w:hAnsi="宋体"/>
                <w:szCs w:val="21"/>
                <w:highlight w:val="none"/>
              </w:rPr>
            </w:pPr>
            <w:r>
              <w:rPr>
                <w:rFonts w:hint="eastAsia" w:ascii="宋体" w:hAnsi="宋体"/>
                <w:szCs w:val="21"/>
                <w:highlight w:val="none"/>
              </w:rPr>
              <w:t>综合部分：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分</w:t>
            </w:r>
          </w:p>
        </w:tc>
      </w:tr>
    </w:tbl>
    <w:p>
      <w:pPr>
        <w:jc w:val="center"/>
        <w:rPr>
          <w:b/>
          <w:sz w:val="28"/>
          <w:szCs w:val="28"/>
          <w:highlight w:val="none"/>
        </w:rPr>
      </w:pPr>
    </w:p>
    <w:p>
      <w:pPr>
        <w:rPr>
          <w:b/>
          <w:sz w:val="28"/>
          <w:szCs w:val="28"/>
          <w:highlight w:val="none"/>
        </w:rPr>
      </w:pPr>
      <w:r>
        <w:rPr>
          <w:rFonts w:hint="eastAsia"/>
          <w:b/>
          <w:sz w:val="28"/>
          <w:szCs w:val="28"/>
          <w:highlight w:val="none"/>
        </w:rPr>
        <w:br w:type="page"/>
      </w:r>
    </w:p>
    <w:p>
      <w:pPr>
        <w:jc w:val="center"/>
        <w:rPr>
          <w:highlight w:val="none"/>
        </w:rPr>
      </w:pPr>
      <w:r>
        <w:rPr>
          <w:rFonts w:hint="eastAsia"/>
          <w:b/>
          <w:sz w:val="28"/>
          <w:szCs w:val="28"/>
          <w:highlight w:val="none"/>
        </w:rPr>
        <w:t>报价部分评标办法</w:t>
      </w:r>
    </w:p>
    <w:tbl>
      <w:tblPr>
        <w:tblStyle w:val="36"/>
        <w:tblW w:w="10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2993" w:type="dxa"/>
            <w:vMerge w:val="restart"/>
            <w:tcBorders>
              <w:top w:val="single" w:color="auto" w:sz="4" w:space="0"/>
              <w:left w:val="single" w:color="auto" w:sz="4" w:space="0"/>
              <w:right w:val="single" w:color="auto" w:sz="4" w:space="0"/>
            </w:tcBorders>
            <w:vAlign w:val="center"/>
          </w:tcPr>
          <w:p>
            <w:pPr>
              <w:spacing w:line="360" w:lineRule="auto"/>
              <w:ind w:firstLine="105" w:firstLineChars="50"/>
              <w:jc w:val="center"/>
              <w:rPr>
                <w:highlight w:val="none"/>
              </w:rPr>
            </w:pPr>
            <w:r>
              <w:rPr>
                <w:highlight w:val="none"/>
              </w:rPr>
              <w:t>1</w:t>
            </w:r>
            <w:r>
              <w:rPr>
                <w:rFonts w:hint="eastAsia"/>
                <w:highlight w:val="none"/>
              </w:rPr>
              <w:t>、投标报价（</w:t>
            </w:r>
            <w:r>
              <w:rPr>
                <w:rFonts w:hint="eastAsia"/>
                <w:highlight w:val="none"/>
                <w:lang w:val="en-US" w:eastAsia="zh-CN"/>
              </w:rPr>
              <w:t>4</w:t>
            </w:r>
            <w:r>
              <w:rPr>
                <w:highlight w:val="none"/>
              </w:rPr>
              <w:t>0</w:t>
            </w:r>
            <w:r>
              <w:rPr>
                <w:rFonts w:hint="eastAsia"/>
                <w:highlight w:val="none"/>
              </w:rPr>
              <w:t>分）</w:t>
            </w:r>
          </w:p>
        </w:tc>
        <w:tc>
          <w:tcPr>
            <w:tcW w:w="710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hint="eastAsia" w:ascii="宋体" w:hAnsi="宋体"/>
                <w:szCs w:val="21"/>
                <w:highlight w:val="none"/>
                <w:lang w:eastAsia="zh-CN"/>
              </w:rPr>
            </w:pPr>
            <w:r>
              <w:rPr>
                <w:rFonts w:hint="eastAsia" w:ascii="宋体" w:hAnsi="宋体"/>
                <w:szCs w:val="21"/>
                <w:highlight w:val="none"/>
                <w:lang w:eastAsia="zh-CN"/>
              </w:rPr>
              <w:t>设备部分报价得分（</w:t>
            </w:r>
            <w:r>
              <w:rPr>
                <w:rFonts w:hint="eastAsia" w:ascii="宋体" w:hAnsi="宋体"/>
                <w:szCs w:val="21"/>
                <w:highlight w:val="none"/>
                <w:lang w:val="en-US" w:eastAsia="zh-CN"/>
              </w:rPr>
              <w:t>30分）</w:t>
            </w:r>
            <w:r>
              <w:rPr>
                <w:rFonts w:hint="eastAsia" w:ascii="宋体" w:hAnsi="宋体"/>
                <w:szCs w:val="21"/>
                <w:highlight w:val="none"/>
                <w:lang w:eastAsia="zh-CN"/>
              </w:rPr>
              <w:t>：</w:t>
            </w:r>
          </w:p>
          <w:p>
            <w:pPr>
              <w:kinsoku w:val="0"/>
              <w:overflowPunct w:val="0"/>
              <w:autoSpaceDE w:val="0"/>
              <w:autoSpaceDN w:val="0"/>
              <w:adjustRightInd w:val="0"/>
              <w:snapToGrid w:val="0"/>
              <w:spacing w:line="360" w:lineRule="auto"/>
              <w:rPr>
                <w:highlight w:val="none"/>
              </w:rPr>
            </w:pPr>
            <w:r>
              <w:rPr>
                <w:rFonts w:hint="eastAsia" w:ascii="宋体" w:hAnsi="宋体"/>
                <w:szCs w:val="21"/>
                <w:highlight w:val="none"/>
              </w:rPr>
              <w:t>评标基准价计算方法：</w:t>
            </w:r>
            <w:r>
              <w:rPr>
                <w:rFonts w:hint="eastAsia"/>
                <w:highlight w:val="none"/>
              </w:rPr>
              <w:t>满足招标文件要求且投标价格最低的投标报价为评标基准价，其价格分为满分</w:t>
            </w:r>
            <w:r>
              <w:rPr>
                <w:rFonts w:hint="eastAsia"/>
                <w:szCs w:val="22"/>
                <w:highlight w:val="none"/>
              </w:rPr>
              <w:t>。</w:t>
            </w:r>
          </w:p>
          <w:p>
            <w:pPr>
              <w:pStyle w:val="7"/>
              <w:ind w:firstLine="0" w:firstLineChars="0"/>
              <w:rPr>
                <w:highlight w:val="none"/>
              </w:rPr>
            </w:pPr>
            <w:r>
              <w:rPr>
                <w:rFonts w:hint="eastAsia"/>
                <w:highlight w:val="none"/>
              </w:rPr>
              <w:t>投标报价得分=(评标基准价／投标报价)×30</w:t>
            </w:r>
          </w:p>
          <w:p>
            <w:pPr>
              <w:pStyle w:val="7"/>
              <w:ind w:firstLine="0" w:firstLineChars="0"/>
              <w:rPr>
                <w:szCs w:val="22"/>
                <w:highlight w:val="none"/>
              </w:rPr>
            </w:pPr>
            <w:r>
              <w:rPr>
                <w:szCs w:val="22"/>
                <w:highlight w:val="none"/>
              </w:rPr>
              <w:t>注：1、有效供应商是指实质上响应招标文件要求并通过实质性审核未被否决投标的所有供应商。</w:t>
            </w:r>
          </w:p>
          <w:p>
            <w:pPr>
              <w:pStyle w:val="7"/>
              <w:ind w:firstLine="0" w:firstLineChars="0"/>
              <w:rPr>
                <w:szCs w:val="22"/>
                <w:highlight w:val="none"/>
              </w:rPr>
            </w:pPr>
            <w:r>
              <w:rPr>
                <w:szCs w:val="22"/>
                <w:highlight w:val="none"/>
              </w:rPr>
              <w:t>2、 按照《政府采购促进中小企业发展管理办法》（财库〔2020〕46号）文件规定，对小型和微型企业</w:t>
            </w:r>
            <w:r>
              <w:rPr>
                <w:rFonts w:hint="eastAsia"/>
                <w:szCs w:val="22"/>
                <w:highlight w:val="none"/>
              </w:rPr>
              <w:t>（</w:t>
            </w:r>
            <w:r>
              <w:rPr>
                <w:szCs w:val="22"/>
                <w:highlight w:val="none"/>
              </w:rPr>
              <w:t>监狱企业</w:t>
            </w:r>
            <w:r>
              <w:rPr>
                <w:rFonts w:hint="eastAsia"/>
                <w:szCs w:val="22"/>
                <w:highlight w:val="none"/>
              </w:rPr>
              <w:t>、</w:t>
            </w:r>
            <w:r>
              <w:rPr>
                <w:szCs w:val="22"/>
                <w:highlight w:val="none"/>
              </w:rPr>
              <w:t>残疾人福利单位</w:t>
            </w:r>
            <w:r>
              <w:rPr>
                <w:rFonts w:hint="eastAsia"/>
                <w:szCs w:val="22"/>
                <w:highlight w:val="none"/>
              </w:rPr>
              <w:t>视为</w:t>
            </w:r>
            <w:r>
              <w:rPr>
                <w:szCs w:val="22"/>
                <w:highlight w:val="none"/>
              </w:rPr>
              <w:t>小型和微型企业</w:t>
            </w:r>
            <w:r>
              <w:rPr>
                <w:rFonts w:hint="eastAsia"/>
                <w:szCs w:val="22"/>
                <w:highlight w:val="none"/>
              </w:rPr>
              <w:t>）</w:t>
            </w:r>
            <w:r>
              <w:rPr>
                <w:szCs w:val="22"/>
                <w:highlight w:val="none"/>
              </w:rPr>
              <w:t>的价格给予</w:t>
            </w:r>
            <w:r>
              <w:rPr>
                <w:rFonts w:hint="eastAsia"/>
                <w:szCs w:val="22"/>
                <w:highlight w:val="none"/>
              </w:rPr>
              <w:t>20</w:t>
            </w:r>
            <w:r>
              <w:rPr>
                <w:szCs w:val="22"/>
                <w:highlight w:val="none"/>
              </w:rPr>
              <w:t>%的扣除，用扣除后的价格参与评审。供应商须在响应文件中按照相关文件的要求出具中小企业声明函。</w:t>
            </w:r>
          </w:p>
          <w:p>
            <w:pPr>
              <w:pStyle w:val="7"/>
              <w:ind w:firstLine="0" w:firstLineChars="0"/>
              <w:rPr>
                <w:szCs w:val="22"/>
                <w:highlight w:val="none"/>
              </w:rPr>
            </w:pPr>
            <w:r>
              <w:rPr>
                <w:rFonts w:hint="eastAsia"/>
                <w:szCs w:val="22"/>
                <w:highlight w:val="none"/>
              </w:rPr>
              <w:t>3</w:t>
            </w:r>
            <w:r>
              <w:rPr>
                <w:szCs w:val="22"/>
                <w:highlight w:val="none"/>
              </w:rPr>
              <w:t>、根据上述要求计算得出的价格仅限于评标时使用，对</w:t>
            </w:r>
            <w:r>
              <w:rPr>
                <w:rFonts w:hint="eastAsia"/>
                <w:szCs w:val="22"/>
                <w:highlight w:val="none"/>
              </w:rPr>
              <w:t>合同</w:t>
            </w:r>
            <w:r>
              <w:rPr>
                <w:szCs w:val="22"/>
                <w:highlight w:val="none"/>
              </w:rPr>
              <w:t>价格没有任何影响。</w:t>
            </w:r>
          </w:p>
          <w:p>
            <w:pPr>
              <w:pStyle w:val="7"/>
              <w:ind w:firstLine="0" w:firstLineChars="0"/>
              <w:rPr>
                <w:highlight w:val="none"/>
              </w:rPr>
            </w:pPr>
            <w:r>
              <w:rPr>
                <w:rFonts w:hint="eastAsia"/>
                <w:szCs w:val="22"/>
                <w:highlight w:val="none"/>
              </w:rPr>
              <w:t>4</w:t>
            </w:r>
            <w:r>
              <w:rPr>
                <w:szCs w:val="22"/>
                <w:highlight w:val="none"/>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2993" w:type="dxa"/>
            <w:vMerge w:val="continue"/>
            <w:tcBorders>
              <w:left w:val="single" w:color="auto" w:sz="4" w:space="0"/>
              <w:bottom w:val="single" w:color="auto" w:sz="4" w:space="0"/>
              <w:right w:val="single" w:color="auto" w:sz="4" w:space="0"/>
            </w:tcBorders>
            <w:vAlign w:val="center"/>
          </w:tcPr>
          <w:p>
            <w:pPr>
              <w:pStyle w:val="7"/>
              <w:ind w:firstLine="0" w:firstLineChars="0"/>
              <w:rPr>
                <w:highlight w:val="none"/>
              </w:rPr>
            </w:pPr>
          </w:p>
        </w:tc>
        <w:tc>
          <w:tcPr>
            <w:tcW w:w="7106" w:type="dxa"/>
            <w:tcBorders>
              <w:top w:val="single" w:color="auto" w:sz="4" w:space="0"/>
              <w:left w:val="single" w:color="auto" w:sz="4" w:space="0"/>
              <w:bottom w:val="single" w:color="auto" w:sz="4" w:space="0"/>
              <w:right w:val="single" w:color="auto" w:sz="4" w:space="0"/>
            </w:tcBorders>
            <w:vAlign w:val="center"/>
          </w:tcPr>
          <w:p>
            <w:pPr>
              <w:pStyle w:val="7"/>
              <w:ind w:firstLine="0" w:firstLineChars="0"/>
              <w:rPr>
                <w:rFonts w:hint="eastAsia"/>
                <w:szCs w:val="22"/>
                <w:highlight w:val="none"/>
                <w:lang w:eastAsia="zh-CN"/>
              </w:rPr>
            </w:pPr>
            <w:r>
              <w:rPr>
                <w:rFonts w:hint="eastAsia"/>
                <w:szCs w:val="22"/>
                <w:highlight w:val="none"/>
                <w:lang w:eastAsia="zh-CN"/>
              </w:rPr>
              <w:t>土建及安装部分报价得分（除设备以外的其它部分）（</w:t>
            </w:r>
            <w:r>
              <w:rPr>
                <w:rFonts w:hint="eastAsia"/>
                <w:szCs w:val="22"/>
                <w:highlight w:val="none"/>
                <w:lang w:val="en-US" w:eastAsia="zh-CN"/>
              </w:rPr>
              <w:t>10分）</w:t>
            </w:r>
            <w:r>
              <w:rPr>
                <w:rFonts w:hint="eastAsia"/>
                <w:szCs w:val="22"/>
                <w:highlight w:val="none"/>
                <w:lang w:eastAsia="zh-CN"/>
              </w:rPr>
              <w:t>：</w:t>
            </w:r>
          </w:p>
          <w:p>
            <w:pPr>
              <w:pStyle w:val="7"/>
              <w:ind w:firstLine="0" w:firstLineChars="0"/>
              <w:rPr>
                <w:rFonts w:hint="eastAsia"/>
                <w:szCs w:val="22"/>
                <w:highlight w:val="none"/>
                <w:lang w:eastAsia="zh-CN"/>
              </w:rPr>
            </w:pPr>
            <w:r>
              <w:rPr>
                <w:rFonts w:hint="eastAsia" w:ascii="宋体" w:hAnsi="宋体"/>
                <w:szCs w:val="21"/>
                <w:highlight w:val="none"/>
              </w:rPr>
              <w:t>评标基准价计算方法：</w:t>
            </w:r>
            <w:r>
              <w:rPr>
                <w:rFonts w:hint="eastAsia"/>
                <w:highlight w:val="none"/>
              </w:rPr>
              <w:t>满足招标文件要求</w:t>
            </w:r>
            <w:r>
              <w:rPr>
                <w:rFonts w:hint="eastAsia"/>
                <w:szCs w:val="22"/>
                <w:highlight w:val="none"/>
                <w:lang w:eastAsia="zh-CN"/>
              </w:rPr>
              <w:t>所有有效投标报价的算术平均值作为评标基准价；</w:t>
            </w:r>
          </w:p>
          <w:p>
            <w:pPr>
              <w:pStyle w:val="7"/>
              <w:ind w:firstLine="0" w:firstLineChars="0"/>
              <w:rPr>
                <w:rFonts w:hint="eastAsia"/>
                <w:color w:val="auto"/>
                <w:szCs w:val="21"/>
                <w:highlight w:val="none"/>
                <w:lang w:val="en-US" w:eastAsia="zh-CN"/>
              </w:rPr>
            </w:pPr>
            <w:r>
              <w:rPr>
                <w:rFonts w:hint="eastAsia"/>
                <w:color w:val="auto"/>
                <w:szCs w:val="21"/>
                <w:highlight w:val="none"/>
                <w:lang w:val="en-US" w:eastAsia="zh-CN"/>
              </w:rPr>
              <w:t>偏差率=（投标人报价－评标基准价）/评标基准价×100%</w:t>
            </w:r>
          </w:p>
          <w:p>
            <w:pPr>
              <w:pStyle w:val="1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投标人有效投标报价与评标基准价相等得最高分10分。当投标报价高于评标基准价时，每高1%在10分的基础上扣1分，扣完为止；当投标报价低于评标基准价时，每低1%在10分的基础上扣0.5分，扣完为止；</w:t>
            </w:r>
          </w:p>
          <w:p>
            <w:pPr>
              <w:pStyle w:val="11"/>
              <w:ind w:left="0" w:leftChars="0" w:firstLine="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（以上评分计算最终保留两位小数（第三位四舍五入），比值不足1%时，按比例折扣）</w:t>
            </w:r>
          </w:p>
          <w:p>
            <w:pPr>
              <w:pStyle w:val="7"/>
              <w:ind w:firstLine="0" w:firstLineChars="0"/>
              <w:rPr>
                <w:szCs w:val="22"/>
                <w:highlight w:val="none"/>
              </w:rPr>
            </w:pPr>
            <w:r>
              <w:rPr>
                <w:szCs w:val="22"/>
                <w:highlight w:val="none"/>
              </w:rPr>
              <w:t>注：1、有效供应商是指实质上响应招标文件要求并通过实质性审核未被否决投标的所有供应商。</w:t>
            </w:r>
          </w:p>
          <w:p>
            <w:pPr>
              <w:pStyle w:val="7"/>
              <w:ind w:firstLine="0" w:firstLineChars="0"/>
              <w:rPr>
                <w:szCs w:val="22"/>
                <w:highlight w:val="none"/>
              </w:rPr>
            </w:pPr>
            <w:r>
              <w:rPr>
                <w:szCs w:val="22"/>
                <w:highlight w:val="none"/>
              </w:rPr>
              <w:t>2、 按照《政府采购促进中小企业发展管理办法》（财库〔2020〕46号）文件规定，对小型和微型企业</w:t>
            </w:r>
            <w:r>
              <w:rPr>
                <w:rFonts w:hint="eastAsia"/>
                <w:szCs w:val="22"/>
                <w:highlight w:val="none"/>
              </w:rPr>
              <w:t>（</w:t>
            </w:r>
            <w:r>
              <w:rPr>
                <w:szCs w:val="22"/>
                <w:highlight w:val="none"/>
              </w:rPr>
              <w:t>监狱企业</w:t>
            </w:r>
            <w:r>
              <w:rPr>
                <w:rFonts w:hint="eastAsia"/>
                <w:szCs w:val="22"/>
                <w:highlight w:val="none"/>
              </w:rPr>
              <w:t>、</w:t>
            </w:r>
            <w:r>
              <w:rPr>
                <w:szCs w:val="22"/>
                <w:highlight w:val="none"/>
              </w:rPr>
              <w:t>残疾人福利单位</w:t>
            </w:r>
            <w:r>
              <w:rPr>
                <w:rFonts w:hint="eastAsia"/>
                <w:szCs w:val="22"/>
                <w:highlight w:val="none"/>
              </w:rPr>
              <w:t>视为</w:t>
            </w:r>
            <w:r>
              <w:rPr>
                <w:szCs w:val="22"/>
                <w:highlight w:val="none"/>
              </w:rPr>
              <w:t>小型和微型企业</w:t>
            </w:r>
            <w:r>
              <w:rPr>
                <w:rFonts w:hint="eastAsia"/>
                <w:szCs w:val="22"/>
                <w:highlight w:val="none"/>
              </w:rPr>
              <w:t>）评标时应当在采用原报价进行评分的基础上增加其价格得分的 5%作为其价格分</w:t>
            </w:r>
            <w:r>
              <w:rPr>
                <w:rFonts w:hint="eastAsia"/>
                <w:szCs w:val="22"/>
                <w:highlight w:val="none"/>
                <w:lang w:eastAsia="zh-CN"/>
              </w:rPr>
              <w:t>，但总分不得超过</w:t>
            </w:r>
            <w:r>
              <w:rPr>
                <w:rFonts w:hint="eastAsia"/>
                <w:szCs w:val="22"/>
                <w:highlight w:val="none"/>
                <w:lang w:val="en-US" w:eastAsia="zh-CN"/>
              </w:rPr>
              <w:t>10分</w:t>
            </w:r>
            <w:r>
              <w:rPr>
                <w:szCs w:val="22"/>
                <w:highlight w:val="none"/>
              </w:rPr>
              <w:t>。供应商须在响应文件中按照相关文件的要求出具中小企业声明函。</w:t>
            </w:r>
          </w:p>
          <w:p>
            <w:pPr>
              <w:pStyle w:val="7"/>
              <w:ind w:firstLine="0" w:firstLineChars="0"/>
              <w:rPr>
                <w:szCs w:val="22"/>
                <w:highlight w:val="none"/>
              </w:rPr>
            </w:pPr>
            <w:r>
              <w:rPr>
                <w:rFonts w:hint="eastAsia"/>
                <w:szCs w:val="22"/>
                <w:highlight w:val="none"/>
              </w:rPr>
              <w:t>3</w:t>
            </w:r>
            <w:r>
              <w:rPr>
                <w:szCs w:val="22"/>
                <w:highlight w:val="none"/>
              </w:rPr>
              <w:t>、根据上述要求计算得出的价格仅限于评标时使用，对</w:t>
            </w:r>
            <w:r>
              <w:rPr>
                <w:rFonts w:hint="eastAsia"/>
                <w:szCs w:val="22"/>
                <w:highlight w:val="none"/>
              </w:rPr>
              <w:t>合同</w:t>
            </w:r>
            <w:r>
              <w:rPr>
                <w:szCs w:val="22"/>
                <w:highlight w:val="none"/>
              </w:rPr>
              <w:t>价格没有任何影响。</w:t>
            </w:r>
          </w:p>
          <w:p>
            <w:pPr>
              <w:pStyle w:val="14"/>
              <w:ind w:left="0" w:leftChars="0" w:firstLine="0" w:firstLineChars="0"/>
              <w:rPr>
                <w:rFonts w:hint="eastAsia"/>
                <w:highlight w:val="none"/>
                <w:lang w:eastAsia="zh-CN"/>
              </w:rPr>
            </w:pPr>
            <w:r>
              <w:rPr>
                <w:rFonts w:hint="eastAsia"/>
                <w:szCs w:val="22"/>
                <w:highlight w:val="none"/>
              </w:rPr>
              <w:t>4</w:t>
            </w:r>
            <w:r>
              <w:rPr>
                <w:szCs w:val="22"/>
                <w:highlight w:val="none"/>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bl>
    <w:p>
      <w:pPr>
        <w:rPr>
          <w:b/>
          <w:sz w:val="28"/>
          <w:szCs w:val="28"/>
          <w:highlight w:val="none"/>
        </w:rPr>
      </w:pPr>
      <w:r>
        <w:rPr>
          <w:rFonts w:hint="eastAsia"/>
          <w:b/>
          <w:sz w:val="28"/>
          <w:szCs w:val="28"/>
          <w:highlight w:val="none"/>
        </w:rPr>
        <w:br w:type="page"/>
      </w:r>
    </w:p>
    <w:p>
      <w:pPr>
        <w:ind w:firstLine="3654" w:firstLineChars="1300"/>
        <w:rPr>
          <w:rFonts w:hint="default" w:eastAsia="宋体"/>
          <w:b/>
          <w:sz w:val="28"/>
          <w:szCs w:val="28"/>
          <w:highlight w:val="none"/>
          <w:lang w:val="en-US" w:eastAsia="zh-CN"/>
        </w:rPr>
      </w:pPr>
      <w:r>
        <w:rPr>
          <w:rFonts w:hint="eastAsia"/>
          <w:b/>
          <w:sz w:val="28"/>
          <w:szCs w:val="28"/>
          <w:highlight w:val="none"/>
        </w:rPr>
        <w:t>技术部分评标办法</w:t>
      </w:r>
      <w:r>
        <w:rPr>
          <w:rFonts w:hint="eastAsia"/>
          <w:b/>
          <w:sz w:val="28"/>
          <w:szCs w:val="28"/>
          <w:highlight w:val="none"/>
          <w:lang w:eastAsia="zh-CN"/>
        </w:rPr>
        <w:t>（</w:t>
      </w:r>
      <w:r>
        <w:rPr>
          <w:rFonts w:hint="eastAsia"/>
          <w:b/>
          <w:sz w:val="28"/>
          <w:szCs w:val="28"/>
          <w:highlight w:val="none"/>
          <w:lang w:val="en-US" w:eastAsia="zh-CN"/>
        </w:rPr>
        <w:t>50分）</w:t>
      </w:r>
    </w:p>
    <w:p>
      <w:pPr>
        <w:numPr>
          <w:ilvl w:val="0"/>
          <w:numId w:val="0"/>
        </w:numPr>
        <w:jc w:val="both"/>
        <w:rPr>
          <w:rFonts w:hint="eastAsia"/>
          <w:b/>
          <w:sz w:val="28"/>
          <w:szCs w:val="28"/>
          <w:highlight w:val="none"/>
          <w:lang w:val="en-US" w:eastAsia="zh-CN"/>
        </w:rPr>
      </w:pPr>
      <w:r>
        <w:rPr>
          <w:rFonts w:hint="eastAsia"/>
          <w:b/>
          <w:sz w:val="28"/>
          <w:szCs w:val="28"/>
          <w:highlight w:val="none"/>
          <w:lang w:val="en-US" w:eastAsia="zh-CN"/>
        </w:rPr>
        <w:t>1、土建及安装部分（30分）：</w:t>
      </w:r>
    </w:p>
    <w:tbl>
      <w:tblPr>
        <w:tblStyle w:val="36"/>
        <w:tblW w:w="9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593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80" w:type="dxa"/>
            <w:noWrap w:val="0"/>
            <w:vAlign w:val="center"/>
          </w:tcPr>
          <w:p>
            <w:pPr>
              <w:pStyle w:val="54"/>
              <w:shd w:val="clear" w:color="auto" w:fill="auto"/>
              <w:spacing w:before="0" w:line="360" w:lineRule="auto"/>
              <w:ind w:right="40"/>
              <w:jc w:val="center"/>
              <w:rPr>
                <w:rFonts w:hint="eastAsia" w:ascii="华文中宋" w:hAnsi="华文中宋" w:eastAsia="华文中宋" w:cs="华文中宋"/>
                <w:color w:val="auto"/>
                <w:sz w:val="21"/>
                <w:szCs w:val="21"/>
                <w:highlight w:val="none"/>
                <w:lang w:bidi="zh-CN"/>
              </w:rPr>
            </w:pPr>
            <w:r>
              <w:rPr>
                <w:rFonts w:hint="eastAsia" w:ascii="华文中宋" w:hAnsi="华文中宋" w:eastAsia="华文中宋" w:cs="华文中宋"/>
                <w:color w:val="auto"/>
                <w:sz w:val="21"/>
                <w:szCs w:val="21"/>
                <w:highlight w:val="none"/>
                <w:lang w:bidi="zh-CN"/>
              </w:rPr>
              <w:t>评分因素</w:t>
            </w:r>
          </w:p>
        </w:tc>
        <w:tc>
          <w:tcPr>
            <w:tcW w:w="5934" w:type="dxa"/>
            <w:noWrap w:val="0"/>
            <w:vAlign w:val="center"/>
          </w:tcPr>
          <w:p>
            <w:pPr>
              <w:pStyle w:val="54"/>
              <w:shd w:val="clear" w:color="auto" w:fill="auto"/>
              <w:spacing w:before="0" w:line="360" w:lineRule="auto"/>
              <w:ind w:left="20"/>
              <w:jc w:val="center"/>
              <w:rPr>
                <w:rFonts w:hint="eastAsia" w:ascii="华文中宋" w:hAnsi="华文中宋" w:eastAsia="华文中宋" w:cs="华文中宋"/>
                <w:color w:val="auto"/>
                <w:sz w:val="21"/>
                <w:szCs w:val="21"/>
                <w:highlight w:val="none"/>
                <w:lang w:bidi="zh-CN"/>
              </w:rPr>
            </w:pPr>
            <w:r>
              <w:rPr>
                <w:rFonts w:hint="eastAsia" w:ascii="华文中宋" w:hAnsi="华文中宋" w:eastAsia="华文中宋" w:cs="华文中宋"/>
                <w:color w:val="auto"/>
                <w:sz w:val="21"/>
                <w:szCs w:val="21"/>
                <w:highlight w:val="none"/>
                <w:lang w:bidi="zh-CN"/>
              </w:rPr>
              <w:t>评分标准</w:t>
            </w:r>
          </w:p>
        </w:tc>
        <w:tc>
          <w:tcPr>
            <w:tcW w:w="1845" w:type="dxa"/>
            <w:noWrap w:val="0"/>
            <w:vAlign w:val="center"/>
          </w:tcPr>
          <w:p>
            <w:pPr>
              <w:pStyle w:val="54"/>
              <w:shd w:val="clear" w:color="auto" w:fill="auto"/>
              <w:spacing w:before="0" w:line="360" w:lineRule="auto"/>
              <w:ind w:left="20"/>
              <w:jc w:val="center"/>
              <w:rPr>
                <w:rFonts w:hint="eastAsia" w:ascii="华文中宋" w:hAnsi="华文中宋" w:eastAsia="华文中宋" w:cs="华文中宋"/>
                <w:color w:val="auto"/>
                <w:sz w:val="21"/>
                <w:szCs w:val="21"/>
                <w:highlight w:val="none"/>
                <w:lang w:bidi="zh-CN"/>
              </w:rPr>
            </w:pPr>
            <w:r>
              <w:rPr>
                <w:rFonts w:hint="eastAsia" w:ascii="华文中宋" w:hAnsi="华文中宋" w:eastAsia="华文中宋" w:cs="华文中宋"/>
                <w:color w:val="auto"/>
                <w:sz w:val="21"/>
                <w:szCs w:val="21"/>
                <w:highlight w:val="none"/>
                <w:lang w:bidi="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2180" w:type="dxa"/>
            <w:vMerge w:val="restart"/>
            <w:noWrap w:val="0"/>
            <w:vAlign w:val="center"/>
          </w:tcPr>
          <w:p>
            <w:pPr>
              <w:keepNext w:val="0"/>
              <w:keepLines w:val="0"/>
              <w:pageBreakBefore w:val="0"/>
              <w:wordWrap/>
              <w:overflowPunct/>
              <w:topLinePunct w:val="0"/>
              <w:autoSpaceDE w:val="0"/>
              <w:autoSpaceDN w:val="0"/>
              <w:bidi w:val="0"/>
              <w:adjustRightInd w:val="0"/>
              <w:spacing w:line="360" w:lineRule="auto"/>
              <w:jc w:val="center"/>
              <w:rPr>
                <w:rFonts w:hint="eastAsia" w:ascii="华文中宋" w:hAnsi="华文中宋" w:eastAsia="华文中宋" w:cs="华文中宋"/>
                <w:spacing w:val="-2"/>
                <w:sz w:val="21"/>
                <w:szCs w:val="21"/>
                <w:highlight w:val="none"/>
                <w:lang w:eastAsia="zh-CN"/>
              </w:rPr>
            </w:pPr>
            <w:r>
              <w:rPr>
                <w:rFonts w:hint="eastAsia" w:ascii="华文中宋" w:hAnsi="华文中宋" w:eastAsia="华文中宋" w:cs="华文中宋"/>
                <w:color w:val="000000"/>
                <w:sz w:val="21"/>
                <w:szCs w:val="21"/>
                <w:highlight w:val="none"/>
              </w:rPr>
              <w:t>1、主要施工方案与技术措施</w:t>
            </w:r>
          </w:p>
        </w:tc>
        <w:tc>
          <w:tcPr>
            <w:tcW w:w="5934" w:type="dxa"/>
            <w:noWrap w:val="0"/>
            <w:vAlign w:val="center"/>
          </w:tcPr>
          <w:p>
            <w:pPr>
              <w:keepNext w:val="0"/>
              <w:keepLines w:val="0"/>
              <w:pageBreakBefore w:val="0"/>
              <w:wordWrap/>
              <w:overflowPunct/>
              <w:topLinePunct w:val="0"/>
              <w:autoSpaceDE w:val="0"/>
              <w:autoSpaceDN w:val="0"/>
              <w:bidi w:val="0"/>
              <w:adjustRightInd w:val="0"/>
              <w:spacing w:line="360" w:lineRule="auto"/>
              <w:rPr>
                <w:rFonts w:hint="eastAsia" w:ascii="华文中宋" w:hAnsi="华文中宋" w:eastAsia="华文中宋" w:cs="华文中宋"/>
                <w:spacing w:val="-2"/>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主要施工方案及方法先进可行，技术措施科学得当。</w:t>
            </w:r>
          </w:p>
        </w:tc>
        <w:tc>
          <w:tcPr>
            <w:tcW w:w="1845" w:type="dxa"/>
            <w:noWrap w:val="0"/>
            <w:vAlign w:val="center"/>
          </w:tcPr>
          <w:p>
            <w:pPr>
              <w:jc w:val="center"/>
              <w:rPr>
                <w:rFonts w:hint="eastAsia" w:ascii="华文中宋" w:hAnsi="华文中宋" w:eastAsia="华文中宋" w:cs="华文中宋"/>
                <w:spacing w:val="-2"/>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80" w:type="dxa"/>
            <w:vMerge w:val="continue"/>
            <w:noWrap w:val="0"/>
            <w:vAlign w:val="center"/>
          </w:tcPr>
          <w:p>
            <w:pPr>
              <w:keepNext w:val="0"/>
              <w:keepLines w:val="0"/>
              <w:pageBreakBefore w:val="0"/>
              <w:wordWrap/>
              <w:overflowPunct/>
              <w:topLinePunct w:val="0"/>
              <w:autoSpaceDE w:val="0"/>
              <w:autoSpaceDN w:val="0"/>
              <w:bidi w:val="0"/>
              <w:adjustRightInd w:val="0"/>
              <w:spacing w:line="360" w:lineRule="auto"/>
              <w:jc w:val="center"/>
              <w:rPr>
                <w:rFonts w:hint="eastAsia" w:ascii="华文中宋" w:hAnsi="华文中宋" w:eastAsia="华文中宋" w:cs="华文中宋"/>
                <w:color w:val="000000"/>
                <w:sz w:val="21"/>
                <w:szCs w:val="21"/>
                <w:highlight w:val="none"/>
              </w:rPr>
            </w:pPr>
          </w:p>
        </w:tc>
        <w:tc>
          <w:tcPr>
            <w:tcW w:w="5934" w:type="dxa"/>
            <w:noWrap w:val="0"/>
            <w:vAlign w:val="center"/>
          </w:tcPr>
          <w:p>
            <w:pPr>
              <w:keepNext w:val="0"/>
              <w:keepLines w:val="0"/>
              <w:pageBreakBefore w:val="0"/>
              <w:wordWrap/>
              <w:overflowPunct/>
              <w:topLinePunct w:val="0"/>
              <w:autoSpaceDE w:val="0"/>
              <w:autoSpaceDN w:val="0"/>
              <w:bidi w:val="0"/>
              <w:adjustRightInd w:val="0"/>
              <w:spacing w:line="360" w:lineRule="auto"/>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主要施工方案及方法合理，技术措施得当。</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2180" w:type="dxa"/>
            <w:vMerge w:val="continue"/>
            <w:noWrap w:val="0"/>
            <w:vAlign w:val="center"/>
          </w:tcPr>
          <w:p>
            <w:pPr>
              <w:keepNext w:val="0"/>
              <w:keepLines w:val="0"/>
              <w:pageBreakBefore w:val="0"/>
              <w:wordWrap/>
              <w:overflowPunct/>
              <w:topLinePunct w:val="0"/>
              <w:autoSpaceDE w:val="0"/>
              <w:autoSpaceDN w:val="0"/>
              <w:bidi w:val="0"/>
              <w:adjustRightInd w:val="0"/>
              <w:spacing w:line="360" w:lineRule="auto"/>
              <w:jc w:val="center"/>
              <w:rPr>
                <w:rFonts w:hint="eastAsia" w:ascii="华文中宋" w:hAnsi="华文中宋" w:eastAsia="华文中宋" w:cs="华文中宋"/>
                <w:color w:val="000000"/>
                <w:sz w:val="21"/>
                <w:szCs w:val="21"/>
                <w:highlight w:val="none"/>
              </w:rPr>
            </w:pPr>
          </w:p>
        </w:tc>
        <w:tc>
          <w:tcPr>
            <w:tcW w:w="5934" w:type="dxa"/>
            <w:noWrap w:val="0"/>
            <w:vAlign w:val="center"/>
          </w:tcPr>
          <w:p>
            <w:pPr>
              <w:keepNext w:val="0"/>
              <w:keepLines w:val="0"/>
              <w:pageBreakBefore w:val="0"/>
              <w:wordWrap/>
              <w:overflowPunct/>
              <w:topLinePunct w:val="0"/>
              <w:autoSpaceDE w:val="0"/>
              <w:autoSpaceDN w:val="0"/>
              <w:bidi w:val="0"/>
              <w:adjustRightInd w:val="0"/>
              <w:spacing w:line="360" w:lineRule="auto"/>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有基本的施工方案及技术措施方法</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sz w:val="21"/>
                <w:szCs w:val="21"/>
                <w:highlight w:val="none"/>
                <w:lang w:val="en-US" w:eastAsia="zh-CN"/>
              </w:rPr>
              <w:t>2、</w:t>
            </w:r>
            <w:r>
              <w:rPr>
                <w:rFonts w:hint="eastAsia" w:ascii="华文中宋" w:hAnsi="华文中宋" w:eastAsia="华文中宋" w:cs="华文中宋"/>
                <w:sz w:val="21"/>
                <w:szCs w:val="21"/>
                <w:highlight w:val="none"/>
              </w:rPr>
              <w:t>质量管理体系与措施</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组织机构形式合理，有完善的指挥系统、质量监控系统、联络协调系统，对项目提出先进、可行、具体的保证措施</w:t>
            </w:r>
          </w:p>
        </w:tc>
        <w:tc>
          <w:tcPr>
            <w:tcW w:w="1845" w:type="dxa"/>
            <w:noWrap w:val="0"/>
            <w:vAlign w:val="center"/>
          </w:tcPr>
          <w:p>
            <w:pPr>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组织机构形式基本合理，指挥系统、质量监控系统、联络协调系统，具体措施可行。</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组织机构形式</w:t>
            </w:r>
            <w:r>
              <w:rPr>
                <w:rFonts w:hint="eastAsia" w:ascii="华文中宋" w:hAnsi="华文中宋" w:eastAsia="华文中宋" w:cs="华文中宋"/>
                <w:sz w:val="21"/>
                <w:szCs w:val="21"/>
                <w:highlight w:val="none"/>
                <w:lang w:val="en-US" w:eastAsia="zh-CN"/>
              </w:rPr>
              <w:t>较差</w:t>
            </w:r>
            <w:r>
              <w:rPr>
                <w:rFonts w:hint="eastAsia" w:ascii="华文中宋" w:hAnsi="华文中宋" w:eastAsia="华文中宋" w:cs="华文中宋"/>
                <w:sz w:val="21"/>
                <w:szCs w:val="21"/>
                <w:highlight w:val="none"/>
              </w:rPr>
              <w:t>，指挥系统、质量监控系统、联络协调系统，具体措施</w:t>
            </w:r>
            <w:r>
              <w:rPr>
                <w:rFonts w:hint="eastAsia" w:ascii="华文中宋" w:hAnsi="华文中宋" w:eastAsia="华文中宋" w:cs="华文中宋"/>
                <w:sz w:val="21"/>
                <w:szCs w:val="21"/>
                <w:highlight w:val="none"/>
                <w:lang w:val="en-US" w:eastAsia="zh-CN"/>
              </w:rPr>
              <w:t>不明确</w:t>
            </w:r>
            <w:r>
              <w:rPr>
                <w:rFonts w:hint="eastAsia" w:ascii="华文中宋" w:hAnsi="华文中宋" w:eastAsia="华文中宋" w:cs="华文中宋"/>
                <w:sz w:val="21"/>
                <w:szCs w:val="21"/>
                <w:highlight w:val="none"/>
              </w:rPr>
              <w:t>。</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rPr>
              <w:t>3、安全管理体系与措施</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安全</w:t>
            </w:r>
            <w:r>
              <w:rPr>
                <w:rFonts w:hint="eastAsia" w:ascii="华文中宋" w:hAnsi="华文中宋" w:eastAsia="华文中宋" w:cs="华文中宋"/>
                <w:sz w:val="21"/>
                <w:szCs w:val="21"/>
                <w:highlight w:val="none"/>
                <w:lang w:val="en-US" w:eastAsia="zh-CN"/>
              </w:rPr>
              <w:t>管理</w:t>
            </w:r>
            <w:r>
              <w:rPr>
                <w:rFonts w:hint="eastAsia" w:ascii="华文中宋" w:hAnsi="华文中宋" w:eastAsia="华文中宋" w:cs="华文中宋"/>
                <w:sz w:val="21"/>
                <w:szCs w:val="21"/>
                <w:highlight w:val="none"/>
              </w:rPr>
              <w:t>体系健全，安全管理制度完善，安全管理目标具体，全员安全责任制明确，现场安全管理组织机构、人员配备满足国家规定要求</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eastAsia="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安全</w:t>
            </w:r>
            <w:r>
              <w:rPr>
                <w:rFonts w:hint="eastAsia" w:ascii="华文中宋" w:hAnsi="华文中宋" w:eastAsia="华文中宋" w:cs="华文中宋"/>
                <w:sz w:val="21"/>
                <w:szCs w:val="21"/>
                <w:highlight w:val="none"/>
                <w:lang w:val="en-US" w:eastAsia="zh-CN"/>
              </w:rPr>
              <w:t>管理</w:t>
            </w:r>
            <w:r>
              <w:rPr>
                <w:rFonts w:hint="eastAsia" w:ascii="华文中宋" w:hAnsi="华文中宋" w:eastAsia="华文中宋" w:cs="华文中宋"/>
                <w:sz w:val="21"/>
                <w:szCs w:val="21"/>
                <w:highlight w:val="none"/>
              </w:rPr>
              <w:t>体系健全，管理制度完善，技术方案科学合理、先进</w:t>
            </w:r>
            <w:r>
              <w:rPr>
                <w:rFonts w:hint="eastAsia" w:ascii="华文中宋" w:hAnsi="华文中宋" w:eastAsia="华文中宋" w:cs="华文中宋"/>
                <w:sz w:val="21"/>
                <w:szCs w:val="21"/>
                <w:highlight w:val="none"/>
                <w:lang w:eastAsia="zh-CN"/>
              </w:rPr>
              <w:t>。</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rPr>
              <w:t>安全</w:t>
            </w:r>
            <w:r>
              <w:rPr>
                <w:rFonts w:hint="eastAsia" w:ascii="华文中宋" w:hAnsi="华文中宋" w:eastAsia="华文中宋" w:cs="华文中宋"/>
                <w:sz w:val="21"/>
                <w:szCs w:val="21"/>
                <w:highlight w:val="none"/>
                <w:lang w:val="en-US" w:eastAsia="zh-CN"/>
              </w:rPr>
              <w:t>管理</w:t>
            </w:r>
            <w:r>
              <w:rPr>
                <w:rFonts w:hint="eastAsia" w:ascii="华文中宋" w:hAnsi="华文中宋" w:eastAsia="华文中宋" w:cs="华文中宋"/>
                <w:sz w:val="21"/>
                <w:szCs w:val="21"/>
                <w:highlight w:val="none"/>
              </w:rPr>
              <w:t>体系</w:t>
            </w:r>
            <w:r>
              <w:rPr>
                <w:rFonts w:hint="eastAsia" w:ascii="华文中宋" w:hAnsi="华文中宋" w:eastAsia="华文中宋" w:cs="华文中宋"/>
                <w:sz w:val="21"/>
                <w:szCs w:val="21"/>
                <w:highlight w:val="none"/>
                <w:lang w:val="en-US" w:eastAsia="zh-CN"/>
              </w:rPr>
              <w:t>不完善</w:t>
            </w:r>
            <w:r>
              <w:rPr>
                <w:rFonts w:hint="eastAsia" w:ascii="华文中宋" w:hAnsi="华文中宋" w:eastAsia="华文中宋" w:cs="华文中宋"/>
                <w:sz w:val="21"/>
                <w:szCs w:val="21"/>
                <w:highlight w:val="none"/>
              </w:rPr>
              <w:t>，管理制度</w:t>
            </w:r>
            <w:r>
              <w:rPr>
                <w:rFonts w:hint="eastAsia" w:ascii="华文中宋" w:hAnsi="华文中宋" w:eastAsia="华文中宋" w:cs="华文中宋"/>
                <w:sz w:val="21"/>
                <w:szCs w:val="21"/>
                <w:highlight w:val="none"/>
                <w:lang w:val="en-US" w:eastAsia="zh-CN"/>
              </w:rPr>
              <w:t>不明确</w:t>
            </w:r>
            <w:r>
              <w:rPr>
                <w:rFonts w:hint="eastAsia" w:ascii="华文中宋" w:hAnsi="华文中宋" w:eastAsia="华文中宋" w:cs="华文中宋"/>
                <w:sz w:val="21"/>
                <w:szCs w:val="21"/>
                <w:highlight w:val="none"/>
              </w:rPr>
              <w:t>，技术方案</w:t>
            </w:r>
            <w:r>
              <w:rPr>
                <w:rFonts w:hint="eastAsia" w:ascii="华文中宋" w:hAnsi="华文中宋" w:eastAsia="华文中宋" w:cs="华文中宋"/>
                <w:sz w:val="21"/>
                <w:szCs w:val="21"/>
                <w:highlight w:val="none"/>
                <w:lang w:val="en-US" w:eastAsia="zh-CN"/>
              </w:rPr>
              <w:t>不清晰</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rPr>
              <w:t>4、文明施工、环境保护管理体系</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创安全文明标准化工地目标明确，有针对项目实际情况，科学可行的创建计划和符合相关标准、规范、规程</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eastAsia="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有针对项目实际情况，提供科学</w:t>
            </w:r>
            <w:r>
              <w:rPr>
                <w:rFonts w:hint="eastAsia" w:ascii="华文中宋" w:hAnsi="华文中宋" w:eastAsia="华文中宋" w:cs="华文中宋"/>
                <w:color w:val="000000"/>
                <w:sz w:val="21"/>
                <w:szCs w:val="21"/>
                <w:highlight w:val="none"/>
              </w:rPr>
              <w:t>可行的安全文明施工技术措施与</w:t>
            </w:r>
            <w:r>
              <w:rPr>
                <w:rFonts w:hint="eastAsia" w:ascii="华文中宋" w:hAnsi="华文中宋" w:eastAsia="华文中宋" w:cs="华文中宋"/>
                <w:sz w:val="21"/>
                <w:szCs w:val="21"/>
                <w:highlight w:val="none"/>
              </w:rPr>
              <w:t>完善的环境保护管理</w:t>
            </w:r>
            <w:r>
              <w:rPr>
                <w:rFonts w:hint="eastAsia" w:ascii="华文中宋" w:hAnsi="华文中宋" w:eastAsia="华文中宋" w:cs="华文中宋"/>
                <w:color w:val="000000"/>
                <w:sz w:val="21"/>
                <w:szCs w:val="21"/>
                <w:highlight w:val="none"/>
              </w:rPr>
              <w:t>体系</w:t>
            </w:r>
            <w:r>
              <w:rPr>
                <w:rFonts w:hint="eastAsia" w:ascii="华文中宋" w:hAnsi="华文中宋" w:eastAsia="华文中宋" w:cs="华文中宋"/>
                <w:color w:val="000000"/>
                <w:sz w:val="21"/>
                <w:szCs w:val="21"/>
                <w:highlight w:val="none"/>
                <w:lang w:eastAsia="zh-CN"/>
              </w:rPr>
              <w:t>。</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rPr>
              <w:t>文明施工、环境保护管理体系</w:t>
            </w:r>
            <w:r>
              <w:rPr>
                <w:rFonts w:hint="eastAsia" w:ascii="华文中宋" w:hAnsi="华文中宋" w:eastAsia="华文中宋" w:cs="华文中宋"/>
                <w:sz w:val="21"/>
                <w:szCs w:val="21"/>
                <w:highlight w:val="none"/>
                <w:lang w:val="en-US" w:eastAsia="zh-CN"/>
              </w:rPr>
              <w:t>不完善、不合理</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rPr>
              <w:t>5、工期保证措施</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eastAsia="zh-CN"/>
              </w:rPr>
            </w:pPr>
            <w:r>
              <w:rPr>
                <w:rFonts w:hint="eastAsia" w:ascii="华文中宋" w:hAnsi="华文中宋" w:eastAsia="华文中宋" w:cs="华文中宋"/>
                <w:sz w:val="21"/>
                <w:szCs w:val="21"/>
                <w:highlight w:val="none"/>
              </w:rPr>
              <w:t>工期承诺满足招标文件要求，工期保证措施合理且有针对性，</w:t>
            </w:r>
            <w:r>
              <w:rPr>
                <w:rFonts w:hint="eastAsia" w:ascii="华文中宋" w:hAnsi="华文中宋" w:eastAsia="华文中宋" w:cs="华文中宋"/>
                <w:color w:val="000000"/>
                <w:sz w:val="21"/>
                <w:szCs w:val="21"/>
                <w:highlight w:val="none"/>
              </w:rPr>
              <w:t>工程进度计划科学合理</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auto"/>
                <w:sz w:val="21"/>
                <w:szCs w:val="21"/>
                <w:highlight w:val="none"/>
                <w:lang w:val="zh-CN"/>
              </w:rPr>
              <w:t>，有具体的违约责任承诺</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color w:val="auto"/>
                <w:sz w:val="21"/>
                <w:szCs w:val="21"/>
                <w:highlight w:val="none"/>
                <w:lang w:val="zh-CN"/>
              </w:rPr>
              <w:t>工期承诺满足招标文件要求，工期保证措施合理且有针对性。</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lang w:val="en-US" w:eastAsia="zh-CN"/>
              </w:rPr>
              <w:t>没有具体</w:t>
            </w:r>
            <w:r>
              <w:rPr>
                <w:rFonts w:hint="eastAsia" w:ascii="华文中宋" w:hAnsi="华文中宋" w:eastAsia="华文中宋" w:cs="华文中宋"/>
                <w:sz w:val="21"/>
                <w:szCs w:val="21"/>
                <w:highlight w:val="none"/>
              </w:rPr>
              <w:t>工期保证措施</w:t>
            </w:r>
            <w:r>
              <w:rPr>
                <w:rFonts w:hint="eastAsia" w:ascii="华文中宋" w:hAnsi="华文中宋" w:eastAsia="华文中宋" w:cs="华文中宋"/>
                <w:sz w:val="21"/>
                <w:szCs w:val="21"/>
                <w:highlight w:val="none"/>
                <w:lang w:eastAsia="zh-CN"/>
              </w:rPr>
              <w:t>、</w:t>
            </w:r>
            <w:r>
              <w:rPr>
                <w:rFonts w:hint="eastAsia" w:ascii="华文中宋" w:hAnsi="华文中宋" w:eastAsia="华文中宋" w:cs="华文中宋"/>
                <w:sz w:val="21"/>
                <w:szCs w:val="21"/>
                <w:highlight w:val="none"/>
                <w:lang w:val="en-US" w:eastAsia="zh-CN"/>
              </w:rPr>
              <w:t>不能满足工期要求</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rPr>
              <w:t>6、拟投入资源配备计划</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机械投入计划与工期进度计划呼应，机械设备配置合理、先进，劳动力与物资调配投入计划合理、准确，很好满足施工需要</w:t>
            </w:r>
            <w:r>
              <w:rPr>
                <w:rFonts w:hint="eastAsia" w:ascii="华文中宋" w:hAnsi="华文中宋" w:eastAsia="华文中宋" w:cs="华文中宋"/>
                <w:sz w:val="21"/>
                <w:szCs w:val="21"/>
                <w:highlight w:val="none"/>
                <w:lang w:eastAsia="zh-CN"/>
              </w:rPr>
              <w:t>。</w:t>
            </w:r>
          </w:p>
        </w:tc>
        <w:tc>
          <w:tcPr>
            <w:tcW w:w="1845" w:type="dxa"/>
            <w:noWrap w:val="0"/>
            <w:vAlign w:val="center"/>
          </w:tcPr>
          <w:p>
            <w:pPr>
              <w:jc w:val="center"/>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color w:val="auto"/>
                <w:sz w:val="21"/>
                <w:szCs w:val="21"/>
                <w:highlight w:val="none"/>
                <w:lang w:val="zh-CN"/>
              </w:rPr>
              <w:t>投入计划与进度计划</w:t>
            </w:r>
            <w:r>
              <w:rPr>
                <w:rFonts w:hint="eastAsia" w:ascii="华文中宋" w:hAnsi="华文中宋" w:eastAsia="华文中宋" w:cs="华文中宋"/>
                <w:color w:val="auto"/>
                <w:sz w:val="21"/>
                <w:szCs w:val="21"/>
                <w:highlight w:val="none"/>
                <w:lang w:val="en-US" w:eastAsia="zh-CN"/>
              </w:rPr>
              <w:t>相对应</w:t>
            </w:r>
            <w:r>
              <w:rPr>
                <w:rFonts w:hint="eastAsia" w:ascii="华文中宋" w:hAnsi="华文中宋" w:eastAsia="华文中宋" w:cs="华文中宋"/>
                <w:color w:val="auto"/>
                <w:sz w:val="21"/>
                <w:szCs w:val="21"/>
                <w:highlight w:val="none"/>
                <w:lang w:val="zh-CN"/>
              </w:rPr>
              <w:t>，采用机械设备且配置合理、先进，满足安全技术规范和施工进度需要</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投入计划与进度计划</w:t>
            </w:r>
            <w:r>
              <w:rPr>
                <w:rFonts w:hint="eastAsia" w:ascii="华文中宋" w:hAnsi="华文中宋" w:eastAsia="华文中宋" w:cs="华文中宋"/>
                <w:sz w:val="21"/>
                <w:szCs w:val="21"/>
                <w:highlight w:val="none"/>
                <w:lang w:val="en-US" w:eastAsia="zh-CN"/>
              </w:rPr>
              <w:t>不清晰</w:t>
            </w:r>
            <w:r>
              <w:rPr>
                <w:rFonts w:hint="eastAsia" w:ascii="华文中宋" w:hAnsi="华文中宋" w:eastAsia="华文中宋" w:cs="华文中宋"/>
                <w:sz w:val="21"/>
                <w:szCs w:val="21"/>
                <w:highlight w:val="none"/>
              </w:rPr>
              <w:t>，机械设备配置</w:t>
            </w:r>
            <w:r>
              <w:rPr>
                <w:rFonts w:hint="eastAsia" w:ascii="华文中宋" w:hAnsi="华文中宋" w:eastAsia="华文中宋" w:cs="华文中宋"/>
                <w:sz w:val="21"/>
                <w:szCs w:val="21"/>
                <w:highlight w:val="none"/>
                <w:lang w:eastAsia="zh-CN"/>
              </w:rPr>
              <w:t>、</w:t>
            </w:r>
            <w:r>
              <w:rPr>
                <w:rFonts w:hint="eastAsia" w:ascii="华文中宋" w:hAnsi="华文中宋" w:eastAsia="华文中宋" w:cs="华文中宋"/>
                <w:sz w:val="21"/>
                <w:szCs w:val="21"/>
                <w:highlight w:val="none"/>
              </w:rPr>
              <w:t>安全技术规范和施工基本合理</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rPr>
              <w:t>7、施工进度表或网络计划图</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关键线路清晰、准确、完整，计划编制合理可行，满足招标文件对工期的要求</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关键线路完整，计划编制可行，</w:t>
            </w:r>
            <w:r>
              <w:rPr>
                <w:rFonts w:hint="eastAsia" w:ascii="华文中宋" w:hAnsi="华文中宋" w:eastAsia="华文中宋" w:cs="华文中宋"/>
                <w:color w:val="auto"/>
                <w:sz w:val="21"/>
                <w:szCs w:val="21"/>
                <w:highlight w:val="none"/>
                <w:lang w:val="en-US" w:eastAsia="zh-CN"/>
              </w:rPr>
              <w:t>基本</w:t>
            </w:r>
            <w:r>
              <w:rPr>
                <w:rFonts w:hint="eastAsia" w:ascii="华文中宋" w:hAnsi="华文中宋" w:eastAsia="华文中宋" w:cs="华文中宋"/>
                <w:color w:val="auto"/>
                <w:sz w:val="21"/>
                <w:szCs w:val="21"/>
                <w:highlight w:val="none"/>
                <w:lang w:val="zh-CN"/>
              </w:rPr>
              <w:t>满足招标文件对工期的要求</w:t>
            </w:r>
          </w:p>
        </w:tc>
        <w:tc>
          <w:tcPr>
            <w:tcW w:w="1845" w:type="dxa"/>
            <w:noWrap w:val="0"/>
            <w:vAlign w:val="center"/>
          </w:tcPr>
          <w:p>
            <w:pPr>
              <w:jc w:val="center"/>
              <w:rPr>
                <w:rFonts w:hint="eastAsia"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关键线路</w:t>
            </w:r>
            <w:r>
              <w:rPr>
                <w:rFonts w:hint="eastAsia" w:ascii="华文中宋" w:hAnsi="华文中宋" w:eastAsia="华文中宋" w:cs="华文中宋"/>
                <w:color w:val="auto"/>
                <w:sz w:val="21"/>
                <w:szCs w:val="21"/>
                <w:highlight w:val="none"/>
                <w:lang w:val="en-US" w:eastAsia="zh-CN"/>
              </w:rPr>
              <w:t>模糊</w:t>
            </w:r>
            <w:r>
              <w:rPr>
                <w:rFonts w:hint="eastAsia" w:ascii="华文中宋" w:hAnsi="华文中宋" w:eastAsia="华文中宋" w:cs="华文中宋"/>
                <w:color w:val="auto"/>
                <w:sz w:val="21"/>
                <w:szCs w:val="21"/>
                <w:highlight w:val="none"/>
                <w:lang w:val="zh-CN"/>
              </w:rPr>
              <w:t>，计划编制合理，</w:t>
            </w:r>
            <w:r>
              <w:rPr>
                <w:rFonts w:hint="eastAsia" w:ascii="华文中宋" w:hAnsi="华文中宋" w:eastAsia="华文中宋" w:cs="华文中宋"/>
                <w:color w:val="auto"/>
                <w:sz w:val="21"/>
                <w:szCs w:val="21"/>
                <w:highlight w:val="none"/>
                <w:lang w:val="en-US" w:eastAsia="zh-CN"/>
              </w:rPr>
              <w:t>不能够完全</w:t>
            </w:r>
            <w:r>
              <w:rPr>
                <w:rFonts w:hint="eastAsia" w:ascii="华文中宋" w:hAnsi="华文中宋" w:eastAsia="华文中宋" w:cs="华文中宋"/>
                <w:color w:val="auto"/>
                <w:sz w:val="21"/>
                <w:szCs w:val="21"/>
                <w:highlight w:val="none"/>
                <w:lang w:val="zh-CN"/>
              </w:rPr>
              <w:t>满足招标文件对工期的要求</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lang w:val="en-US" w:eastAsia="zh-CN"/>
              </w:rPr>
              <w:t>8、</w:t>
            </w:r>
            <w:r>
              <w:rPr>
                <w:rFonts w:hint="eastAsia" w:ascii="华文中宋" w:hAnsi="华文中宋" w:eastAsia="华文中宋" w:cs="华文中宋"/>
                <w:sz w:val="21"/>
                <w:szCs w:val="21"/>
                <w:highlight w:val="none"/>
              </w:rPr>
              <w:t>技术创新的应用实施措施</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（1）节能减排、（2）绿色施工、（3）工艺创新、符合工程情况，具有针对性、可行性、经济适用性。</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color w:val="auto"/>
                <w:sz w:val="21"/>
                <w:szCs w:val="21"/>
                <w:highlight w:val="none"/>
                <w:lang w:val="zh-CN"/>
              </w:rPr>
              <w:t>技术创新的应用实施措施基本符合工程情况，具有针对性。</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lang w:val="en-US" w:eastAsia="zh-CN"/>
              </w:rPr>
              <w:t>9、</w:t>
            </w:r>
            <w:r>
              <w:rPr>
                <w:rFonts w:hint="eastAsia" w:ascii="华文中宋" w:hAnsi="华文中宋" w:eastAsia="华文中宋" w:cs="华文中宋"/>
                <w:sz w:val="21"/>
                <w:szCs w:val="21"/>
                <w:highlight w:val="none"/>
              </w:rPr>
              <w:t>采用新工艺、新技术、新设备、新材料、BIM等的程度</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采用新工艺、新技术、新设备、新材料、BIM等的程度满足设计要求，符合施工需要和相应技术标准等规定，经济适用。</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采用新工艺、新技术、新设备、新材料、BIM等的程度满足设计要求，基本符合施工要求和相应技术标准等规定</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lang w:val="en-US" w:eastAsia="zh-CN"/>
              </w:rPr>
              <w:t>10、</w:t>
            </w:r>
            <w:r>
              <w:rPr>
                <w:rFonts w:hint="eastAsia" w:ascii="华文中宋" w:hAnsi="华文中宋" w:eastAsia="华文中宋" w:cs="华文中宋"/>
                <w:sz w:val="21"/>
                <w:szCs w:val="21"/>
                <w:highlight w:val="none"/>
              </w:rPr>
              <w:t>施工现场实施信息化监控和数据处理</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施工现场实施信息化监控和数据处理系统布置合理，满足需要。</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rPr>
              <w:t>施工现场</w:t>
            </w:r>
            <w:r>
              <w:rPr>
                <w:rFonts w:hint="eastAsia" w:ascii="华文中宋" w:hAnsi="华文中宋" w:eastAsia="华文中宋" w:cs="华文中宋"/>
                <w:sz w:val="21"/>
                <w:szCs w:val="21"/>
                <w:highlight w:val="none"/>
                <w:lang w:val="en-US" w:eastAsia="zh-CN"/>
              </w:rPr>
              <w:t>具有</w:t>
            </w:r>
            <w:r>
              <w:rPr>
                <w:rFonts w:hint="eastAsia" w:ascii="华文中宋" w:hAnsi="华文中宋" w:eastAsia="华文中宋" w:cs="华文中宋"/>
                <w:sz w:val="21"/>
                <w:szCs w:val="21"/>
                <w:highlight w:val="none"/>
              </w:rPr>
              <w:t>实施信息化监控和数据处理系统</w:t>
            </w:r>
            <w:r>
              <w:rPr>
                <w:rFonts w:hint="eastAsia" w:ascii="华文中宋" w:hAnsi="华文中宋" w:eastAsia="华文中宋" w:cs="华文中宋"/>
                <w:sz w:val="21"/>
                <w:szCs w:val="21"/>
                <w:highlight w:val="none"/>
                <w:lang w:eastAsia="zh-CN"/>
              </w:rPr>
              <w:t>，</w:t>
            </w:r>
            <w:r>
              <w:rPr>
                <w:rFonts w:hint="eastAsia" w:ascii="华文中宋" w:hAnsi="华文中宋" w:eastAsia="华文中宋" w:cs="华文中宋"/>
                <w:sz w:val="21"/>
                <w:szCs w:val="21"/>
                <w:highlight w:val="none"/>
                <w:lang w:val="en-US" w:eastAsia="zh-CN"/>
              </w:rPr>
              <w:t>基本满足要求</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sz w:val="21"/>
                <w:szCs w:val="21"/>
                <w:highlight w:val="none"/>
                <w:lang w:val="en-US" w:eastAsia="zh-CN"/>
              </w:rPr>
              <w:t>11、</w:t>
            </w:r>
            <w:r>
              <w:rPr>
                <w:rFonts w:hint="eastAsia" w:ascii="华文中宋" w:hAnsi="华文中宋" w:eastAsia="华文中宋" w:cs="华文中宋"/>
                <w:sz w:val="21"/>
                <w:szCs w:val="21"/>
                <w:highlight w:val="none"/>
              </w:rPr>
              <w:t>风险管理措施</w:t>
            </w: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sz w:val="21"/>
                <w:szCs w:val="21"/>
                <w:highlight w:val="none"/>
              </w:rPr>
              <w:t>风险防控管理措施齐全，风险预控符合规范要求，风险控制要点定位准确，各阶段风险控制及应急措施得力。</w:t>
            </w:r>
          </w:p>
        </w:tc>
        <w:tc>
          <w:tcPr>
            <w:tcW w:w="1845" w:type="dxa"/>
            <w:noWrap w:val="0"/>
            <w:vAlign w:val="center"/>
          </w:tcPr>
          <w:p>
            <w:pPr>
              <w:jc w:val="center"/>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华文中宋" w:hAnsi="华文中宋" w:eastAsia="华文中宋" w:cs="华文中宋"/>
                <w:sz w:val="21"/>
                <w:szCs w:val="21"/>
                <w:highlight w:val="none"/>
                <w:lang w:val="en-US" w:eastAsia="zh-CN"/>
              </w:rPr>
            </w:pPr>
          </w:p>
        </w:tc>
        <w:tc>
          <w:tcPr>
            <w:tcW w:w="59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rPr>
              <w:t>风险防控管理措施，风险预控符合规范要求，风险控制要点，有各阶段风险控制及应急措施</w:t>
            </w:r>
            <w:r>
              <w:rPr>
                <w:rFonts w:hint="eastAsia" w:ascii="华文中宋" w:hAnsi="华文中宋" w:eastAsia="华文中宋" w:cs="华文中宋"/>
                <w:sz w:val="21"/>
                <w:szCs w:val="21"/>
                <w:highlight w:val="none"/>
                <w:lang w:val="en-US" w:eastAsia="zh-CN"/>
              </w:rPr>
              <w:t>基本满足要求</w:t>
            </w:r>
          </w:p>
        </w:tc>
        <w:tc>
          <w:tcPr>
            <w:tcW w:w="1845" w:type="dxa"/>
            <w:noWrap w:val="0"/>
            <w:vAlign w:val="center"/>
          </w:tcPr>
          <w:p>
            <w:pPr>
              <w:jc w:val="center"/>
              <w:rPr>
                <w:rFonts w:hint="default" w:ascii="华文中宋" w:hAnsi="华文中宋" w:eastAsia="华文中宋" w:cs="华文中宋"/>
                <w:color w:val="000000"/>
                <w:sz w:val="21"/>
                <w:szCs w:val="21"/>
                <w:highlight w:val="none"/>
                <w:lang w:val="en-US" w:eastAsia="zh-CN"/>
              </w:rPr>
            </w:pPr>
            <w:r>
              <w:rPr>
                <w:rFonts w:hint="eastAsia" w:ascii="华文中宋" w:hAnsi="华文中宋" w:eastAsia="华文中宋" w:cs="华文中宋"/>
                <w:color w:val="000000"/>
                <w:sz w:val="21"/>
                <w:szCs w:val="21"/>
                <w:highlight w:val="none"/>
                <w:lang w:val="en-US" w:eastAsia="zh-CN"/>
              </w:rPr>
              <w:t>1.5分</w:t>
            </w:r>
          </w:p>
        </w:tc>
      </w:tr>
    </w:tbl>
    <w:p>
      <w:pPr>
        <w:bidi w:val="0"/>
        <w:rPr>
          <w:rFonts w:hint="eastAsia"/>
          <w:highlight w:val="none"/>
          <w:lang w:eastAsia="zh-CN"/>
        </w:rPr>
      </w:pPr>
      <w:r>
        <w:rPr>
          <w:rFonts w:hint="eastAsia"/>
          <w:highlight w:val="none"/>
          <w:lang w:eastAsia="zh-CN"/>
        </w:rPr>
        <w:t>备注：技术部分缺项不得分。</w:t>
      </w:r>
    </w:p>
    <w:p>
      <w:pPr>
        <w:rPr>
          <w:rFonts w:hint="eastAsia"/>
          <w:b/>
          <w:sz w:val="28"/>
          <w:szCs w:val="28"/>
          <w:highlight w:val="none"/>
          <w:lang w:val="en-US" w:eastAsia="zh-CN"/>
        </w:rPr>
      </w:pPr>
    </w:p>
    <w:p>
      <w:pPr>
        <w:rPr>
          <w:rFonts w:hint="default"/>
          <w:b/>
          <w:sz w:val="28"/>
          <w:szCs w:val="28"/>
          <w:highlight w:val="none"/>
          <w:lang w:val="en-US" w:eastAsia="zh-CN"/>
        </w:rPr>
      </w:pPr>
      <w:r>
        <w:rPr>
          <w:rFonts w:hint="eastAsia"/>
          <w:b/>
          <w:sz w:val="28"/>
          <w:szCs w:val="28"/>
          <w:highlight w:val="none"/>
          <w:lang w:val="en-US" w:eastAsia="zh-CN"/>
        </w:rPr>
        <w:t>2、设备部分（20分）</w:t>
      </w:r>
    </w:p>
    <w:tbl>
      <w:tblPr>
        <w:tblStyle w:val="3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572" w:type="dxa"/>
            <w:noWrap w:val="0"/>
            <w:vAlign w:val="center"/>
          </w:tcPr>
          <w:p>
            <w:pPr>
              <w:pStyle w:val="54"/>
              <w:shd w:val="clear" w:color="auto" w:fill="auto"/>
              <w:spacing w:before="0" w:line="360" w:lineRule="auto"/>
              <w:ind w:right="40" w:rightChars="0"/>
              <w:jc w:val="center"/>
              <w:rPr>
                <w:rFonts w:hint="eastAsia"/>
                <w:b w:val="0"/>
                <w:bCs w:val="0"/>
                <w:sz w:val="21"/>
                <w:szCs w:val="21"/>
                <w:highlight w:val="none"/>
              </w:rPr>
            </w:pPr>
            <w:r>
              <w:rPr>
                <w:rFonts w:hint="eastAsia" w:ascii="华文中宋" w:hAnsi="华文中宋" w:eastAsia="华文中宋" w:cs="华文中宋"/>
                <w:color w:val="auto"/>
                <w:sz w:val="21"/>
                <w:szCs w:val="21"/>
                <w:highlight w:val="none"/>
                <w:lang w:bidi="zh-CN"/>
              </w:rPr>
              <w:t>评分因素</w:t>
            </w:r>
          </w:p>
        </w:tc>
        <w:tc>
          <w:tcPr>
            <w:tcW w:w="8067" w:type="dxa"/>
            <w:noWrap w:val="0"/>
            <w:vAlign w:val="center"/>
          </w:tcPr>
          <w:p>
            <w:pPr>
              <w:pStyle w:val="54"/>
              <w:shd w:val="clear" w:color="auto" w:fill="auto"/>
              <w:spacing w:before="0" w:line="360" w:lineRule="auto"/>
              <w:ind w:left="20" w:leftChars="0"/>
              <w:jc w:val="center"/>
              <w:rPr>
                <w:rFonts w:hint="eastAsia"/>
                <w:highlight w:val="none"/>
              </w:rPr>
            </w:pPr>
            <w:r>
              <w:rPr>
                <w:rFonts w:hint="eastAsia" w:ascii="华文中宋" w:hAnsi="华文中宋" w:eastAsia="华文中宋" w:cs="华文中宋"/>
                <w:color w:val="auto"/>
                <w:sz w:val="21"/>
                <w:szCs w:val="21"/>
                <w:highlight w:val="none"/>
                <w:lang w:bidi="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572" w:type="dxa"/>
            <w:noWrap w:val="0"/>
            <w:vAlign w:val="center"/>
          </w:tcPr>
          <w:p>
            <w:pPr>
              <w:spacing w:line="360" w:lineRule="auto"/>
              <w:jc w:val="center"/>
              <w:rPr>
                <w:rFonts w:hint="default" w:ascii="宋体" w:hAnsi="宋体" w:eastAsia="宋体" w:cs="宋体"/>
                <w:b w:val="0"/>
                <w:bCs w:val="0"/>
                <w:sz w:val="21"/>
                <w:szCs w:val="21"/>
                <w:highlight w:val="none"/>
                <w:lang w:val="en-US" w:eastAsia="zh-CN"/>
              </w:rPr>
            </w:pPr>
            <w:r>
              <w:rPr>
                <w:rFonts w:hint="eastAsia"/>
                <w:b w:val="0"/>
                <w:bCs w:val="0"/>
                <w:sz w:val="21"/>
                <w:szCs w:val="21"/>
                <w:highlight w:val="none"/>
              </w:rPr>
              <w:t>生产供货保证体系与措施</w:t>
            </w:r>
            <w:r>
              <w:rPr>
                <w:rFonts w:hint="eastAsia"/>
                <w:b w:val="0"/>
                <w:bCs w:val="0"/>
                <w:sz w:val="21"/>
                <w:szCs w:val="21"/>
                <w:highlight w:val="none"/>
                <w:lang w:eastAsia="zh-CN"/>
              </w:rPr>
              <w:t>（</w:t>
            </w:r>
            <w:r>
              <w:rPr>
                <w:rFonts w:hint="eastAsia"/>
                <w:b w:val="0"/>
                <w:bCs w:val="0"/>
                <w:sz w:val="21"/>
                <w:szCs w:val="21"/>
                <w:highlight w:val="none"/>
                <w:lang w:val="en-US" w:eastAsia="zh-CN"/>
              </w:rPr>
              <w:t>5分）</w:t>
            </w:r>
          </w:p>
        </w:tc>
        <w:tc>
          <w:tcPr>
            <w:tcW w:w="8067" w:type="dxa"/>
            <w:noWrap w:val="0"/>
            <w:vAlign w:val="center"/>
          </w:tcPr>
          <w:p>
            <w:pPr>
              <w:spacing w:line="360" w:lineRule="auto"/>
              <w:rPr>
                <w:rFonts w:hint="eastAsia"/>
                <w:highlight w:val="none"/>
              </w:rPr>
            </w:pPr>
            <w:r>
              <w:rPr>
                <w:rFonts w:hint="eastAsia"/>
                <w:highlight w:val="none"/>
              </w:rPr>
              <w:t>生产供货保证体系与措施</w:t>
            </w:r>
            <w:r>
              <w:rPr>
                <w:rFonts w:hint="eastAsia"/>
                <w:highlight w:val="none"/>
                <w:lang w:eastAsia="zh-CN"/>
              </w:rPr>
              <w:t>能完全满足采购需求合理可行性高的得</w:t>
            </w:r>
            <w:r>
              <w:rPr>
                <w:rFonts w:hint="eastAsia"/>
                <w:highlight w:val="none"/>
                <w:lang w:val="en-US" w:eastAsia="zh-CN"/>
              </w:rPr>
              <w:t>5分；</w:t>
            </w:r>
            <w:r>
              <w:rPr>
                <w:rFonts w:hint="eastAsia"/>
                <w:highlight w:val="none"/>
                <w:lang w:eastAsia="zh-CN"/>
              </w:rPr>
              <w:t>能基本满足采购需求可行性一般的得</w:t>
            </w:r>
            <w:r>
              <w:rPr>
                <w:rFonts w:hint="eastAsia"/>
                <w:highlight w:val="none"/>
                <w:lang w:val="en-US" w:eastAsia="zh-CN"/>
              </w:rPr>
              <w:t>3分</w:t>
            </w:r>
            <w:r>
              <w:rPr>
                <w:rFonts w:hint="eastAsia"/>
                <w:highlight w:val="none"/>
                <w:lang w:eastAsia="zh-CN"/>
              </w:rPr>
              <w:t>；能满足采购需求，可行性差的得</w:t>
            </w:r>
            <w:r>
              <w:rPr>
                <w:rFonts w:hint="eastAsia"/>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572" w:type="dxa"/>
            <w:noWrap w:val="0"/>
            <w:vAlign w:val="center"/>
          </w:tcPr>
          <w:p>
            <w:pPr>
              <w:spacing w:line="360" w:lineRule="auto"/>
              <w:jc w:val="center"/>
              <w:rPr>
                <w:rFonts w:hint="eastAsia"/>
                <w:b w:val="0"/>
                <w:bCs w:val="0"/>
                <w:sz w:val="21"/>
                <w:szCs w:val="21"/>
                <w:highlight w:val="none"/>
              </w:rPr>
            </w:pPr>
            <w:r>
              <w:rPr>
                <w:rFonts w:hint="eastAsia"/>
                <w:b w:val="0"/>
                <w:bCs w:val="0"/>
                <w:sz w:val="21"/>
                <w:szCs w:val="21"/>
                <w:highlight w:val="none"/>
              </w:rPr>
              <w:t>质量保证体系与措施</w:t>
            </w:r>
            <w:r>
              <w:rPr>
                <w:rFonts w:hint="eastAsia"/>
                <w:b w:val="0"/>
                <w:bCs w:val="0"/>
                <w:sz w:val="21"/>
                <w:szCs w:val="21"/>
                <w:highlight w:val="none"/>
                <w:lang w:eastAsia="zh-CN"/>
              </w:rPr>
              <w:t>（</w:t>
            </w:r>
            <w:r>
              <w:rPr>
                <w:rFonts w:hint="eastAsia"/>
                <w:b w:val="0"/>
                <w:bCs w:val="0"/>
                <w:sz w:val="21"/>
                <w:szCs w:val="21"/>
                <w:highlight w:val="none"/>
                <w:lang w:val="en-US" w:eastAsia="zh-CN"/>
              </w:rPr>
              <w:t>5分）</w:t>
            </w:r>
          </w:p>
        </w:tc>
        <w:tc>
          <w:tcPr>
            <w:tcW w:w="8067" w:type="dxa"/>
            <w:noWrap w:val="0"/>
            <w:vAlign w:val="center"/>
          </w:tcPr>
          <w:p>
            <w:pPr>
              <w:spacing w:line="360" w:lineRule="auto"/>
              <w:rPr>
                <w:rFonts w:hint="eastAsia"/>
                <w:sz w:val="21"/>
                <w:szCs w:val="21"/>
                <w:highlight w:val="none"/>
                <w:lang w:eastAsia="zh-CN"/>
              </w:rPr>
            </w:pPr>
            <w:r>
              <w:rPr>
                <w:rFonts w:hint="eastAsia"/>
                <w:sz w:val="21"/>
                <w:szCs w:val="21"/>
                <w:highlight w:val="none"/>
              </w:rPr>
              <w:t>质量保证体系与措施满足采购需求</w:t>
            </w:r>
            <w:r>
              <w:rPr>
                <w:rFonts w:hint="eastAsia"/>
                <w:sz w:val="21"/>
                <w:szCs w:val="21"/>
                <w:highlight w:val="none"/>
                <w:lang w:eastAsia="zh-CN"/>
              </w:rPr>
              <w:t>的基础上，科学、合理、可行性强得</w:t>
            </w:r>
            <w:r>
              <w:rPr>
                <w:rFonts w:hint="eastAsia"/>
                <w:sz w:val="21"/>
                <w:szCs w:val="21"/>
                <w:highlight w:val="none"/>
                <w:lang w:val="en-US" w:eastAsia="zh-CN"/>
              </w:rPr>
              <w:t>5</w:t>
            </w:r>
            <w:r>
              <w:rPr>
                <w:rFonts w:hint="eastAsia"/>
                <w:sz w:val="21"/>
                <w:szCs w:val="21"/>
                <w:highlight w:val="none"/>
                <w:lang w:eastAsia="zh-CN"/>
              </w:rPr>
              <w:t>分，</w:t>
            </w:r>
          </w:p>
          <w:p>
            <w:pPr>
              <w:spacing w:line="360" w:lineRule="auto"/>
              <w:rPr>
                <w:rFonts w:hint="eastAsia"/>
                <w:sz w:val="21"/>
                <w:szCs w:val="21"/>
                <w:highlight w:val="none"/>
              </w:rPr>
            </w:pPr>
            <w:r>
              <w:rPr>
                <w:rFonts w:hint="eastAsia"/>
                <w:sz w:val="21"/>
                <w:szCs w:val="21"/>
                <w:highlight w:val="none"/>
                <w:lang w:eastAsia="zh-CN"/>
              </w:rPr>
              <w:t>满足采购需求的基础上，科学、合理、可性得</w:t>
            </w:r>
            <w:r>
              <w:rPr>
                <w:rFonts w:hint="eastAsia"/>
                <w:sz w:val="21"/>
                <w:szCs w:val="21"/>
                <w:highlight w:val="none"/>
                <w:lang w:val="en-US" w:eastAsia="zh-CN"/>
              </w:rPr>
              <w:t>3</w:t>
            </w:r>
            <w:r>
              <w:rPr>
                <w:rFonts w:hint="eastAsia"/>
                <w:sz w:val="21"/>
                <w:szCs w:val="21"/>
                <w:highlight w:val="none"/>
                <w:lang w:eastAsia="zh-CN"/>
              </w:rPr>
              <w:t>分。满足采购需求的基础上，较合理、可行性一般得</w:t>
            </w:r>
            <w:r>
              <w:rPr>
                <w:rFonts w:hint="eastAsia"/>
                <w:sz w:val="21"/>
                <w:szCs w:val="21"/>
                <w:highlight w:val="none"/>
                <w:lang w:val="en-US" w:eastAsia="zh-CN"/>
              </w:rPr>
              <w:t>2</w:t>
            </w:r>
            <w:r>
              <w:rPr>
                <w:rFonts w:hint="eastAsia"/>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1572" w:type="dxa"/>
            <w:noWrap w:val="0"/>
            <w:vAlign w:val="center"/>
          </w:tcPr>
          <w:p>
            <w:pPr>
              <w:spacing w:line="360" w:lineRule="auto"/>
              <w:jc w:val="center"/>
              <w:rPr>
                <w:rFonts w:hint="eastAsia"/>
                <w:b w:val="0"/>
                <w:bCs w:val="0"/>
                <w:sz w:val="21"/>
                <w:szCs w:val="21"/>
                <w:highlight w:val="none"/>
              </w:rPr>
            </w:pPr>
            <w:r>
              <w:rPr>
                <w:rFonts w:hint="eastAsia"/>
                <w:b w:val="0"/>
                <w:bCs w:val="0"/>
                <w:sz w:val="21"/>
                <w:szCs w:val="21"/>
                <w:highlight w:val="none"/>
                <w:lang w:eastAsia="zh-CN"/>
              </w:rPr>
              <w:t>交货及验收方案（</w:t>
            </w:r>
            <w:r>
              <w:rPr>
                <w:rFonts w:hint="eastAsia"/>
                <w:b w:val="0"/>
                <w:bCs w:val="0"/>
                <w:sz w:val="21"/>
                <w:szCs w:val="21"/>
                <w:highlight w:val="none"/>
                <w:lang w:val="en-US" w:eastAsia="zh-CN"/>
              </w:rPr>
              <w:t>5分）</w:t>
            </w:r>
          </w:p>
        </w:tc>
        <w:tc>
          <w:tcPr>
            <w:tcW w:w="8067" w:type="dxa"/>
            <w:noWrap w:val="0"/>
            <w:vAlign w:val="center"/>
          </w:tcPr>
          <w:p>
            <w:pPr>
              <w:spacing w:line="360" w:lineRule="auto"/>
              <w:rPr>
                <w:rFonts w:hint="eastAsia"/>
                <w:sz w:val="21"/>
                <w:szCs w:val="21"/>
                <w:highlight w:val="none"/>
              </w:rPr>
            </w:pPr>
            <w:r>
              <w:rPr>
                <w:rFonts w:hint="eastAsia"/>
                <w:sz w:val="21"/>
                <w:szCs w:val="21"/>
                <w:highlight w:val="none"/>
              </w:rPr>
              <w:t>交货及验收方案满足采购需求</w:t>
            </w:r>
            <w:r>
              <w:rPr>
                <w:rFonts w:hint="eastAsia"/>
                <w:sz w:val="21"/>
                <w:szCs w:val="21"/>
                <w:highlight w:val="none"/>
                <w:lang w:eastAsia="zh-CN"/>
              </w:rPr>
              <w:t>的基础上，科学、</w:t>
            </w:r>
            <w:r>
              <w:rPr>
                <w:rFonts w:hint="eastAsia" w:hAnsi="宋体"/>
                <w:sz w:val="21"/>
                <w:szCs w:val="21"/>
                <w:highlight w:val="none"/>
              </w:rPr>
              <w:t>细致合理</w:t>
            </w:r>
            <w:r>
              <w:rPr>
                <w:rFonts w:hint="eastAsia"/>
                <w:sz w:val="21"/>
                <w:szCs w:val="21"/>
                <w:highlight w:val="none"/>
                <w:lang w:eastAsia="zh-CN"/>
              </w:rPr>
              <w:t>、可行性强、</w:t>
            </w:r>
            <w:r>
              <w:rPr>
                <w:rFonts w:hint="eastAsia" w:hAnsi="宋体"/>
                <w:sz w:val="21"/>
                <w:szCs w:val="21"/>
                <w:highlight w:val="none"/>
              </w:rPr>
              <w:t>条款详尽</w:t>
            </w:r>
            <w:r>
              <w:rPr>
                <w:rFonts w:hint="eastAsia"/>
                <w:sz w:val="21"/>
                <w:szCs w:val="21"/>
                <w:highlight w:val="none"/>
                <w:lang w:eastAsia="zh-CN"/>
              </w:rPr>
              <w:t>得</w:t>
            </w:r>
            <w:r>
              <w:rPr>
                <w:rFonts w:hint="eastAsia"/>
                <w:sz w:val="21"/>
                <w:szCs w:val="21"/>
                <w:highlight w:val="none"/>
                <w:lang w:val="en-US" w:eastAsia="zh-CN"/>
              </w:rPr>
              <w:t>5</w:t>
            </w:r>
            <w:r>
              <w:rPr>
                <w:rFonts w:hint="eastAsia"/>
                <w:sz w:val="21"/>
                <w:szCs w:val="21"/>
                <w:highlight w:val="none"/>
                <w:lang w:eastAsia="zh-CN"/>
              </w:rPr>
              <w:t>分。交货及验收方案满足采购需求的基础上，科学、合理、可行性一般，得</w:t>
            </w:r>
            <w:r>
              <w:rPr>
                <w:rFonts w:hint="eastAsia"/>
                <w:sz w:val="21"/>
                <w:szCs w:val="21"/>
                <w:highlight w:val="none"/>
                <w:lang w:val="en-US" w:eastAsia="zh-CN"/>
              </w:rPr>
              <w:t>3</w:t>
            </w:r>
            <w:r>
              <w:rPr>
                <w:rFonts w:hint="eastAsia"/>
                <w:sz w:val="21"/>
                <w:szCs w:val="21"/>
                <w:highlight w:val="none"/>
                <w:lang w:eastAsia="zh-CN"/>
              </w:rPr>
              <w:t>分。交货及验收方案满足采购需求的基础上，合理、可行性差，得</w:t>
            </w:r>
            <w:r>
              <w:rPr>
                <w:rFonts w:hint="eastAsia"/>
                <w:sz w:val="21"/>
                <w:szCs w:val="21"/>
                <w:highlight w:val="none"/>
                <w:lang w:val="en-US" w:eastAsia="zh-CN"/>
              </w:rPr>
              <w:t>2</w:t>
            </w:r>
            <w:r>
              <w:rPr>
                <w:rFonts w:hint="eastAsia"/>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4" w:hRule="atLeast"/>
          <w:jc w:val="center"/>
        </w:trPr>
        <w:tc>
          <w:tcPr>
            <w:tcW w:w="1572" w:type="dxa"/>
            <w:noWrap w:val="0"/>
            <w:vAlign w:val="center"/>
          </w:tcPr>
          <w:p>
            <w:pPr>
              <w:pStyle w:val="53"/>
              <w:tabs>
                <w:tab w:val="left" w:pos="900"/>
              </w:tabs>
              <w:spacing w:line="360" w:lineRule="auto"/>
              <w:ind w:firstLine="0" w:firstLineChars="0"/>
              <w:jc w:val="center"/>
              <w:rPr>
                <w:rFonts w:hint="eastAsia" w:cs="宋体"/>
                <w:b w:val="0"/>
                <w:bCs w:val="0"/>
                <w:sz w:val="21"/>
                <w:szCs w:val="21"/>
                <w:highlight w:val="none"/>
                <w:lang w:eastAsia="en-US"/>
              </w:rPr>
            </w:pPr>
            <w:r>
              <w:rPr>
                <w:rFonts w:hint="eastAsia" w:cs="宋体"/>
                <w:b w:val="0"/>
                <w:bCs w:val="0"/>
                <w:sz w:val="21"/>
                <w:szCs w:val="21"/>
                <w:highlight w:val="none"/>
                <w:lang w:eastAsia="en-US"/>
              </w:rPr>
              <w:t>售后服务（</w:t>
            </w:r>
            <w:r>
              <w:rPr>
                <w:rFonts w:hint="eastAsia" w:cs="宋体"/>
                <w:b w:val="0"/>
                <w:bCs w:val="0"/>
                <w:sz w:val="21"/>
                <w:szCs w:val="21"/>
                <w:highlight w:val="none"/>
                <w:lang w:val="en-US" w:eastAsia="zh-CN"/>
              </w:rPr>
              <w:t>5</w:t>
            </w:r>
            <w:r>
              <w:rPr>
                <w:rFonts w:hint="eastAsia" w:cs="宋体"/>
                <w:b w:val="0"/>
                <w:bCs w:val="0"/>
                <w:sz w:val="21"/>
                <w:szCs w:val="21"/>
                <w:highlight w:val="none"/>
                <w:lang w:eastAsia="en-US"/>
              </w:rPr>
              <w:t>分）</w:t>
            </w:r>
          </w:p>
        </w:tc>
        <w:tc>
          <w:tcPr>
            <w:tcW w:w="8067" w:type="dxa"/>
            <w:noWrap w:val="0"/>
            <w:vAlign w:val="center"/>
          </w:tcPr>
          <w:p>
            <w:pPr>
              <w:spacing w:line="360" w:lineRule="auto"/>
              <w:rPr>
                <w:rFonts w:hint="eastAsia" w:ascii="宋体" w:hAnsi="宋体" w:cs="宋体"/>
                <w:sz w:val="24"/>
                <w:szCs w:val="24"/>
                <w:highlight w:val="none"/>
              </w:rPr>
            </w:pPr>
            <w:r>
              <w:rPr>
                <w:rFonts w:hint="eastAsia" w:ascii="Times New Roman" w:hAnsi="Times New Roman" w:eastAsia="宋体" w:cs="Times New Roman"/>
                <w:szCs w:val="21"/>
                <w:highlight w:val="none"/>
              </w:rPr>
              <w:t>投标人对质保期内和质保期外均有详细说明售后服务的内容、形式、含免费维修时间、解决质量或操作问题的响应时间、解决问题时间、维修单位名称、地点等进行打分；内容完整、合理、科学、可操作性强得</w:t>
            </w:r>
            <w:r>
              <w:rPr>
                <w:rFonts w:hint="eastAsia" w:cs="Times New Roman"/>
                <w:szCs w:val="21"/>
                <w:highlight w:val="none"/>
                <w:lang w:val="en-US" w:eastAsia="zh-CN"/>
              </w:rPr>
              <w:t>5</w:t>
            </w:r>
            <w:r>
              <w:rPr>
                <w:rFonts w:hint="eastAsia" w:ascii="Times New Roman" w:hAnsi="Times New Roman" w:eastAsia="宋体" w:cs="Times New Roman"/>
                <w:szCs w:val="21"/>
                <w:highlight w:val="none"/>
              </w:rPr>
              <w:t>分，内容较为完善得</w:t>
            </w:r>
            <w:r>
              <w:rPr>
                <w:rFonts w:hint="eastAsia" w:cs="Times New Roman"/>
                <w:szCs w:val="21"/>
                <w:highlight w:val="none"/>
                <w:lang w:val="en-US" w:eastAsia="zh-CN"/>
              </w:rPr>
              <w:t>3</w:t>
            </w:r>
            <w:r>
              <w:rPr>
                <w:rFonts w:hint="eastAsia" w:ascii="Times New Roman" w:hAnsi="Times New Roman" w:eastAsia="宋体" w:cs="Times New Roman"/>
                <w:szCs w:val="21"/>
                <w:highlight w:val="none"/>
              </w:rPr>
              <w:t>分，内容不完善得</w:t>
            </w:r>
            <w:r>
              <w:rPr>
                <w:rFonts w:hint="eastAsia" w:cs="Times New Roman"/>
                <w:szCs w:val="21"/>
                <w:highlight w:val="none"/>
                <w:lang w:val="en-US" w:eastAsia="zh-CN"/>
              </w:rPr>
              <w:t>2</w:t>
            </w:r>
            <w:r>
              <w:rPr>
                <w:rFonts w:hint="eastAsia" w:ascii="Times New Roman" w:hAnsi="Times New Roman" w:eastAsia="宋体" w:cs="Times New Roman"/>
                <w:szCs w:val="21"/>
                <w:highlight w:val="none"/>
              </w:rPr>
              <w:t>分，不提供者得0分。</w:t>
            </w:r>
          </w:p>
        </w:tc>
      </w:tr>
    </w:tbl>
    <w:p>
      <w:pPr>
        <w:bidi w:val="0"/>
        <w:rPr>
          <w:rFonts w:hint="eastAsia"/>
          <w:highlight w:val="none"/>
          <w:lang w:eastAsia="zh-CN"/>
        </w:rPr>
      </w:pPr>
      <w:r>
        <w:rPr>
          <w:rFonts w:hint="eastAsia"/>
          <w:highlight w:val="none"/>
          <w:lang w:eastAsia="zh-CN"/>
        </w:rPr>
        <w:t>备注：技术部分缺项不得分。</w:t>
      </w:r>
    </w:p>
    <w:p>
      <w:pPr>
        <w:ind w:firstLine="3654" w:firstLineChars="1300"/>
        <w:rPr>
          <w:b/>
          <w:sz w:val="28"/>
          <w:szCs w:val="28"/>
          <w:highlight w:val="none"/>
        </w:rPr>
      </w:pPr>
    </w:p>
    <w:p>
      <w:pPr>
        <w:ind w:firstLine="3654" w:firstLineChars="1300"/>
        <w:rPr>
          <w:rFonts w:hint="eastAsia" w:eastAsia="宋体"/>
          <w:b/>
          <w:sz w:val="28"/>
          <w:szCs w:val="28"/>
          <w:highlight w:val="none"/>
          <w:lang w:eastAsia="zh-CN"/>
        </w:rPr>
      </w:pPr>
      <w:r>
        <w:rPr>
          <w:rFonts w:hint="eastAsia"/>
          <w:b/>
          <w:sz w:val="28"/>
          <w:szCs w:val="28"/>
          <w:highlight w:val="none"/>
        </w:rPr>
        <w:t>综合标评标办法</w:t>
      </w:r>
      <w:r>
        <w:rPr>
          <w:rFonts w:hint="eastAsia"/>
          <w:b/>
          <w:sz w:val="28"/>
          <w:szCs w:val="28"/>
          <w:highlight w:val="none"/>
          <w:lang w:eastAsia="zh-CN"/>
        </w:rPr>
        <w:t>（</w:t>
      </w:r>
      <w:r>
        <w:rPr>
          <w:rFonts w:hint="eastAsia"/>
          <w:b/>
          <w:sz w:val="28"/>
          <w:szCs w:val="28"/>
          <w:highlight w:val="none"/>
          <w:lang w:val="en-US" w:eastAsia="zh-CN"/>
        </w:rPr>
        <w:t>10分</w:t>
      </w:r>
      <w:r>
        <w:rPr>
          <w:rFonts w:hint="eastAsia"/>
          <w:b/>
          <w:sz w:val="28"/>
          <w:szCs w:val="28"/>
          <w:highlight w:val="none"/>
          <w:lang w:eastAsia="zh-CN"/>
        </w:rPr>
        <w:t>）</w:t>
      </w:r>
    </w:p>
    <w:tbl>
      <w:tblPr>
        <w:tblStyle w:val="36"/>
        <w:tblW w:w="9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1582" w:type="dxa"/>
            <w:noWrap w:val="0"/>
            <w:vAlign w:val="center"/>
          </w:tcPr>
          <w:p>
            <w:pPr>
              <w:pStyle w:val="54"/>
              <w:shd w:val="clear" w:color="auto" w:fill="auto"/>
              <w:spacing w:before="0" w:line="360" w:lineRule="auto"/>
              <w:ind w:right="40" w:rightChars="0"/>
              <w:jc w:val="center"/>
              <w:rPr>
                <w:rFonts w:hint="eastAsia" w:ascii="宋体" w:hAnsi="宋体" w:cs="宋体"/>
                <w:b w:val="0"/>
                <w:bCs w:val="0"/>
                <w:sz w:val="21"/>
                <w:szCs w:val="21"/>
                <w:highlight w:val="none"/>
                <w:lang w:eastAsia="zh-CN"/>
              </w:rPr>
            </w:pPr>
            <w:r>
              <w:rPr>
                <w:rFonts w:hint="eastAsia" w:ascii="华文中宋" w:hAnsi="华文中宋" w:eastAsia="华文中宋" w:cs="华文中宋"/>
                <w:color w:val="auto"/>
                <w:sz w:val="21"/>
                <w:szCs w:val="21"/>
                <w:highlight w:val="none"/>
                <w:lang w:bidi="zh-CN"/>
              </w:rPr>
              <w:t>评分因素</w:t>
            </w:r>
          </w:p>
        </w:tc>
        <w:tc>
          <w:tcPr>
            <w:tcW w:w="8117" w:type="dxa"/>
            <w:noWrap w:val="0"/>
            <w:vAlign w:val="center"/>
          </w:tcPr>
          <w:p>
            <w:pPr>
              <w:pStyle w:val="54"/>
              <w:shd w:val="clear" w:color="auto" w:fill="auto"/>
              <w:spacing w:before="0" w:line="360" w:lineRule="auto"/>
              <w:ind w:left="20" w:leftChars="0"/>
              <w:jc w:val="center"/>
              <w:rPr>
                <w:rFonts w:hint="eastAsia" w:ascii="宋体" w:hAnsi="宋体" w:eastAsia="宋体" w:cs="宋体"/>
                <w:b w:val="0"/>
                <w:kern w:val="2"/>
                <w:sz w:val="21"/>
                <w:szCs w:val="21"/>
                <w:highlight w:val="none"/>
                <w:lang w:val="en-US" w:eastAsia="zh-CN" w:bidi="ar-SA"/>
              </w:rPr>
            </w:pPr>
            <w:r>
              <w:rPr>
                <w:rFonts w:hint="eastAsia" w:ascii="华文中宋" w:hAnsi="华文中宋" w:eastAsia="华文中宋" w:cs="华文中宋"/>
                <w:color w:val="auto"/>
                <w:sz w:val="21"/>
                <w:szCs w:val="21"/>
                <w:highlight w:val="none"/>
                <w:lang w:bidi="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1582" w:type="dxa"/>
            <w:noWrap w:val="0"/>
            <w:vAlign w:val="center"/>
          </w:tcPr>
          <w:p>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eastAsia="zh-CN"/>
              </w:rPr>
              <w:t>类似业绩（</w:t>
            </w:r>
            <w:r>
              <w:rPr>
                <w:rFonts w:hint="eastAsia" w:ascii="宋体" w:hAnsi="宋体" w:cs="宋体"/>
                <w:b w:val="0"/>
                <w:bCs w:val="0"/>
                <w:sz w:val="21"/>
                <w:szCs w:val="21"/>
                <w:highlight w:val="none"/>
                <w:lang w:val="en-US" w:eastAsia="zh-CN"/>
              </w:rPr>
              <w:t>5分）</w:t>
            </w:r>
          </w:p>
        </w:tc>
        <w:tc>
          <w:tcPr>
            <w:tcW w:w="8117" w:type="dxa"/>
            <w:noWrap w:val="0"/>
            <w:vAlign w:val="center"/>
          </w:tcPr>
          <w:p>
            <w:pPr>
              <w:pStyle w:val="3"/>
              <w:spacing w:line="36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所投产品2021年1月至今所具有的类似业绩(建筑工程类），每有1个得2.5分，最高得3分。</w:t>
            </w:r>
          </w:p>
          <w:p>
            <w:pPr>
              <w:pStyle w:val="3"/>
              <w:spacing w:line="360" w:lineRule="auto"/>
              <w:rPr>
                <w:rFonts w:hint="default"/>
                <w:sz w:val="21"/>
                <w:szCs w:val="21"/>
                <w:highlight w:val="none"/>
                <w:lang w:val="en-US" w:eastAsia="zh-CN"/>
              </w:rPr>
            </w:pPr>
            <w:r>
              <w:rPr>
                <w:rFonts w:hint="eastAsia" w:ascii="宋体" w:hAnsi="宋体" w:eastAsia="宋体" w:cs="宋体"/>
                <w:b w:val="0"/>
                <w:kern w:val="2"/>
                <w:sz w:val="21"/>
                <w:szCs w:val="21"/>
                <w:highlight w:val="none"/>
                <w:lang w:val="en-US" w:eastAsia="zh-CN" w:bidi="ar-SA"/>
              </w:rPr>
              <w:t>注：以合同或中标通知书为准，投标文件中须提供合同原件扫描件或中标通知书扫描件。时间以合同或中标通知书载明时间为准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1582" w:type="dxa"/>
            <w:noWrap w:val="0"/>
            <w:vAlign w:val="center"/>
          </w:tcPr>
          <w:p>
            <w:pPr>
              <w:spacing w:line="360" w:lineRule="auto"/>
              <w:jc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eastAsia="zh-CN"/>
              </w:rPr>
              <w:t>优惠承诺（</w:t>
            </w:r>
            <w:r>
              <w:rPr>
                <w:rFonts w:hint="eastAsia" w:ascii="宋体" w:hAnsi="宋体" w:cs="宋体"/>
                <w:b w:val="0"/>
                <w:bCs w:val="0"/>
                <w:sz w:val="21"/>
                <w:szCs w:val="21"/>
                <w:highlight w:val="none"/>
                <w:lang w:val="en-US" w:eastAsia="zh-CN"/>
              </w:rPr>
              <w:t>3分）</w:t>
            </w:r>
          </w:p>
        </w:tc>
        <w:tc>
          <w:tcPr>
            <w:tcW w:w="8117" w:type="dxa"/>
            <w:noWrap w:val="0"/>
            <w:vAlign w:val="center"/>
          </w:tcPr>
          <w:p>
            <w:pPr>
              <w:spacing w:line="360" w:lineRule="auto"/>
              <w:rPr>
                <w:rFonts w:hint="eastAsia" w:eastAsia="宋体"/>
                <w:sz w:val="21"/>
                <w:szCs w:val="21"/>
                <w:highlight w:val="none"/>
                <w:lang w:val="en-US" w:eastAsia="zh-CN"/>
              </w:rPr>
            </w:pPr>
            <w:r>
              <w:rPr>
                <w:rFonts w:hint="eastAsia" w:eastAsia="宋体"/>
                <w:sz w:val="21"/>
                <w:szCs w:val="21"/>
                <w:highlight w:val="none"/>
                <w:lang w:val="en-US" w:eastAsia="zh-CN"/>
              </w:rPr>
              <w:t>投标文件在满足采购文件要求的基础上优惠承诺符合项目实际情况，确保依法依规，优惠合理，详实可行得3分；优惠承诺基本符合项目实际情况，依法依规，优惠较合理，较为详实得1.5分，缺项不得分。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1582" w:type="dxa"/>
            <w:noWrap w:val="0"/>
            <w:vAlign w:val="center"/>
          </w:tcPr>
          <w:p>
            <w:pPr>
              <w:spacing w:line="36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lang w:eastAsia="zh-CN"/>
              </w:rPr>
              <w:t>落实绿色产品（节能产品、环境标志产品）（</w:t>
            </w: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lang w:eastAsia="zh-CN"/>
              </w:rPr>
              <w:t>分）</w:t>
            </w:r>
          </w:p>
        </w:tc>
        <w:tc>
          <w:tcPr>
            <w:tcW w:w="8117" w:type="dxa"/>
            <w:noWrap w:val="0"/>
            <w:vAlign w:val="center"/>
          </w:tcPr>
          <w:p>
            <w:pPr>
              <w:numPr>
                <w:ilvl w:val="0"/>
                <w:numId w:val="3"/>
              </w:numPr>
              <w:spacing w:line="360" w:lineRule="auto"/>
              <w:rPr>
                <w:rFonts w:hint="eastAsia" w:eastAsia="宋体"/>
                <w:sz w:val="21"/>
                <w:szCs w:val="21"/>
                <w:highlight w:val="none"/>
                <w:lang w:val="en-US" w:eastAsia="zh-CN"/>
              </w:rPr>
            </w:pPr>
            <w:r>
              <w:rPr>
                <w:rFonts w:hint="eastAsia"/>
                <w:sz w:val="21"/>
                <w:szCs w:val="21"/>
                <w:highlight w:val="none"/>
                <w:lang w:val="en-US" w:eastAsia="zh-CN"/>
              </w:rPr>
              <w:t>所投产品全部</w:t>
            </w:r>
            <w:r>
              <w:rPr>
                <w:rFonts w:hint="eastAsia" w:eastAsia="宋体"/>
                <w:sz w:val="21"/>
                <w:szCs w:val="21"/>
                <w:highlight w:val="none"/>
                <w:lang w:val="en-US" w:eastAsia="zh-CN"/>
              </w:rPr>
              <w:t>具有国家确定的认证机构出具的、处于有效期之内的节能产品的证明材料的得1分，每少一个扣0</w:t>
            </w:r>
            <w:r>
              <w:rPr>
                <w:rFonts w:hint="eastAsia"/>
                <w:sz w:val="21"/>
                <w:szCs w:val="21"/>
                <w:highlight w:val="none"/>
                <w:lang w:val="en-US" w:eastAsia="zh-CN"/>
              </w:rPr>
              <w:t>.</w:t>
            </w:r>
            <w:r>
              <w:rPr>
                <w:rFonts w:hint="eastAsia" w:eastAsia="宋体"/>
                <w:sz w:val="21"/>
                <w:szCs w:val="21"/>
                <w:highlight w:val="none"/>
                <w:lang w:val="en-US" w:eastAsia="zh-CN"/>
              </w:rPr>
              <w:t>1扣完为止。</w:t>
            </w:r>
          </w:p>
          <w:p>
            <w:pPr>
              <w:numPr>
                <w:ilvl w:val="0"/>
                <w:numId w:val="3"/>
              </w:numPr>
              <w:spacing w:line="360" w:lineRule="auto"/>
              <w:rPr>
                <w:rFonts w:hint="eastAsia" w:eastAsia="宋体"/>
                <w:sz w:val="21"/>
                <w:szCs w:val="21"/>
                <w:highlight w:val="none"/>
                <w:lang w:val="en-US" w:eastAsia="zh-CN"/>
              </w:rPr>
            </w:pPr>
            <w:r>
              <w:rPr>
                <w:rFonts w:hint="eastAsia"/>
                <w:sz w:val="21"/>
                <w:szCs w:val="21"/>
                <w:highlight w:val="none"/>
                <w:lang w:val="en-US" w:eastAsia="zh-CN"/>
              </w:rPr>
              <w:t>所投产品全部</w:t>
            </w:r>
            <w:r>
              <w:rPr>
                <w:rFonts w:hint="eastAsia" w:eastAsia="宋体"/>
                <w:sz w:val="21"/>
                <w:szCs w:val="21"/>
                <w:highlight w:val="none"/>
                <w:lang w:val="en-US" w:eastAsia="zh-CN"/>
              </w:rPr>
              <w:t>具有国家确定的认证机构出具的、处于有效期之内的环境标志产品认证证书的证明材料的得1分，每少一个扣0</w:t>
            </w:r>
            <w:r>
              <w:rPr>
                <w:rFonts w:hint="eastAsia"/>
                <w:sz w:val="21"/>
                <w:szCs w:val="21"/>
                <w:highlight w:val="none"/>
                <w:lang w:val="en-US" w:eastAsia="zh-CN"/>
              </w:rPr>
              <w:t>.</w:t>
            </w:r>
            <w:r>
              <w:rPr>
                <w:rFonts w:hint="eastAsia" w:eastAsia="宋体"/>
                <w:sz w:val="21"/>
                <w:szCs w:val="21"/>
                <w:highlight w:val="none"/>
                <w:lang w:val="en-US" w:eastAsia="zh-CN"/>
              </w:rPr>
              <w:t>1扣完为止。</w:t>
            </w:r>
          </w:p>
          <w:p>
            <w:pPr>
              <w:rPr>
                <w:rFonts w:hint="eastAsia" w:eastAsiaTheme="minorEastAsia"/>
                <w:highlight w:val="none"/>
                <w:lang w:eastAsia="zh-CN"/>
              </w:rPr>
            </w:pPr>
            <w:r>
              <w:rPr>
                <w:rFonts w:hint="eastAsia" w:eastAsia="宋体"/>
                <w:sz w:val="21"/>
                <w:szCs w:val="21"/>
                <w:highlight w:val="none"/>
                <w:lang w:val="en-US" w:eastAsia="zh-CN"/>
              </w:rPr>
              <w:t>注：、</w:t>
            </w:r>
            <w:r>
              <w:rPr>
                <w:rFonts w:hint="eastAsia"/>
                <w:sz w:val="21"/>
                <w:szCs w:val="21"/>
                <w:highlight w:val="none"/>
                <w:lang w:val="en-US" w:eastAsia="zh-CN"/>
              </w:rPr>
              <w:t>所投产品是指</w:t>
            </w:r>
            <w:r>
              <w:rPr>
                <w:rFonts w:hint="eastAsia"/>
                <w:highlight w:val="none"/>
              </w:rPr>
              <w:t>31吨纯电动车厢可卸式垃圾车；18吨纯电动压缩垃圾车；10吨纯电动压缩垃圾车；18吨纯电动吸污车；厨余垃圾处理设备；空气净化设备；大件垃圾处理设备；叉车；18方整体压缩机；垂直压缩机</w:t>
            </w:r>
            <w:r>
              <w:rPr>
                <w:rFonts w:hint="eastAsia"/>
                <w:highlight w:val="none"/>
                <w:lang w:eastAsia="zh-CN"/>
              </w:rPr>
              <w:t>；</w:t>
            </w:r>
          </w:p>
          <w:p>
            <w:pPr>
              <w:pStyle w:val="55"/>
              <w:ind w:left="0" w:leftChars="0" w:firstLine="0" w:firstLineChars="0"/>
              <w:rPr>
                <w:rFonts w:hint="eastAsia" w:eastAsia="宋体"/>
                <w:highlight w:val="none"/>
                <w:lang w:val="en-US" w:eastAsia="zh-CN"/>
              </w:rPr>
            </w:pPr>
          </w:p>
        </w:tc>
      </w:tr>
    </w:tbl>
    <w:p>
      <w:pPr>
        <w:spacing w:line="360" w:lineRule="auto"/>
        <w:ind w:firstLine="422" w:firstLineChars="200"/>
        <w:rPr>
          <w:b/>
          <w:highlight w:val="none"/>
        </w:rPr>
      </w:pPr>
    </w:p>
    <w:p>
      <w:pPr>
        <w:spacing w:line="360" w:lineRule="auto"/>
        <w:ind w:firstLine="422" w:firstLineChars="200"/>
        <w:rPr>
          <w:b/>
          <w:highlight w:val="none"/>
        </w:rPr>
      </w:pPr>
      <w:r>
        <w:rPr>
          <w:rFonts w:hint="eastAsia"/>
          <w:b/>
          <w:highlight w:val="none"/>
        </w:rPr>
        <w:t>注：1、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pPr>
        <w:spacing w:line="360" w:lineRule="auto"/>
        <w:ind w:firstLine="632" w:firstLineChars="300"/>
        <w:rPr>
          <w:rFonts w:ascii="宋体" w:hAnsi="宋体"/>
          <w:highlight w:val="none"/>
        </w:rPr>
        <w:sectPr>
          <w:footerReference r:id="rId3" w:type="default"/>
          <w:pgSz w:w="11906" w:h="16838"/>
          <w:pgMar w:top="1418" w:right="1134" w:bottom="1418" w:left="1134" w:header="851" w:footer="992" w:gutter="0"/>
          <w:pgNumType w:start="1"/>
          <w:cols w:space="720" w:num="1"/>
          <w:docGrid w:type="lines" w:linePitch="312" w:charSpace="0"/>
        </w:sectPr>
      </w:pPr>
      <w:r>
        <w:rPr>
          <w:rFonts w:hint="eastAsia"/>
          <w:b/>
          <w:highlight w:val="none"/>
        </w:rPr>
        <w:t>2、本评标办法中涉及的证件均以扫描件为准，未提供扫描件的或扫描件模糊无法辨别的不得分。</w:t>
      </w:r>
    </w:p>
    <w:p>
      <w:pPr>
        <w:pStyle w:val="3"/>
        <w:rPr>
          <w:rFonts w:ascii="宋体" w:hAnsi="宋体" w:eastAsia="宋体"/>
          <w:highlight w:val="none"/>
        </w:rPr>
      </w:pPr>
      <w:bookmarkStart w:id="229" w:name="_Toc512597559"/>
      <w:bookmarkStart w:id="230" w:name="_Toc25139"/>
      <w:bookmarkStart w:id="231" w:name="_Toc184635093"/>
      <w:r>
        <w:rPr>
          <w:rFonts w:hint="eastAsia" w:ascii="宋体" w:hAnsi="宋体" w:eastAsia="宋体"/>
          <w:highlight w:val="none"/>
        </w:rPr>
        <w:t>1、评标方法</w:t>
      </w:r>
      <w:bookmarkEnd w:id="229"/>
      <w:bookmarkEnd w:id="230"/>
      <w:bookmarkEnd w:id="231"/>
    </w:p>
    <w:p>
      <w:pPr>
        <w:spacing w:line="400" w:lineRule="exact"/>
        <w:ind w:firstLine="420" w:firstLineChars="200"/>
        <w:rPr>
          <w:rFonts w:ascii="宋体" w:hAnsi="宋体"/>
          <w:highlight w:val="none"/>
        </w:rPr>
      </w:pPr>
      <w:r>
        <w:rPr>
          <w:rFonts w:hint="eastAsia" w:ascii="宋体" w:hAnsi="宋体"/>
          <w:highlight w:val="none"/>
        </w:rPr>
        <w:t>本次评标采用综合评分法。评标委员会对满足招标文件实质性要求的投标文件，按照本章规定的评分标准进行打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
        <w:rPr>
          <w:rFonts w:ascii="宋体" w:hAnsi="宋体" w:eastAsia="宋体"/>
          <w:highlight w:val="none"/>
        </w:rPr>
      </w:pPr>
      <w:bookmarkStart w:id="232" w:name="_Toc512597560"/>
      <w:bookmarkStart w:id="233" w:name="_Toc184635094"/>
      <w:bookmarkStart w:id="234" w:name="_Toc12755"/>
      <w:r>
        <w:rPr>
          <w:rFonts w:hint="eastAsia" w:ascii="宋体" w:hAnsi="宋体" w:eastAsia="宋体"/>
          <w:highlight w:val="none"/>
        </w:rPr>
        <w:t>2、评审标准</w:t>
      </w:r>
      <w:bookmarkEnd w:id="232"/>
      <w:bookmarkEnd w:id="233"/>
      <w:bookmarkEnd w:id="234"/>
    </w:p>
    <w:p>
      <w:pPr>
        <w:pStyle w:val="4"/>
        <w:rPr>
          <w:rFonts w:ascii="宋体" w:hAnsi="宋体"/>
          <w:highlight w:val="none"/>
        </w:rPr>
      </w:pPr>
      <w:bookmarkStart w:id="235" w:name="_Toc6170"/>
      <w:bookmarkStart w:id="236" w:name="_Toc512597561"/>
      <w:bookmarkStart w:id="237" w:name="_Toc23628"/>
      <w:r>
        <w:rPr>
          <w:rFonts w:hint="eastAsia" w:ascii="宋体" w:hAnsi="宋体"/>
          <w:highlight w:val="none"/>
        </w:rPr>
        <w:t>2.1 初步评审标准</w:t>
      </w:r>
      <w:bookmarkEnd w:id="235"/>
      <w:bookmarkEnd w:id="236"/>
      <w:bookmarkEnd w:id="237"/>
    </w:p>
    <w:p>
      <w:pPr>
        <w:spacing w:line="360" w:lineRule="auto"/>
        <w:ind w:firstLine="420" w:firstLineChars="200"/>
        <w:rPr>
          <w:rFonts w:ascii="宋体" w:hAnsi="宋体"/>
          <w:highlight w:val="none"/>
        </w:rPr>
      </w:pPr>
      <w:r>
        <w:rPr>
          <w:rFonts w:hint="eastAsia" w:ascii="宋体" w:hAnsi="宋体"/>
          <w:highlight w:val="none"/>
        </w:rPr>
        <w:t>2.1.1 资格评审标准：见评标办法前附表（资格评审由采购人或代理进行评审）。</w:t>
      </w:r>
    </w:p>
    <w:p>
      <w:pPr>
        <w:spacing w:line="360" w:lineRule="auto"/>
        <w:ind w:firstLine="420" w:firstLineChars="200"/>
        <w:rPr>
          <w:rFonts w:ascii="宋体" w:hAnsi="宋体"/>
          <w:highlight w:val="none"/>
        </w:rPr>
      </w:pPr>
      <w:r>
        <w:rPr>
          <w:rFonts w:hint="eastAsia" w:ascii="宋体" w:hAnsi="宋体"/>
          <w:highlight w:val="none"/>
        </w:rPr>
        <w:t>2.1.2 初步评审标准：见评标办法前附表。</w:t>
      </w:r>
    </w:p>
    <w:p>
      <w:pPr>
        <w:pStyle w:val="4"/>
        <w:rPr>
          <w:rFonts w:ascii="宋体" w:hAnsi="宋体"/>
          <w:highlight w:val="none"/>
        </w:rPr>
      </w:pPr>
      <w:bookmarkStart w:id="238" w:name="_Toc2823"/>
      <w:bookmarkStart w:id="239" w:name="_Toc512597562"/>
      <w:bookmarkStart w:id="240" w:name="_Toc26984"/>
      <w:r>
        <w:rPr>
          <w:rFonts w:hint="eastAsia" w:ascii="宋体" w:hAnsi="宋体"/>
          <w:highlight w:val="none"/>
        </w:rPr>
        <w:t>2.2 分值构成与评分标准</w:t>
      </w:r>
      <w:bookmarkEnd w:id="238"/>
      <w:bookmarkEnd w:id="239"/>
      <w:bookmarkEnd w:id="240"/>
    </w:p>
    <w:p>
      <w:pPr>
        <w:spacing w:line="360" w:lineRule="auto"/>
        <w:ind w:firstLine="420" w:firstLineChars="200"/>
        <w:rPr>
          <w:rFonts w:ascii="宋体" w:hAnsi="宋体"/>
          <w:highlight w:val="none"/>
        </w:rPr>
      </w:pPr>
      <w:r>
        <w:rPr>
          <w:rFonts w:hint="eastAsia" w:ascii="宋体" w:hAnsi="宋体"/>
          <w:highlight w:val="none"/>
        </w:rPr>
        <w:t>2.2.1 分值构成</w:t>
      </w:r>
    </w:p>
    <w:p>
      <w:pPr>
        <w:spacing w:line="360" w:lineRule="auto"/>
        <w:ind w:firstLine="420" w:firstLineChars="200"/>
        <w:rPr>
          <w:rFonts w:ascii="宋体" w:hAnsi="宋体"/>
          <w:highlight w:val="none"/>
        </w:rPr>
      </w:pPr>
      <w:r>
        <w:rPr>
          <w:rFonts w:hint="eastAsia" w:ascii="宋体" w:hAnsi="宋体"/>
          <w:highlight w:val="none"/>
        </w:rPr>
        <w:t>(l）报价部分：见评标办法前附表；</w:t>
      </w:r>
    </w:p>
    <w:p>
      <w:pPr>
        <w:numPr>
          <w:ilvl w:val="0"/>
          <w:numId w:val="4"/>
        </w:numPr>
        <w:spacing w:line="360" w:lineRule="auto"/>
        <w:ind w:firstLine="420" w:firstLineChars="200"/>
        <w:rPr>
          <w:rFonts w:ascii="宋体" w:hAnsi="宋体"/>
          <w:highlight w:val="none"/>
        </w:rPr>
      </w:pPr>
      <w:r>
        <w:rPr>
          <w:rFonts w:hint="eastAsia" w:ascii="宋体" w:hAnsi="宋体"/>
          <w:highlight w:val="none"/>
        </w:rPr>
        <w:t>技术部分：见评标办法前附表；</w:t>
      </w:r>
    </w:p>
    <w:p>
      <w:pPr>
        <w:spacing w:line="360" w:lineRule="auto"/>
        <w:ind w:firstLine="420" w:firstLineChars="200"/>
        <w:rPr>
          <w:rFonts w:ascii="宋体" w:hAnsi="宋体"/>
          <w:highlight w:val="none"/>
        </w:rPr>
      </w:pPr>
      <w:r>
        <w:rPr>
          <w:rFonts w:hint="eastAsia" w:ascii="宋体" w:hAnsi="宋体"/>
          <w:highlight w:val="none"/>
        </w:rPr>
        <w:t>(3）综合部分：见评标办法前附表；</w:t>
      </w:r>
    </w:p>
    <w:p>
      <w:pPr>
        <w:spacing w:line="360" w:lineRule="auto"/>
        <w:ind w:firstLine="420" w:firstLineChars="200"/>
        <w:rPr>
          <w:rFonts w:ascii="宋体" w:hAnsi="宋体"/>
          <w:highlight w:val="none"/>
        </w:rPr>
      </w:pPr>
      <w:r>
        <w:rPr>
          <w:rFonts w:hint="eastAsia" w:ascii="宋体" w:hAnsi="宋体"/>
          <w:highlight w:val="none"/>
        </w:rPr>
        <w:t>2.2.2 评标基准价计算</w:t>
      </w:r>
    </w:p>
    <w:p>
      <w:pPr>
        <w:spacing w:line="360" w:lineRule="auto"/>
        <w:ind w:firstLine="420" w:firstLineChars="200"/>
        <w:rPr>
          <w:rFonts w:ascii="宋体" w:hAnsi="宋体"/>
          <w:highlight w:val="none"/>
        </w:rPr>
      </w:pPr>
      <w:r>
        <w:rPr>
          <w:rFonts w:hint="eastAsia" w:ascii="宋体" w:hAnsi="宋体"/>
          <w:highlight w:val="none"/>
        </w:rPr>
        <w:t>评标基准价计算方法：见评标办法前附表。</w:t>
      </w:r>
    </w:p>
    <w:p>
      <w:pPr>
        <w:spacing w:line="360" w:lineRule="auto"/>
        <w:ind w:firstLine="420" w:firstLineChars="200"/>
        <w:rPr>
          <w:rFonts w:ascii="宋体" w:hAnsi="宋体"/>
          <w:highlight w:val="none"/>
        </w:rPr>
      </w:pPr>
      <w:r>
        <w:rPr>
          <w:rFonts w:hint="eastAsia" w:ascii="宋体" w:hAnsi="宋体"/>
          <w:highlight w:val="none"/>
        </w:rPr>
        <w:t>2.2.3 评分标准</w:t>
      </w:r>
      <w:bookmarkStart w:id="241" w:name="_Toc184635095"/>
      <w:r>
        <w:rPr>
          <w:rFonts w:hint="eastAsia" w:ascii="宋体" w:hAnsi="宋体"/>
          <w:highlight w:val="none"/>
        </w:rPr>
        <w:t>:见评标办法前附表；</w:t>
      </w:r>
    </w:p>
    <w:p>
      <w:pPr>
        <w:pStyle w:val="3"/>
        <w:rPr>
          <w:rFonts w:ascii="宋体" w:hAnsi="宋体" w:eastAsia="宋体"/>
          <w:highlight w:val="none"/>
        </w:rPr>
      </w:pPr>
      <w:bookmarkStart w:id="242" w:name="_Toc17876"/>
      <w:bookmarkStart w:id="243" w:name="_Toc512597563"/>
      <w:r>
        <w:rPr>
          <w:rFonts w:hint="eastAsia" w:ascii="宋体" w:hAnsi="宋体" w:eastAsia="宋体"/>
          <w:highlight w:val="none"/>
        </w:rPr>
        <w:t>3、评标程序</w:t>
      </w:r>
      <w:bookmarkEnd w:id="241"/>
      <w:bookmarkEnd w:id="242"/>
      <w:bookmarkEnd w:id="243"/>
    </w:p>
    <w:p>
      <w:pPr>
        <w:pStyle w:val="4"/>
        <w:rPr>
          <w:rFonts w:ascii="宋体" w:hAnsi="宋体"/>
          <w:highlight w:val="none"/>
        </w:rPr>
      </w:pPr>
      <w:bookmarkStart w:id="244" w:name="_Toc3104"/>
      <w:bookmarkStart w:id="245" w:name="_Toc512597564"/>
      <w:bookmarkStart w:id="246" w:name="_Toc26030"/>
      <w:r>
        <w:rPr>
          <w:rFonts w:hint="eastAsia" w:ascii="宋体" w:hAnsi="宋体"/>
          <w:highlight w:val="none"/>
        </w:rPr>
        <w:t>3.1 资格评审</w:t>
      </w:r>
      <w:bookmarkEnd w:id="244"/>
      <w:bookmarkEnd w:id="245"/>
      <w:bookmarkEnd w:id="246"/>
    </w:p>
    <w:p>
      <w:pPr>
        <w:spacing w:line="360" w:lineRule="auto"/>
        <w:ind w:firstLine="420" w:firstLineChars="200"/>
        <w:rPr>
          <w:rFonts w:ascii="宋体" w:hAnsi="宋体"/>
          <w:highlight w:val="none"/>
        </w:rPr>
      </w:pPr>
      <w:r>
        <w:rPr>
          <w:rFonts w:hint="eastAsia" w:ascii="宋体" w:hAnsi="宋体"/>
          <w:highlight w:val="none"/>
        </w:rPr>
        <w:t>3.1.1 采购人或者采购代理机构依据评标办法前附表1.1对投标人的资格进行审查。有一项不符合评审标准的，资格评审不通过。</w:t>
      </w:r>
    </w:p>
    <w:p>
      <w:pPr>
        <w:spacing w:line="360" w:lineRule="auto"/>
        <w:rPr>
          <w:rFonts w:ascii="宋体" w:hAnsi="宋体"/>
          <w:b/>
          <w:sz w:val="24"/>
          <w:szCs w:val="22"/>
          <w:highlight w:val="none"/>
        </w:rPr>
      </w:pPr>
      <w:r>
        <w:rPr>
          <w:rFonts w:hint="eastAsia" w:ascii="宋体" w:hAnsi="宋体"/>
          <w:b/>
          <w:sz w:val="24"/>
          <w:szCs w:val="22"/>
          <w:highlight w:val="none"/>
        </w:rPr>
        <w:t>3.2 初步评审</w:t>
      </w:r>
    </w:p>
    <w:p>
      <w:pPr>
        <w:spacing w:line="360" w:lineRule="auto"/>
        <w:ind w:firstLine="482" w:firstLineChars="200"/>
        <w:rPr>
          <w:highlight w:val="none"/>
        </w:rPr>
      </w:pPr>
      <w:r>
        <w:rPr>
          <w:rFonts w:hint="eastAsia" w:ascii="宋体" w:hAnsi="宋体"/>
          <w:b/>
          <w:sz w:val="24"/>
          <w:szCs w:val="22"/>
          <w:highlight w:val="none"/>
        </w:rPr>
        <w:t>3.2.1</w:t>
      </w:r>
      <w:r>
        <w:rPr>
          <w:rFonts w:hint="eastAsia" w:ascii="宋体" w:hAnsi="宋体"/>
          <w:highlight w:val="none"/>
        </w:rPr>
        <w:t>评标委员会依据评标办法前附表1.2对投标人进行初步评审。有一项不符合评审标准的，初步评审不通过。</w:t>
      </w:r>
    </w:p>
    <w:p>
      <w:pPr>
        <w:spacing w:line="360" w:lineRule="auto"/>
        <w:ind w:firstLine="422" w:firstLineChars="200"/>
        <w:rPr>
          <w:rFonts w:ascii="宋体" w:hAnsi="宋体"/>
          <w:b/>
          <w:bCs/>
          <w:highlight w:val="none"/>
        </w:rPr>
      </w:pPr>
      <w:r>
        <w:rPr>
          <w:rFonts w:hint="eastAsia" w:ascii="宋体" w:hAnsi="宋体"/>
          <w:b/>
          <w:bCs/>
          <w:highlight w:val="none"/>
        </w:rPr>
        <w:t>3.2.2 投标人有以下情形之一的，其投标将被否决：</w:t>
      </w:r>
    </w:p>
    <w:p>
      <w:pPr>
        <w:spacing w:line="360" w:lineRule="auto"/>
        <w:ind w:firstLine="422" w:firstLineChars="200"/>
        <w:rPr>
          <w:rFonts w:ascii="宋体" w:hAnsi="宋体"/>
          <w:b/>
          <w:bCs/>
          <w:highlight w:val="none"/>
        </w:rPr>
      </w:pPr>
      <w:r>
        <w:rPr>
          <w:rFonts w:hint="eastAsia" w:ascii="宋体" w:hAnsi="宋体"/>
          <w:b/>
          <w:bCs/>
          <w:highlight w:val="none"/>
        </w:rPr>
        <w:t>(l）串通投标或弄虚作假或有其他违法行为的；</w:t>
      </w:r>
    </w:p>
    <w:p>
      <w:pPr>
        <w:spacing w:line="360" w:lineRule="auto"/>
        <w:ind w:firstLine="422" w:firstLineChars="200"/>
        <w:rPr>
          <w:rFonts w:ascii="宋体" w:hAnsi="宋体"/>
          <w:b/>
          <w:bCs/>
          <w:highlight w:val="none"/>
        </w:rPr>
      </w:pPr>
      <w:r>
        <w:rPr>
          <w:rFonts w:hint="eastAsia" w:ascii="宋体" w:hAnsi="宋体"/>
          <w:b/>
          <w:bCs/>
          <w:highlight w:val="none"/>
        </w:rPr>
        <w:t>(2）不按评标委员会要求澄清、说明或补正的。</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3.2.2.1有下列情形之一的，视为投标人相互串通投标：</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（1）不同投标人的投标文件由同一单位或者个人编制；</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（2）不同投标人委托同一单位或者个人办理投标事宜；</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（3）不同投标人的投标文件载明的项目管理成员为同一人；</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（4）不同投标人的投标文件异常一致或者投标报价呈规律性差异；</w:t>
      </w:r>
    </w:p>
    <w:p>
      <w:pPr>
        <w:autoSpaceDE w:val="0"/>
        <w:autoSpaceDN w:val="0"/>
        <w:adjustRightInd w:val="0"/>
        <w:snapToGrid w:val="0"/>
        <w:spacing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（5）不同投标人的投标文件相互混装；</w:t>
      </w:r>
    </w:p>
    <w:p>
      <w:pPr>
        <w:autoSpaceDE w:val="0"/>
        <w:autoSpaceDN w:val="0"/>
        <w:adjustRightInd w:val="0"/>
        <w:snapToGrid w:val="0"/>
        <w:spacing w:beforeLines="50" w:line="360" w:lineRule="auto"/>
        <w:ind w:firstLine="1058" w:firstLineChars="504"/>
        <w:jc w:val="left"/>
        <w:rPr>
          <w:rFonts w:ascii="宋体" w:hAnsi="宋体"/>
          <w:highlight w:val="none"/>
        </w:rPr>
      </w:pPr>
      <w:r>
        <w:rPr>
          <w:rFonts w:hint="eastAsia" w:ascii="宋体" w:hAnsi="宋体"/>
          <w:kern w:val="0"/>
          <w:highlight w:val="none"/>
        </w:rPr>
        <w:t xml:space="preserve"> （6）不同投标人的投标保证金从同一单位或者个人的账户转出。</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3.2.2.2参与同一个标段（包）的供应商存在下列情形之一的，其投标（响应）文件无效：</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（一）不同供应商的电子投标（响应）文件上传计算机的网卡MAC地址、CPU序列号和硬盘序列号等硬件信息相同的；</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（二）不同供应商的投标（响应）文件由同一电子设备编制、打印加密或者上传；</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（三）不同供应商的投标（响应）文件由同一电子设备打印、复印；</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（四）不同供应商的投标（响应）文件由同一人送达或者分发，或者不同供应商联系人为同一人或不同联系人的联系电话一致的；</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（五）不同供应商的投标（响应）文件的内容存在两处以上细节错误一致；</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（六）不同供应商的法定代表人、委托代理人、项目经理、项目负责人等由同一个单位缴纳社会保险或者领取报酬的；</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（七）不同供应商投标（响应）文件中法定代表人或者负责人签字出自同一人之手；</w:t>
      </w:r>
    </w:p>
    <w:p>
      <w:pPr>
        <w:autoSpaceDE w:val="0"/>
        <w:autoSpaceDN w:val="0"/>
        <w:adjustRightInd w:val="0"/>
        <w:snapToGrid w:val="0"/>
        <w:spacing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（八）其它涉嫌串通的情形。</w:t>
      </w:r>
    </w:p>
    <w:p>
      <w:pPr>
        <w:spacing w:line="360" w:lineRule="auto"/>
        <w:ind w:firstLine="420"/>
        <w:rPr>
          <w:rFonts w:ascii="宋体" w:hAnsi="宋体"/>
          <w:highlight w:val="none"/>
        </w:rPr>
      </w:pPr>
      <w:r>
        <w:rPr>
          <w:rFonts w:hint="eastAsia" w:ascii="宋体" w:hAnsi="宋体"/>
          <w:b/>
          <w:sz w:val="24"/>
          <w:szCs w:val="22"/>
          <w:highlight w:val="none"/>
        </w:rPr>
        <w:t xml:space="preserve">3.2.3 </w:t>
      </w:r>
      <w:r>
        <w:rPr>
          <w:rFonts w:hint="eastAsia" w:ascii="宋体" w:hAnsi="宋体"/>
          <w:szCs w:val="22"/>
          <w:highlight w:val="none"/>
        </w:rPr>
        <w:t>投标</w:t>
      </w:r>
      <w:r>
        <w:rPr>
          <w:rFonts w:hint="eastAsia" w:ascii="宋体" w:hAnsi="宋体"/>
          <w:highlight w:val="none"/>
        </w:rPr>
        <w:t>报价有算术错误的，评标委员会按以下原则对投标报价进行修正，修正的价格经投标人确认后具有约束力。投标人不接受修正价格的，其投标将被否决。</w:t>
      </w:r>
      <w:bookmarkStart w:id="247" w:name="_Toc28054"/>
      <w:bookmarkStart w:id="248" w:name="_Toc512597565"/>
    </w:p>
    <w:p>
      <w:pPr>
        <w:spacing w:line="360" w:lineRule="auto"/>
        <w:ind w:firstLine="420"/>
        <w:rPr>
          <w:rFonts w:ascii="宋体" w:hAnsi="宋体"/>
          <w:szCs w:val="22"/>
          <w:highlight w:val="none"/>
        </w:rPr>
      </w:pPr>
      <w:r>
        <w:rPr>
          <w:rFonts w:hint="eastAsia" w:ascii="宋体" w:hAnsi="宋体"/>
          <w:szCs w:val="22"/>
          <w:highlight w:val="none"/>
        </w:rPr>
        <w:t>（一）投标文件中开标一览表（报价表）内容与投标文件中相应内容不一致的，以开标一览表（报价表）为准；</w:t>
      </w:r>
    </w:p>
    <w:p>
      <w:pPr>
        <w:spacing w:line="360" w:lineRule="auto"/>
        <w:ind w:firstLine="420"/>
        <w:rPr>
          <w:rFonts w:ascii="宋体" w:hAnsi="宋体"/>
          <w:szCs w:val="22"/>
          <w:highlight w:val="none"/>
        </w:rPr>
      </w:pPr>
      <w:r>
        <w:rPr>
          <w:rFonts w:hint="eastAsia" w:ascii="宋体" w:hAnsi="宋体"/>
          <w:szCs w:val="22"/>
          <w:highlight w:val="none"/>
        </w:rPr>
        <w:t>（二）大写金额和小写金额不一致的，以大写金额为准；</w:t>
      </w:r>
    </w:p>
    <w:p>
      <w:pPr>
        <w:spacing w:line="360" w:lineRule="auto"/>
        <w:ind w:firstLine="420"/>
        <w:rPr>
          <w:rFonts w:ascii="宋体" w:hAnsi="宋体"/>
          <w:szCs w:val="22"/>
          <w:highlight w:val="none"/>
        </w:rPr>
      </w:pPr>
      <w:r>
        <w:rPr>
          <w:rFonts w:hint="eastAsia" w:ascii="宋体" w:hAnsi="宋体"/>
          <w:szCs w:val="22"/>
          <w:highlight w:val="none"/>
        </w:rPr>
        <w:t>（三）单价金额小数点或者百分比有明显错位的，以开标一览表的总价为准，并修改单价；</w:t>
      </w:r>
    </w:p>
    <w:p>
      <w:pPr>
        <w:spacing w:line="360" w:lineRule="auto"/>
        <w:ind w:firstLine="420"/>
        <w:rPr>
          <w:rFonts w:ascii="宋体" w:hAnsi="宋体"/>
          <w:szCs w:val="22"/>
          <w:highlight w:val="none"/>
        </w:rPr>
      </w:pPr>
      <w:r>
        <w:rPr>
          <w:rFonts w:hint="eastAsia" w:ascii="宋体" w:hAnsi="宋体"/>
          <w:szCs w:val="22"/>
          <w:highlight w:val="none"/>
        </w:rPr>
        <w:t>（四）总价金额与按单价汇总金额不一致的，以单价金额计算结果为准。</w:t>
      </w:r>
    </w:p>
    <w:p>
      <w:pPr>
        <w:spacing w:line="360" w:lineRule="auto"/>
        <w:ind w:firstLine="420"/>
        <w:rPr>
          <w:rFonts w:ascii="宋体" w:hAnsi="宋体"/>
          <w:szCs w:val="22"/>
          <w:highlight w:val="none"/>
        </w:rPr>
      </w:pPr>
      <w:r>
        <w:rPr>
          <w:rFonts w:hint="eastAsia" w:ascii="宋体" w:hAnsi="宋体"/>
          <w:szCs w:val="22"/>
          <w:highlight w:val="none"/>
        </w:rPr>
        <w:t>同时出现两种以上不一致的，按照前款规定的顺序修正。修正后的报价经投标人确认后产生约束力，投标人不确认的，其投标无效</w:t>
      </w:r>
    </w:p>
    <w:p>
      <w:pPr>
        <w:pStyle w:val="4"/>
        <w:ind w:firstLine="420"/>
        <w:rPr>
          <w:rFonts w:ascii="宋体" w:hAnsi="宋体"/>
          <w:highlight w:val="none"/>
        </w:rPr>
      </w:pPr>
      <w:bookmarkStart w:id="249" w:name="_Toc12820"/>
      <w:r>
        <w:rPr>
          <w:rFonts w:hint="eastAsia" w:ascii="宋体" w:hAnsi="宋体"/>
          <w:highlight w:val="none"/>
        </w:rPr>
        <w:t>3.2 详细评审</w:t>
      </w:r>
      <w:bookmarkEnd w:id="247"/>
      <w:bookmarkEnd w:id="248"/>
      <w:bookmarkEnd w:id="249"/>
    </w:p>
    <w:p>
      <w:pPr>
        <w:spacing w:line="360" w:lineRule="auto"/>
        <w:ind w:firstLine="420" w:firstLineChars="200"/>
        <w:rPr>
          <w:rFonts w:ascii="宋体" w:hAnsi="宋体"/>
          <w:highlight w:val="none"/>
        </w:rPr>
      </w:pPr>
      <w:r>
        <w:rPr>
          <w:rFonts w:hint="eastAsia" w:ascii="宋体" w:hAnsi="宋体"/>
          <w:highlight w:val="none"/>
        </w:rPr>
        <w:t>3.2.1 评标委员会按本章规定的量化因素和分值进行打分，并计算出综合评估得分。</w:t>
      </w:r>
    </w:p>
    <w:p>
      <w:pPr>
        <w:spacing w:line="360" w:lineRule="auto"/>
        <w:ind w:firstLine="420" w:firstLineChars="200"/>
        <w:rPr>
          <w:rFonts w:ascii="宋体" w:hAnsi="宋体"/>
          <w:highlight w:val="none"/>
        </w:rPr>
      </w:pPr>
      <w:r>
        <w:rPr>
          <w:rFonts w:hint="eastAsia" w:ascii="宋体" w:hAnsi="宋体"/>
          <w:highlight w:val="none"/>
        </w:rPr>
        <w:t>3.2.2 评分分值计算保留小数点后两位，小数点后第三位“四舍五入”。</w:t>
      </w:r>
    </w:p>
    <w:p>
      <w:pPr>
        <w:spacing w:line="360" w:lineRule="auto"/>
        <w:ind w:firstLine="420" w:firstLineChars="200"/>
        <w:rPr>
          <w:rFonts w:ascii="宋体" w:hAnsi="宋体"/>
          <w:highlight w:val="none"/>
        </w:rPr>
      </w:pPr>
      <w:r>
        <w:rPr>
          <w:rFonts w:hint="eastAsia" w:ascii="宋体" w:hAnsi="宋体"/>
          <w:highlight w:val="none"/>
        </w:rPr>
        <w:t>3.2.3 最终得分为各个评委计分的算术平均值。</w:t>
      </w:r>
    </w:p>
    <w:p>
      <w:pPr>
        <w:pStyle w:val="4"/>
        <w:rPr>
          <w:rFonts w:ascii="宋体" w:hAnsi="宋体"/>
          <w:highlight w:val="none"/>
        </w:rPr>
      </w:pPr>
      <w:bookmarkStart w:id="250" w:name="_Toc32480"/>
      <w:bookmarkStart w:id="251" w:name="_Toc19217"/>
      <w:bookmarkStart w:id="252" w:name="_Toc512597566"/>
      <w:r>
        <w:rPr>
          <w:rFonts w:hint="eastAsia" w:ascii="宋体" w:hAnsi="宋体"/>
          <w:highlight w:val="none"/>
        </w:rPr>
        <w:t>3.3 投标文件的澄清和补正</w:t>
      </w:r>
      <w:bookmarkEnd w:id="250"/>
      <w:bookmarkEnd w:id="251"/>
      <w:bookmarkEnd w:id="252"/>
    </w:p>
    <w:p>
      <w:pPr>
        <w:spacing w:line="360" w:lineRule="auto"/>
        <w:ind w:firstLine="420" w:firstLineChars="200"/>
        <w:rPr>
          <w:rFonts w:ascii="宋体" w:hAnsi="宋体"/>
          <w:highlight w:val="none"/>
        </w:rPr>
      </w:pPr>
      <w:r>
        <w:rPr>
          <w:rFonts w:hint="eastAsia" w:ascii="宋体" w:hAnsi="宋体"/>
          <w:highlight w:val="none"/>
        </w:rPr>
        <w:t>3.3.1 在评标过程中，评标委员会可以交易系通中发起投标人对所提交投标文件中不明确的内容进行澄清或说明，或者对细微偏差进行补正。评标委员会不接受投标人主动提出的澄清、说明或补正。</w:t>
      </w:r>
    </w:p>
    <w:p>
      <w:pPr>
        <w:spacing w:line="360" w:lineRule="auto"/>
        <w:ind w:firstLine="420" w:firstLineChars="200"/>
        <w:rPr>
          <w:rFonts w:ascii="宋体" w:hAnsi="宋体"/>
          <w:highlight w:val="none"/>
        </w:rPr>
      </w:pPr>
      <w:r>
        <w:rPr>
          <w:rFonts w:hint="eastAsia" w:ascii="宋体" w:hAnsi="宋体"/>
          <w:highlight w:val="none"/>
        </w:rPr>
        <w:t>3.3.2 澄清、说明和补正不得改变投标文件的实质性内容（算术性错误修正的除外）。投标人的澄清、说明和补正属于投标文件的组成部分。</w:t>
      </w:r>
    </w:p>
    <w:p>
      <w:pPr>
        <w:spacing w:line="360" w:lineRule="auto"/>
        <w:ind w:firstLine="420" w:firstLineChars="200"/>
        <w:rPr>
          <w:rFonts w:ascii="宋体" w:hAnsi="宋体"/>
          <w:highlight w:val="none"/>
        </w:rPr>
      </w:pPr>
      <w:r>
        <w:rPr>
          <w:rFonts w:hint="eastAsia" w:ascii="宋体" w:hAnsi="宋体"/>
          <w:highlight w:val="none"/>
        </w:rPr>
        <w:t>3.3.3 评标委员会对投标人提交的澄清、说明或补正有疑问的，可以要求投标人进一步澄清、说明或补正，直至满足评标委员会的要求。</w:t>
      </w:r>
    </w:p>
    <w:p>
      <w:pPr>
        <w:pStyle w:val="4"/>
        <w:rPr>
          <w:rFonts w:ascii="宋体" w:hAnsi="宋体"/>
          <w:highlight w:val="none"/>
        </w:rPr>
      </w:pPr>
      <w:bookmarkStart w:id="253" w:name="_Toc14967"/>
      <w:bookmarkStart w:id="254" w:name="_Toc512597567"/>
      <w:bookmarkStart w:id="255" w:name="_Toc8440"/>
      <w:r>
        <w:rPr>
          <w:rFonts w:hint="eastAsia" w:ascii="宋体" w:hAnsi="宋体"/>
          <w:highlight w:val="none"/>
        </w:rPr>
        <w:t>3.4 评标结果</w:t>
      </w:r>
      <w:bookmarkEnd w:id="253"/>
      <w:bookmarkEnd w:id="254"/>
      <w:bookmarkEnd w:id="255"/>
    </w:p>
    <w:p>
      <w:pPr>
        <w:spacing w:line="360" w:lineRule="auto"/>
        <w:ind w:firstLine="420" w:firstLineChars="200"/>
        <w:rPr>
          <w:rFonts w:ascii="宋体" w:hAnsi="宋体"/>
          <w:highlight w:val="none"/>
        </w:rPr>
      </w:pPr>
      <w:r>
        <w:rPr>
          <w:rFonts w:hint="eastAsia" w:ascii="宋体" w:hAnsi="宋体"/>
          <w:highlight w:val="none"/>
        </w:rPr>
        <w:t>3.4.1 评标委员会按照得分由高到低的顺序推荐3名中标候选人。</w:t>
      </w:r>
    </w:p>
    <w:p>
      <w:pPr>
        <w:spacing w:line="360" w:lineRule="auto"/>
        <w:ind w:firstLine="420" w:firstLineChars="200"/>
        <w:rPr>
          <w:rFonts w:ascii="宋体" w:hAnsi="宋体"/>
          <w:highlight w:val="none"/>
        </w:rPr>
      </w:pPr>
      <w:r>
        <w:rPr>
          <w:rFonts w:hint="eastAsia" w:ascii="宋体" w:hAnsi="宋体"/>
          <w:highlight w:val="none"/>
        </w:rPr>
        <w:t>3.4.2 评标委员会完成评标后，应当向采购人提交评标报告。</w:t>
      </w:r>
    </w:p>
    <w:p>
      <w:pPr>
        <w:pStyle w:val="2"/>
        <w:jc w:val="center"/>
        <w:rPr>
          <w:rFonts w:ascii="宋体" w:hAnsi="宋体"/>
          <w:sz w:val="36"/>
          <w:szCs w:val="36"/>
          <w:highlight w:val="none"/>
        </w:rPr>
        <w:sectPr>
          <w:footerReference r:id="rId4" w:type="default"/>
          <w:pgSz w:w="11906" w:h="16838"/>
          <w:pgMar w:top="1418" w:right="1134" w:bottom="1418" w:left="1134" w:header="851" w:footer="992" w:gutter="0"/>
          <w:cols w:space="720" w:num="1"/>
          <w:docGrid w:type="lines" w:linePitch="312" w:charSpace="0"/>
        </w:sectPr>
      </w:pPr>
      <w:bookmarkStart w:id="256" w:name="_Toc14416_WPSOffice_Level1"/>
      <w:bookmarkStart w:id="257" w:name="_Toc512597568"/>
      <w:bookmarkStart w:id="258" w:name="_Toc5097"/>
      <w:bookmarkStart w:id="259" w:name="_Toc29670"/>
    </w:p>
    <w:p>
      <w:pPr>
        <w:pStyle w:val="2"/>
        <w:jc w:val="center"/>
        <w:rPr>
          <w:rFonts w:ascii="宋体" w:hAnsi="宋体"/>
          <w:sz w:val="36"/>
          <w:szCs w:val="36"/>
          <w:highlight w:val="none"/>
        </w:rPr>
      </w:pPr>
      <w:r>
        <w:rPr>
          <w:rFonts w:hint="eastAsia" w:ascii="宋体" w:hAnsi="宋体"/>
          <w:sz w:val="36"/>
          <w:szCs w:val="36"/>
          <w:highlight w:val="none"/>
        </w:rPr>
        <w:t>第四章 合同条款及格式</w:t>
      </w:r>
      <w:bookmarkEnd w:id="256"/>
      <w:bookmarkEnd w:id="257"/>
      <w:bookmarkEnd w:id="258"/>
      <w:bookmarkEnd w:id="259"/>
    </w:p>
    <w:p>
      <w:pPr>
        <w:rPr>
          <w:rFonts w:ascii="宋体" w:hAnsi="宋体"/>
          <w:sz w:val="36"/>
          <w:szCs w:val="36"/>
          <w:highlight w:val="none"/>
        </w:rPr>
      </w:pPr>
      <w:r>
        <w:rPr>
          <w:rFonts w:ascii="宋体" w:hAnsi="宋体"/>
          <w:sz w:val="36"/>
          <w:szCs w:val="36"/>
          <w:highlight w:val="none"/>
        </w:rPr>
        <w:br w:type="page"/>
      </w:r>
    </w:p>
    <w:p>
      <w:pPr>
        <w:tabs>
          <w:tab w:val="left" w:pos="3120"/>
        </w:tabs>
        <w:spacing w:line="360" w:lineRule="auto"/>
        <w:jc w:val="center"/>
        <w:rPr>
          <w:rFonts w:ascii="宋体" w:hAnsi="宋体"/>
          <w:b/>
          <w:bCs/>
          <w:sz w:val="48"/>
          <w:szCs w:val="48"/>
          <w:highlight w:val="none"/>
        </w:rPr>
      </w:pPr>
      <w:r>
        <w:rPr>
          <w:rFonts w:hint="eastAsia" w:ascii="宋体" w:hAnsi="宋体"/>
          <w:b/>
          <w:bCs/>
          <w:sz w:val="48"/>
          <w:szCs w:val="48"/>
          <w:highlight w:val="none"/>
        </w:rPr>
        <w:t>合同协议书</w:t>
      </w:r>
    </w:p>
    <w:p>
      <w:pPr>
        <w:tabs>
          <w:tab w:val="left" w:pos="3120"/>
        </w:tabs>
        <w:spacing w:line="360" w:lineRule="auto"/>
        <w:ind w:firstLine="482" w:firstLineChars="200"/>
        <w:jc w:val="center"/>
        <w:rPr>
          <w:rFonts w:ascii="宋体" w:hAnsi="宋体"/>
          <w:b/>
          <w:bCs/>
          <w:sz w:val="24"/>
          <w:szCs w:val="24"/>
          <w:highlight w:val="none"/>
        </w:rPr>
      </w:pPr>
    </w:p>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甲方（全称）：</w:t>
      </w:r>
      <w:r>
        <w:rPr>
          <w:rFonts w:hint="eastAsia" w:ascii="宋体" w:hAnsi="宋体"/>
          <w:b/>
          <w:sz w:val="24"/>
          <w:szCs w:val="24"/>
          <w:highlight w:val="none"/>
          <w:u w:val="single"/>
        </w:rPr>
        <w:t xml:space="preserve">平顶山市新华区环境卫生服务中心                                </w:t>
      </w:r>
    </w:p>
    <w:p>
      <w:pPr>
        <w:adjustRightInd w:val="0"/>
        <w:snapToGrid w:val="0"/>
        <w:spacing w:line="360" w:lineRule="auto"/>
        <w:ind w:firstLine="482" w:firstLineChars="200"/>
        <w:rPr>
          <w:rFonts w:ascii="宋体" w:hAnsi="宋体"/>
          <w:sz w:val="24"/>
          <w:szCs w:val="24"/>
          <w:highlight w:val="none"/>
        </w:rPr>
      </w:pPr>
      <w:r>
        <w:rPr>
          <w:rFonts w:hint="eastAsia" w:ascii="宋体" w:hAnsi="宋体"/>
          <w:b/>
          <w:sz w:val="24"/>
          <w:szCs w:val="24"/>
          <w:highlight w:val="none"/>
        </w:rPr>
        <w:t>乙方（全称）：</w:t>
      </w:r>
      <w:r>
        <w:rPr>
          <w:rFonts w:hint="eastAsia" w:ascii="宋体" w:hAnsi="宋体"/>
          <w:b/>
          <w:sz w:val="24"/>
          <w:szCs w:val="24"/>
          <w:highlight w:val="none"/>
          <w:u w:val="single"/>
        </w:rPr>
        <w:t xml:space="preserve">                                               </w:t>
      </w:r>
      <w:r>
        <w:rPr>
          <w:rFonts w:hint="eastAsia" w:ascii="宋体" w:hAnsi="宋体"/>
          <w:sz w:val="24"/>
          <w:szCs w:val="24"/>
          <w:highlight w:val="none"/>
          <w:u w:val="single"/>
        </w:rPr>
        <w:t xml:space="preserve"> </w:t>
      </w:r>
    </w:p>
    <w:p>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根据《中华人民共和国民典法》及其他有关法律、法规，遵循平等、自愿、公平和诚信的原则，双方就下述项目与相关服务事项协商一致，订立本合同。</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一、项目概况</w:t>
      </w:r>
    </w:p>
    <w:p>
      <w:pPr>
        <w:bidi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1.项目名称：</w:t>
      </w:r>
      <w:r>
        <w:rPr>
          <w:rFonts w:hint="eastAsia" w:ascii="宋体" w:hAnsi="宋体"/>
          <w:sz w:val="24"/>
          <w:szCs w:val="24"/>
          <w:highlight w:val="none"/>
          <w:u w:val="single"/>
        </w:rPr>
        <w:t xml:space="preserve"> 平顶山市新华区环境卫生服务中心生活垃圾收运及环境整治（垃圾中转站配套升级改造）项目                                                      </w:t>
      </w:r>
    </w:p>
    <w:p>
      <w:pPr>
        <w:adjustRightInd w:val="0"/>
        <w:snapToGrid w:val="0"/>
        <w:spacing w:line="360" w:lineRule="auto"/>
        <w:ind w:firstLine="475" w:firstLineChars="198"/>
        <w:rPr>
          <w:rFonts w:ascii="宋体" w:hAnsi="宋体"/>
          <w:sz w:val="24"/>
          <w:szCs w:val="24"/>
          <w:highlight w:val="none"/>
          <w:u w:val="single"/>
        </w:rPr>
      </w:pPr>
      <w:r>
        <w:rPr>
          <w:rFonts w:hint="eastAsia" w:ascii="宋体" w:hAnsi="宋体"/>
          <w:sz w:val="24"/>
          <w:szCs w:val="24"/>
          <w:highlight w:val="none"/>
        </w:rPr>
        <w:t>2.合同内容</w:t>
      </w:r>
      <w:r>
        <w:rPr>
          <w:rFonts w:hint="eastAsia" w:ascii="宋体" w:hAnsi="宋体"/>
          <w:sz w:val="24"/>
          <w:szCs w:val="24"/>
          <w:highlight w:val="none"/>
          <w:lang w:val="en-US" w:eastAsia="zh-CN"/>
        </w:rPr>
        <w:t>主要</w:t>
      </w:r>
      <w:r>
        <w:rPr>
          <w:rFonts w:hint="eastAsia" w:ascii="宋体" w:hAnsi="宋体"/>
          <w:sz w:val="24"/>
          <w:szCs w:val="24"/>
          <w:highlight w:val="none"/>
        </w:rPr>
        <w:t>：</w:t>
      </w:r>
      <w:r>
        <w:rPr>
          <w:rFonts w:hint="eastAsia" w:ascii="宋体" w:hAnsi="宋体"/>
          <w:sz w:val="24"/>
          <w:szCs w:val="24"/>
          <w:highlight w:val="none"/>
          <w:u w:val="single"/>
        </w:rPr>
        <w:t xml:space="preserve">平顶山市新华区环境卫生服务中心生活垃圾收运及环境整治（垃圾中转站配套升级改造）项目，包含体南餐厨垃圾减量化处理中心改造、长青路垃圾分拣中心改造、武庄垃圾分拣中心改造、中央花园大件垃圾 处理中心、街心花园垃圾分类宣教中心、双鹰垃圾中转站垂直压缩机更换、陈庄沟垃圾中转站垂直压缩机更换、移动箱体及车厢可卸式垃圾车配套建设。主要内容包括土建部分：拆除部分墙体、外立面原墙砖、室内墙裙、室内抹灰层、25cm厚混凝土地面；新建地砖及环氧地坪漆地面、白色乳胶漆内墙面、柔性石材外墙面、矿棉板吊顶等；安装部分：配电箱、电缆、开关、插座等；设备部分：垃圾车、吸污车等内容 </w:t>
      </w:r>
      <w:r>
        <w:rPr>
          <w:rFonts w:hint="eastAsia" w:ascii="宋体" w:hAnsi="宋体"/>
          <w:sz w:val="24"/>
          <w:szCs w:val="24"/>
          <w:highlight w:val="none"/>
          <w:u w:val="single"/>
          <w:lang w:val="en-US" w:eastAsia="zh-CN"/>
        </w:rPr>
        <w:t>,具体内容以清单及图纸为准。</w:t>
      </w:r>
      <w:r>
        <w:rPr>
          <w:rFonts w:hint="eastAsia" w:ascii="宋体" w:hAnsi="宋体"/>
          <w:sz w:val="24"/>
          <w:szCs w:val="24"/>
          <w:highlight w:val="none"/>
          <w:u w:val="single"/>
        </w:rPr>
        <w:t xml:space="preserve">                                </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服务地点</w:t>
      </w:r>
      <w:r>
        <w:rPr>
          <w:rFonts w:hint="eastAsia" w:ascii="宋体" w:hAnsi="宋体"/>
          <w:sz w:val="24"/>
          <w:szCs w:val="24"/>
          <w:highlight w:val="none"/>
        </w:rPr>
        <w:t>：</w:t>
      </w:r>
      <w:r>
        <w:rPr>
          <w:rFonts w:hint="eastAsia" w:ascii="宋体" w:hAnsi="宋体"/>
          <w:sz w:val="24"/>
          <w:szCs w:val="24"/>
          <w:highlight w:val="none"/>
          <w:u w:val="single"/>
        </w:rPr>
        <w:t xml:space="preserve">甲方指定地点。                          </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三、组成本合同的文件</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rPr>
        <w:t>1.协议书；</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rPr>
        <w:t>2.中标通知书；</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rPr>
        <w:t>3.投标文件；</w:t>
      </w:r>
    </w:p>
    <w:p>
      <w:pPr>
        <w:adjustRightInd w:val="0"/>
        <w:snapToGrid w:val="0"/>
        <w:spacing w:line="360" w:lineRule="auto"/>
        <w:ind w:firstLine="475" w:firstLineChars="198"/>
        <w:rPr>
          <w:rFonts w:hint="eastAsia" w:ascii="宋体" w:hAnsi="宋体"/>
          <w:sz w:val="24"/>
          <w:szCs w:val="24"/>
          <w:highlight w:val="none"/>
        </w:rPr>
      </w:pPr>
      <w:r>
        <w:rPr>
          <w:rFonts w:hint="eastAsia" w:ascii="宋体" w:hAnsi="宋体"/>
          <w:sz w:val="24"/>
          <w:szCs w:val="24"/>
          <w:highlight w:val="none"/>
        </w:rPr>
        <w:t>4.招标文件；</w:t>
      </w:r>
    </w:p>
    <w:p>
      <w:pPr>
        <w:adjustRightInd w:val="0"/>
        <w:snapToGrid w:val="0"/>
        <w:spacing w:line="360" w:lineRule="auto"/>
        <w:ind w:firstLine="475" w:firstLineChars="198"/>
        <w:rPr>
          <w:rFonts w:hint="default" w:eastAsia="宋体"/>
          <w:highlight w:val="none"/>
          <w:lang w:val="en-US" w:eastAsia="zh-CN"/>
        </w:rPr>
      </w:pPr>
      <w:r>
        <w:rPr>
          <w:rFonts w:hint="eastAsia" w:ascii="宋体" w:hAnsi="宋体"/>
          <w:sz w:val="24"/>
          <w:szCs w:val="24"/>
          <w:highlight w:val="none"/>
          <w:lang w:val="en-US" w:eastAsia="zh-CN"/>
        </w:rPr>
        <w:t>5.图纸及清单</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.本合同签订后，双方依法签订的补充协议也是本合同文件的组成部分；</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lang w:eastAsia="zh-CN"/>
        </w:rPr>
        <w:t>除第</w:t>
      </w:r>
      <w:r>
        <w:rPr>
          <w:rFonts w:hint="eastAsia" w:ascii="宋体" w:hAnsi="宋体"/>
          <w:sz w:val="24"/>
          <w:szCs w:val="24"/>
          <w:highlight w:val="none"/>
          <w:lang w:val="en-US" w:eastAsia="zh-CN"/>
        </w:rPr>
        <w:t>6条外，</w:t>
      </w:r>
      <w:r>
        <w:rPr>
          <w:rFonts w:hint="eastAsia" w:ascii="宋体" w:hAnsi="宋体"/>
          <w:sz w:val="24"/>
          <w:szCs w:val="24"/>
          <w:highlight w:val="none"/>
        </w:rPr>
        <w:t>合同的解释顺序按上述排序解释。</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四、合同价格</w:t>
      </w:r>
    </w:p>
    <w:p>
      <w:pPr>
        <w:adjustRightInd w:val="0"/>
        <w:snapToGrid w:val="0"/>
        <w:spacing w:line="360" w:lineRule="auto"/>
        <w:ind w:firstLine="475" w:firstLineChars="198"/>
        <w:rPr>
          <w:rFonts w:ascii="宋体" w:hAnsi="宋体"/>
          <w:kern w:val="0"/>
          <w:sz w:val="24"/>
          <w:szCs w:val="24"/>
          <w:highlight w:val="none"/>
        </w:rPr>
      </w:pPr>
      <w:r>
        <w:rPr>
          <w:rFonts w:hint="eastAsia" w:ascii="宋体" w:hAnsi="宋体"/>
          <w:kern w:val="0"/>
          <w:sz w:val="24"/>
          <w:szCs w:val="24"/>
          <w:highlight w:val="none"/>
        </w:rPr>
        <w:t xml:space="preserve">合同价格（大写）： </w:t>
      </w:r>
    </w:p>
    <w:p>
      <w:pPr>
        <w:adjustRightInd w:val="0"/>
        <w:snapToGrid w:val="0"/>
        <w:spacing w:line="360" w:lineRule="auto"/>
        <w:ind w:firstLine="2152" w:firstLineChars="897"/>
        <w:rPr>
          <w:rFonts w:ascii="宋体" w:hAnsi="宋体"/>
          <w:kern w:val="0"/>
          <w:sz w:val="24"/>
          <w:szCs w:val="24"/>
          <w:highlight w:val="none"/>
        </w:rPr>
      </w:pPr>
      <w:r>
        <w:rPr>
          <w:rFonts w:hint="eastAsia" w:ascii="宋体" w:hAnsi="宋体"/>
          <w:kern w:val="0"/>
          <w:sz w:val="24"/>
          <w:szCs w:val="24"/>
          <w:highlight w:val="none"/>
        </w:rPr>
        <w:t>¥ ：</w:t>
      </w:r>
    </w:p>
    <w:p>
      <w:pPr>
        <w:numPr>
          <w:ilvl w:val="0"/>
          <w:numId w:val="5"/>
        </w:num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付款办法</w:t>
      </w:r>
    </w:p>
    <w:p>
      <w:pPr>
        <w:spacing w:line="360" w:lineRule="auto"/>
        <w:ind w:firstLine="475" w:firstLineChars="198"/>
        <w:outlineLvl w:val="0"/>
        <w:rPr>
          <w:rFonts w:hint="eastAsia" w:ascii="宋体" w:hAnsi="宋体"/>
          <w:kern w:val="0"/>
          <w:sz w:val="24"/>
          <w:szCs w:val="24"/>
          <w:highlight w:val="none"/>
        </w:rPr>
      </w:pPr>
      <w:r>
        <w:rPr>
          <w:rFonts w:hint="eastAsia" w:ascii="宋体" w:hAnsi="宋体"/>
          <w:kern w:val="0"/>
          <w:sz w:val="24"/>
          <w:szCs w:val="24"/>
          <w:highlight w:val="none"/>
        </w:rPr>
        <w:t>1、合同签订后，采购方向中标人支付中标金额的30%作为预付款；</w:t>
      </w:r>
    </w:p>
    <w:p>
      <w:pPr>
        <w:spacing w:line="360" w:lineRule="auto"/>
        <w:ind w:firstLine="475" w:firstLineChars="198"/>
        <w:outlineLvl w:val="0"/>
        <w:rPr>
          <w:rFonts w:hint="eastAsia" w:ascii="宋体" w:hAnsi="宋体"/>
          <w:kern w:val="0"/>
          <w:sz w:val="24"/>
          <w:szCs w:val="24"/>
          <w:highlight w:val="none"/>
        </w:rPr>
      </w:pPr>
      <w:r>
        <w:rPr>
          <w:rFonts w:hint="eastAsia" w:ascii="宋体" w:hAnsi="宋体"/>
          <w:kern w:val="0"/>
          <w:sz w:val="24"/>
          <w:szCs w:val="24"/>
          <w:highlight w:val="none"/>
        </w:rPr>
        <w:t>2、工程竣工验收及货物全部交付并安装调试完成，经验收合格后采购方向中标人付中标金额的70%。</w:t>
      </w:r>
    </w:p>
    <w:p>
      <w:pPr>
        <w:spacing w:line="360" w:lineRule="auto"/>
        <w:ind w:firstLine="477" w:firstLineChars="198"/>
        <w:outlineLvl w:val="0"/>
        <w:rPr>
          <w:rFonts w:hint="eastAsia" w:ascii="宋体" w:hAnsi="宋体"/>
          <w:b/>
          <w:sz w:val="24"/>
          <w:szCs w:val="24"/>
          <w:highlight w:val="none"/>
        </w:rPr>
      </w:pPr>
      <w:r>
        <w:rPr>
          <w:rFonts w:hint="eastAsia" w:ascii="宋体" w:hAnsi="宋体"/>
          <w:b/>
          <w:sz w:val="24"/>
          <w:szCs w:val="24"/>
          <w:highlight w:val="none"/>
        </w:rPr>
        <w:t>六、服务期限</w:t>
      </w:r>
    </w:p>
    <w:p>
      <w:pPr>
        <w:spacing w:line="360" w:lineRule="auto"/>
        <w:ind w:firstLine="475" w:firstLineChars="198"/>
        <w:outlineLvl w:val="0"/>
        <w:rPr>
          <w:rFonts w:hint="eastAsia" w:ascii="宋体" w:hAnsi="宋体"/>
          <w:sz w:val="24"/>
          <w:szCs w:val="24"/>
          <w:highlight w:val="none"/>
        </w:rPr>
      </w:pPr>
      <w:r>
        <w:rPr>
          <w:rFonts w:hint="eastAsia" w:ascii="宋体" w:hAnsi="宋体"/>
          <w:sz w:val="24"/>
          <w:szCs w:val="24"/>
          <w:highlight w:val="none"/>
        </w:rPr>
        <w:t>签订合同后60日历天完成土建、安装部分的竣工验收及设备的交货、安装、调试、验收；</w:t>
      </w:r>
    </w:p>
    <w:p>
      <w:pPr>
        <w:spacing w:line="360" w:lineRule="auto"/>
        <w:ind w:firstLine="482" w:firstLineChars="200"/>
        <w:outlineLvl w:val="0"/>
        <w:rPr>
          <w:rFonts w:ascii="宋体" w:hAnsi="宋体"/>
          <w:b/>
          <w:sz w:val="24"/>
          <w:szCs w:val="24"/>
          <w:highlight w:val="none"/>
        </w:rPr>
      </w:pPr>
      <w:r>
        <w:rPr>
          <w:rFonts w:hint="eastAsia" w:ascii="宋体" w:hAnsi="宋体"/>
          <w:b/>
          <w:sz w:val="24"/>
          <w:szCs w:val="24"/>
          <w:highlight w:val="none"/>
        </w:rPr>
        <w:t>七、质保期</w:t>
      </w:r>
    </w:p>
    <w:p>
      <w:pPr>
        <w:spacing w:line="360" w:lineRule="auto"/>
        <w:ind w:firstLine="480" w:firstLineChars="200"/>
        <w:outlineLvl w:val="0"/>
        <w:rPr>
          <w:rFonts w:ascii="宋体" w:hAnsi="宋体"/>
          <w:bCs/>
          <w:sz w:val="24"/>
          <w:szCs w:val="24"/>
          <w:highlight w:val="none"/>
        </w:rPr>
      </w:pPr>
      <w:r>
        <w:rPr>
          <w:rFonts w:hint="eastAsia" w:ascii="宋体" w:hAnsi="宋体"/>
          <w:bCs/>
          <w:sz w:val="24"/>
          <w:szCs w:val="24"/>
          <w:highlight w:val="none"/>
        </w:rPr>
        <w:t>土建及安装部分缺陷责任期：2年；设备部分：整机1年。</w:t>
      </w:r>
    </w:p>
    <w:p>
      <w:pPr>
        <w:spacing w:line="360" w:lineRule="auto"/>
        <w:ind w:firstLine="482" w:firstLineChars="200"/>
        <w:outlineLvl w:val="0"/>
        <w:rPr>
          <w:rFonts w:hint="eastAsia" w:ascii="宋体" w:hAnsi="宋体"/>
          <w:b/>
          <w:sz w:val="24"/>
          <w:szCs w:val="24"/>
          <w:highlight w:val="none"/>
          <w:lang w:eastAsia="zh-CN"/>
        </w:rPr>
      </w:pPr>
      <w:r>
        <w:rPr>
          <w:rFonts w:hint="eastAsia" w:ascii="宋体" w:hAnsi="宋体"/>
          <w:b/>
          <w:sz w:val="24"/>
          <w:szCs w:val="24"/>
          <w:highlight w:val="none"/>
          <w:lang w:eastAsia="zh-CN"/>
        </w:rPr>
        <w:t>八、设备部分：</w:t>
      </w:r>
    </w:p>
    <w:p>
      <w:pPr>
        <w:spacing w:line="360" w:lineRule="auto"/>
        <w:ind w:firstLine="482" w:firstLineChars="200"/>
        <w:outlineLvl w:val="0"/>
        <w:rPr>
          <w:rFonts w:ascii="宋体" w:hAnsi="宋体"/>
          <w:b/>
          <w:sz w:val="24"/>
          <w:szCs w:val="24"/>
          <w:highlight w:val="none"/>
        </w:rPr>
      </w:pPr>
      <w:r>
        <w:rPr>
          <w:rFonts w:hint="eastAsia" w:ascii="宋体" w:hAnsi="宋体"/>
          <w:b/>
          <w:sz w:val="24"/>
          <w:szCs w:val="24"/>
          <w:highlight w:val="none"/>
          <w:lang w:val="en-US" w:eastAsia="zh-CN"/>
        </w:rPr>
        <w:t>1</w:t>
      </w:r>
      <w:r>
        <w:rPr>
          <w:rFonts w:hint="eastAsia" w:ascii="宋体" w:hAnsi="宋体"/>
          <w:b/>
          <w:sz w:val="24"/>
          <w:szCs w:val="24"/>
          <w:highlight w:val="none"/>
        </w:rPr>
        <w:t>、设备的技术规格及数量</w:t>
      </w:r>
    </w:p>
    <w:p>
      <w:pPr>
        <w:spacing w:line="360" w:lineRule="auto"/>
        <w:ind w:firstLine="475" w:firstLineChars="198"/>
        <w:outlineLvl w:val="0"/>
        <w:rPr>
          <w:rFonts w:hint="eastAsia" w:ascii="宋体" w:hAnsi="宋体"/>
          <w:kern w:val="0"/>
          <w:sz w:val="24"/>
          <w:szCs w:val="24"/>
          <w:highlight w:val="none"/>
        </w:rPr>
      </w:pPr>
      <w:r>
        <w:rPr>
          <w:rFonts w:hint="eastAsia" w:ascii="宋体" w:hAnsi="宋体"/>
          <w:kern w:val="0"/>
          <w:sz w:val="24"/>
          <w:szCs w:val="24"/>
          <w:highlight w:val="none"/>
        </w:rPr>
        <w:t>乙方提供的设备、技术规格必须与中标的设备、技术规格相一致。中标设备的品牌、型号、技术规格、数量、保修期及价格（后附清单）</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履约验收方案、条件及标准</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验收依据：中标单位的投标文件、招标文件，如在招标文件、投标文件中无相应说明，则按中华人民共和国有关部门颁布的最新的国家或专业标准执行。没有国家或专业标准的，按企业标准执行。</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验收方案：</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1.乙方应在合同规定的时间内将中标设备送达甲方指定地点并做好安装、调试、培训等相关工作。</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2.乙方提供设备时，应同时提供设备的品牌、名称、数量以及供货验收单和正式的税务发票。设备运抵现场后，甲方将根据情况对设备的品牌、名称、数量等资料进行查验。查验不合格的，乙方须无条件调换或退货，造成的损失应由乙方负责。设备安装调试完毕后，由甲方组织验收，验收合格后在验收单上签字。</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质量保证：</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1.乙方提供的设备必须是品正质优、且全新未拆封的，符合国家质量检测标准及生产厂商的出厂标准，符合乙方中标设备的技术要求。</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2.乙方应对提供的设备原装性、完整性、出厂原始包装完整性负全责,并遵守《设备质量法》和《消费者权益保护法》的有关规定。</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3</w:t>
      </w:r>
      <w:r>
        <w:rPr>
          <w:rFonts w:hint="eastAsia" w:ascii="宋体" w:hAnsi="宋体"/>
          <w:b/>
          <w:sz w:val="24"/>
          <w:szCs w:val="24"/>
          <w:highlight w:val="none"/>
        </w:rPr>
        <w:t>、售后服务：</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1.售后服务基本要求：达到招标文件中所要求的内容。</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2.如果乙方在收到通知后3天内没有弥补缺陷，甲方可采取必要的补救措施，但风险和费用将由乙方承担（除甲方因人为因素造成的损坏）。</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3.乙方必须在设备的右侧粘贴公司标签（标明公司名称、服务电话、供货时间：年月日等）。并向招标人提供设备说明书、质量保证书、保修卡等相关资料和原配的附件。</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4.乙方需负责对所投设备进行安装调试合格，所投设备必须为正规行货设备，如发现提供水货、假货等非正规渠道的设备，如核实后其情况属实，报政府采购办依法处理。</w:t>
      </w:r>
    </w:p>
    <w:p>
      <w:pPr>
        <w:spacing w:line="360" w:lineRule="auto"/>
        <w:ind w:firstLine="475" w:firstLineChars="198"/>
        <w:outlineLvl w:val="0"/>
        <w:rPr>
          <w:rFonts w:ascii="宋体" w:hAnsi="宋体"/>
          <w:kern w:val="0"/>
          <w:sz w:val="24"/>
          <w:szCs w:val="24"/>
          <w:highlight w:val="none"/>
        </w:rPr>
      </w:pPr>
      <w:r>
        <w:rPr>
          <w:rFonts w:hint="eastAsia" w:ascii="宋体" w:hAnsi="宋体"/>
          <w:kern w:val="0"/>
          <w:sz w:val="24"/>
          <w:szCs w:val="24"/>
          <w:highlight w:val="none"/>
        </w:rPr>
        <w:t>5.乙方还应履行在投标过程中所承诺的其他售后服务承诺。</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4</w:t>
      </w:r>
      <w:r>
        <w:rPr>
          <w:rFonts w:hint="eastAsia" w:ascii="宋体" w:hAnsi="宋体"/>
          <w:b/>
          <w:sz w:val="24"/>
          <w:szCs w:val="24"/>
          <w:highlight w:val="none"/>
        </w:rPr>
        <w:t>、追加设备处理</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在合同生效之日起的90天内，甲方有权对合同中所列的设备及服务予以增加（不超过本合同金额的10%），但不对单价或其他的条款作任何改变。</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5</w:t>
      </w:r>
      <w:r>
        <w:rPr>
          <w:rFonts w:hint="eastAsia" w:ascii="宋体" w:hAnsi="宋体"/>
          <w:b/>
          <w:sz w:val="24"/>
          <w:szCs w:val="24"/>
          <w:highlight w:val="none"/>
        </w:rPr>
        <w:t>、延期交货：</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1.在履行合同过程中，如果乙方遇到不能按时交货和提供服务的情况，应及时以书面形式将不能按时交货的理由、延误时间通知甲方。甲方收到乙方的通知后，应进行分析，如果同意，可通过修改合同，酌情延长交货时间。</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2.如果乙方无正当理由拖延交货或不按时提供服务，将受到以下制裁：⑴支付违约损失赔偿。</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、违约责任：</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1.货物安装超过规定期限时,每延期一日，乙方须支付未交付货物部分货款的5‰作为赔偿，赔偿费用从质量保证金扣除，延期赔偿额最高不超过货物总价5%。如超过安装期15日还未能全部安装完毕，甲方有权终止合同。乙方须承担由此造成的一切损失。</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2.甲方无正当理由拒收乙方按约提供的设备，应向乙方支付该设备总金额3%的违约金。</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3.甲方未按合同规定的时间向乙方支付合同款，每超过一天按未交付货款部分的5‰向乙方支付违约金，违约金最高不超过货物总价5%。</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4.若由于甲方的原因致使乙方不能按期安装调试完毕的，乙方不承担相应的违约责任。</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5.经甲乙双方友好协商同意，延期交货、退货、延期支付资金且无须罚款者可不受上述条款约束。</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6.在诉讼期间，除正在进行诉讼的部分外，本合同其它部分可继续执行。</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7</w:t>
      </w:r>
      <w:r>
        <w:rPr>
          <w:rFonts w:hint="eastAsia" w:ascii="宋体" w:hAnsi="宋体"/>
          <w:b/>
          <w:sz w:val="24"/>
          <w:szCs w:val="24"/>
          <w:highlight w:val="none"/>
        </w:rPr>
        <w:t>、索赔：</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1. 乙方提供设备时，如发现设备的品牌、名称、数量等资料与合同不符，或未按规定提供设备的，甲方有权并向乙方提出索赔。</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2.如果设备在质保期内证实设备是有缺陷的，包括潜在的缺陷，甲方将有权向乙方提出索赔。</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3.凡属乙方应承担的责任，乙方应按照甲方同意的下列一种或多种方式解决索赔事宜。</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⑴乙方同意退货，并按合同规定的同种货币将货款退还给甲方，并承担由此发生的一切损失和费用，包括利息、银行手续费、运费、以及为保护退回设备所需的其它必要费用。</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⑵根据设备低劣程度、损坏程度以及甲方所遭受损失的数额，经甲乙双方商定降低设备的价格。</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⑶用符合标准的设备来更换有缺陷的部分或修补缺陷部分，乙方应承担一切费用和风险，并负担甲方所发生的一切费用。同时乙方应延长售后服务期限及其它承诺。</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4.如果在甲方发出索赔通知后30天内，乙方未作答复，上述索赔应视为己被乙方接受。甲方将从乙方开具的质量保证金中扣回索赔金额。如果这些金额不足以满足索赔金额，甲方有权向乙方提出不足部分的赔偿要求。</w:t>
      </w:r>
    </w:p>
    <w:p>
      <w:pPr>
        <w:spacing w:line="360" w:lineRule="auto"/>
        <w:ind w:firstLine="477" w:firstLineChars="198"/>
        <w:outlineLvl w:val="0"/>
        <w:rPr>
          <w:rFonts w:hint="eastAsia" w:ascii="宋体" w:hAnsi="宋体" w:eastAsia="宋体"/>
          <w:b/>
          <w:sz w:val="24"/>
          <w:szCs w:val="24"/>
          <w:highlight w:val="none"/>
          <w:lang w:eastAsia="zh-CN"/>
        </w:rPr>
      </w:pPr>
      <w:r>
        <w:rPr>
          <w:rFonts w:hint="eastAsia" w:ascii="宋体" w:hAnsi="宋体"/>
          <w:b/>
          <w:sz w:val="24"/>
          <w:szCs w:val="24"/>
          <w:highlight w:val="none"/>
          <w:lang w:eastAsia="zh-CN"/>
        </w:rPr>
        <w:t>九、土建及安装部分</w:t>
      </w:r>
    </w:p>
    <w:p>
      <w:pPr>
        <w:spacing w:line="360" w:lineRule="auto"/>
        <w:ind w:firstLine="477" w:firstLineChars="198"/>
        <w:outlineLvl w:val="0"/>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本合同内容</w:t>
      </w:r>
      <w:r>
        <w:rPr>
          <w:rFonts w:hint="eastAsia" w:ascii="宋体" w:hAnsi="宋体"/>
          <w:b/>
          <w:sz w:val="24"/>
          <w:szCs w:val="24"/>
          <w:highlight w:val="none"/>
          <w:lang w:eastAsia="zh-CN"/>
        </w:rPr>
        <w:t>土建及安装部分</w:t>
      </w:r>
      <w:r>
        <w:rPr>
          <w:rFonts w:hint="eastAsia" w:ascii="宋体" w:hAnsi="宋体"/>
          <w:b/>
          <w:sz w:val="24"/>
          <w:szCs w:val="24"/>
          <w:highlight w:val="none"/>
          <w:lang w:val="en-US" w:eastAsia="zh-CN"/>
        </w:rPr>
        <w:t>如有未尽事宜以国家相关法律、法规、行业标准及（GF—2017—0201）建设工程施工合同为准。</w:t>
      </w:r>
    </w:p>
    <w:p>
      <w:pPr>
        <w:spacing w:line="360" w:lineRule="auto"/>
        <w:ind w:firstLine="477" w:firstLineChars="198"/>
        <w:outlineLvl w:val="0"/>
        <w:rPr>
          <w:rFonts w:hint="eastAsia" w:ascii="宋体" w:hAnsi="宋体"/>
          <w:b/>
          <w:sz w:val="24"/>
          <w:szCs w:val="24"/>
          <w:highlight w:val="none"/>
          <w:lang w:val="en-US" w:eastAsia="zh-CN"/>
        </w:rPr>
      </w:pPr>
      <w:r>
        <w:rPr>
          <w:rFonts w:hint="eastAsia" w:ascii="宋体" w:hAnsi="宋体"/>
          <w:b/>
          <w:sz w:val="24"/>
          <w:szCs w:val="24"/>
          <w:highlight w:val="none"/>
          <w:lang w:val="en-US" w:eastAsia="zh-CN"/>
        </w:rPr>
        <w:t>1、项目经理</w:t>
      </w:r>
    </w:p>
    <w:p>
      <w:pPr>
        <w:spacing w:line="360" w:lineRule="auto"/>
        <w:ind w:firstLine="475" w:firstLineChars="198"/>
        <w:outlineLvl w:val="0"/>
        <w:rPr>
          <w:rFonts w:hint="eastAsia" w:ascii="宋体" w:hAnsi="宋体"/>
          <w:bCs/>
          <w:sz w:val="24"/>
          <w:szCs w:val="24"/>
          <w:highlight w:val="none"/>
        </w:rPr>
      </w:pPr>
      <w:r>
        <w:rPr>
          <w:rFonts w:hint="eastAsia" w:ascii="宋体" w:hAnsi="宋体"/>
          <w:bCs/>
          <w:sz w:val="24"/>
          <w:szCs w:val="24"/>
          <w:highlight w:val="none"/>
        </w:rPr>
        <w:t>承包人项目经理：</w:t>
      </w:r>
    </w:p>
    <w:p>
      <w:pPr>
        <w:spacing w:line="360" w:lineRule="auto"/>
        <w:ind w:firstLine="477" w:firstLineChars="198"/>
        <w:outlineLvl w:val="0"/>
        <w:rPr>
          <w:rFonts w:hint="eastAsia" w:ascii="宋体" w:hAnsi="宋体"/>
          <w:b/>
          <w:sz w:val="24"/>
          <w:szCs w:val="24"/>
          <w:highlight w:val="none"/>
          <w:lang w:val="en-US" w:eastAsia="zh-CN"/>
        </w:rPr>
      </w:pPr>
      <w:r>
        <w:rPr>
          <w:rFonts w:hint="eastAsia" w:ascii="宋体" w:hAnsi="宋体"/>
          <w:b/>
          <w:sz w:val="24"/>
          <w:szCs w:val="24"/>
          <w:highlight w:val="none"/>
          <w:lang w:val="en-US" w:eastAsia="zh-CN"/>
        </w:rPr>
        <w:t>2、承诺</w:t>
      </w:r>
    </w:p>
    <w:p>
      <w:pPr>
        <w:spacing w:line="360" w:lineRule="auto"/>
        <w:ind w:firstLine="475" w:firstLineChars="198"/>
        <w:outlineLvl w:val="0"/>
        <w:rPr>
          <w:rFonts w:hint="eastAsia" w:ascii="宋体" w:hAnsi="宋体"/>
          <w:bCs/>
          <w:sz w:val="24"/>
          <w:szCs w:val="24"/>
          <w:highlight w:val="none"/>
        </w:rPr>
      </w:pPr>
      <w:r>
        <w:rPr>
          <w:rFonts w:hint="eastAsia" w:ascii="宋体" w:hAnsi="宋体"/>
          <w:bCs/>
          <w:sz w:val="24"/>
          <w:szCs w:val="24"/>
          <w:highlight w:val="none"/>
        </w:rPr>
        <w:t>1.发包人承诺按照法律规定履行项目审批手续、筹集工程建设资金并按照合同约定的期限和方式支付合同价款。</w:t>
      </w:r>
    </w:p>
    <w:p>
      <w:pPr>
        <w:spacing w:line="360" w:lineRule="auto"/>
        <w:ind w:firstLine="475" w:firstLineChars="198"/>
        <w:outlineLvl w:val="0"/>
        <w:rPr>
          <w:rFonts w:hint="eastAsia" w:ascii="宋体" w:hAnsi="宋体"/>
          <w:bCs/>
          <w:sz w:val="24"/>
          <w:szCs w:val="24"/>
          <w:highlight w:val="none"/>
        </w:rPr>
      </w:pPr>
      <w:r>
        <w:rPr>
          <w:rFonts w:hint="eastAsia" w:ascii="宋体" w:hAnsi="宋体"/>
          <w:bCs/>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75" w:firstLineChars="198"/>
        <w:outlineLvl w:val="0"/>
        <w:rPr>
          <w:rFonts w:hint="eastAsia" w:ascii="宋体" w:hAnsi="宋体"/>
          <w:bCs/>
          <w:sz w:val="24"/>
          <w:szCs w:val="24"/>
          <w:highlight w:val="none"/>
        </w:rPr>
      </w:pPr>
      <w:r>
        <w:rPr>
          <w:rFonts w:hint="eastAsia" w:ascii="宋体" w:hAnsi="宋体"/>
          <w:bCs/>
          <w:sz w:val="24"/>
          <w:szCs w:val="24"/>
          <w:highlight w:val="none"/>
        </w:rPr>
        <w:t>3.发包人和承包人通过招投标形式签订合同的，双方理解并承诺不再就同一工程另行签订与合同实质性内容相背离的协议。                  </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lang w:val="en-US" w:eastAsia="zh-CN"/>
        </w:rPr>
        <w:t>十</w:t>
      </w:r>
      <w:r>
        <w:rPr>
          <w:rFonts w:hint="eastAsia" w:ascii="宋体" w:hAnsi="宋体"/>
          <w:b/>
          <w:sz w:val="24"/>
          <w:szCs w:val="24"/>
          <w:highlight w:val="none"/>
        </w:rPr>
        <w:t>、合同的履约监督：</w:t>
      </w:r>
    </w:p>
    <w:p>
      <w:pPr>
        <w:spacing w:line="360" w:lineRule="auto"/>
        <w:ind w:firstLine="475" w:firstLineChars="198"/>
        <w:outlineLvl w:val="0"/>
        <w:rPr>
          <w:rFonts w:ascii="宋体" w:hAnsi="宋体"/>
          <w:b/>
          <w:sz w:val="24"/>
          <w:szCs w:val="24"/>
          <w:highlight w:val="none"/>
        </w:rPr>
      </w:pPr>
      <w:r>
        <w:rPr>
          <w:rFonts w:hint="eastAsia" w:ascii="宋体" w:hAnsi="宋体"/>
          <w:bCs/>
          <w:sz w:val="24"/>
          <w:szCs w:val="24"/>
          <w:highlight w:val="none"/>
        </w:rPr>
        <w:t>甲乙双方应自觉接受监督部门对合同履行的监督与检查。</w:t>
      </w:r>
    </w:p>
    <w:p>
      <w:pPr>
        <w:spacing w:line="360" w:lineRule="auto"/>
        <w:ind w:firstLine="482" w:firstLineChars="200"/>
        <w:rPr>
          <w:b/>
          <w:sz w:val="24"/>
          <w:szCs w:val="24"/>
          <w:highlight w:val="none"/>
        </w:rPr>
      </w:pPr>
      <w:r>
        <w:rPr>
          <w:rFonts w:hint="eastAsia" w:ascii="宋体" w:hAnsi="宋体"/>
          <w:b/>
          <w:sz w:val="24"/>
          <w:szCs w:val="24"/>
          <w:highlight w:val="none"/>
          <w:lang w:eastAsia="zh-CN"/>
        </w:rPr>
        <w:t>十一</w:t>
      </w:r>
      <w:r>
        <w:rPr>
          <w:rFonts w:hint="eastAsia" w:ascii="宋体" w:hAnsi="宋体"/>
          <w:b/>
          <w:sz w:val="24"/>
          <w:szCs w:val="24"/>
          <w:highlight w:val="none"/>
        </w:rPr>
        <w:t>、</w:t>
      </w:r>
      <w:r>
        <w:rPr>
          <w:rFonts w:hint="eastAsia"/>
          <w:b/>
          <w:sz w:val="24"/>
          <w:szCs w:val="24"/>
          <w:highlight w:val="none"/>
        </w:rPr>
        <w:t>争议</w:t>
      </w:r>
    </w:p>
    <w:p>
      <w:pPr>
        <w:spacing w:line="360" w:lineRule="auto"/>
        <w:ind w:firstLine="480" w:firstLineChars="200"/>
        <w:rPr>
          <w:sz w:val="24"/>
          <w:szCs w:val="24"/>
          <w:highlight w:val="none"/>
        </w:rPr>
      </w:pPr>
      <w:r>
        <w:rPr>
          <w:rFonts w:hint="eastAsia"/>
          <w:sz w:val="24"/>
          <w:szCs w:val="24"/>
          <w:highlight w:val="none"/>
        </w:rPr>
        <w:t>双方约定，凡因执行本合同所发生的与本合同有关的一切争议，当和解或调解不成时，选择下列第</w:t>
      </w:r>
      <w:r>
        <w:rPr>
          <w:rFonts w:hint="eastAsia"/>
          <w:b/>
          <w:bCs/>
          <w:sz w:val="24"/>
          <w:szCs w:val="24"/>
          <w:highlight w:val="none"/>
          <w:u w:val="single"/>
        </w:rPr>
        <w:t>　（1）</w:t>
      </w:r>
      <w:r>
        <w:rPr>
          <w:rFonts w:hint="eastAsia"/>
          <w:bCs/>
          <w:sz w:val="24"/>
          <w:szCs w:val="24"/>
          <w:highlight w:val="none"/>
          <w:u w:val="single"/>
        </w:rPr>
        <w:t xml:space="preserve"> </w:t>
      </w:r>
      <w:r>
        <w:rPr>
          <w:rFonts w:hint="eastAsia"/>
          <w:sz w:val="24"/>
          <w:szCs w:val="24"/>
          <w:highlight w:val="none"/>
        </w:rPr>
        <w:t>种方式解决：</w:t>
      </w:r>
    </w:p>
    <w:p>
      <w:pPr>
        <w:spacing w:line="360" w:lineRule="auto"/>
        <w:ind w:firstLine="480" w:firstLineChars="200"/>
        <w:rPr>
          <w:sz w:val="24"/>
          <w:szCs w:val="24"/>
          <w:highlight w:val="none"/>
        </w:rPr>
      </w:pPr>
      <w:r>
        <w:rPr>
          <w:rFonts w:hint="eastAsia"/>
          <w:sz w:val="24"/>
          <w:szCs w:val="24"/>
          <w:highlight w:val="none"/>
        </w:rPr>
        <w:t>（1）将争议提交</w:t>
      </w:r>
      <w:r>
        <w:rPr>
          <w:rFonts w:hint="eastAsia"/>
          <w:b/>
          <w:bCs/>
          <w:sz w:val="24"/>
          <w:szCs w:val="24"/>
          <w:highlight w:val="none"/>
          <w:u w:val="single"/>
        </w:rPr>
        <w:t>　项目所在地　</w:t>
      </w:r>
      <w:r>
        <w:rPr>
          <w:rFonts w:hint="eastAsia"/>
          <w:b/>
          <w:bCs/>
          <w:sz w:val="24"/>
          <w:szCs w:val="24"/>
          <w:highlight w:val="none"/>
          <w:u w:val="single"/>
        </w:rPr>
        <w:tab/>
      </w:r>
      <w:r>
        <w:rPr>
          <w:rFonts w:hint="eastAsia"/>
          <w:sz w:val="24"/>
          <w:szCs w:val="24"/>
          <w:highlight w:val="none"/>
        </w:rPr>
        <w:t>仲裁委员会仲裁；</w:t>
      </w:r>
    </w:p>
    <w:p>
      <w:pPr>
        <w:spacing w:line="360" w:lineRule="auto"/>
        <w:ind w:firstLine="480" w:firstLineChars="200"/>
        <w:rPr>
          <w:rFonts w:ascii="宋体" w:hAnsi="宋体"/>
          <w:b/>
          <w:sz w:val="24"/>
          <w:szCs w:val="24"/>
          <w:highlight w:val="none"/>
        </w:rPr>
      </w:pPr>
      <w:r>
        <w:rPr>
          <w:rFonts w:hint="eastAsia"/>
          <w:sz w:val="24"/>
          <w:szCs w:val="24"/>
          <w:highlight w:val="none"/>
        </w:rPr>
        <w:t>（2）依法向</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rPr>
        <w:t>人民法院提起诉讼。</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十</w:t>
      </w:r>
      <w:r>
        <w:rPr>
          <w:rFonts w:hint="eastAsia" w:ascii="宋体" w:hAnsi="宋体"/>
          <w:b/>
          <w:sz w:val="24"/>
          <w:szCs w:val="24"/>
          <w:highlight w:val="none"/>
          <w:lang w:eastAsia="zh-CN"/>
        </w:rPr>
        <w:t>二</w:t>
      </w:r>
      <w:r>
        <w:rPr>
          <w:rFonts w:hint="eastAsia" w:ascii="宋体" w:hAnsi="宋体"/>
          <w:b/>
          <w:sz w:val="24"/>
          <w:szCs w:val="24"/>
          <w:highlight w:val="none"/>
        </w:rPr>
        <w:t>、不可抗力的处理：</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1.在合同有效期内，任何一方因不可抗力事件导致不能履行合同，则合同履行期可延长，其延长期与不可抗力影响期相同。</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2.不可抗力的事故发生后尽快通知另一方，将有关部门出具的证明文件用挂号信邮寄或派人送达另一方。</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3.如果不可抗力影响时间延续120天以上的，双方应通过友好协商，在合理的时间内达成进一步履行合同的协议。</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十</w:t>
      </w:r>
      <w:r>
        <w:rPr>
          <w:rFonts w:hint="eastAsia" w:ascii="宋体" w:hAnsi="宋体"/>
          <w:b/>
          <w:sz w:val="24"/>
          <w:szCs w:val="24"/>
          <w:highlight w:val="none"/>
          <w:lang w:eastAsia="zh-CN"/>
        </w:rPr>
        <w:t>三</w:t>
      </w:r>
      <w:r>
        <w:rPr>
          <w:rFonts w:hint="eastAsia" w:ascii="宋体" w:hAnsi="宋体"/>
          <w:b/>
          <w:sz w:val="24"/>
          <w:szCs w:val="24"/>
          <w:highlight w:val="none"/>
        </w:rPr>
        <w:t>、合同修改</w:t>
      </w:r>
    </w:p>
    <w:p>
      <w:pPr>
        <w:spacing w:line="360" w:lineRule="auto"/>
        <w:ind w:firstLine="475" w:firstLineChars="198"/>
        <w:outlineLvl w:val="0"/>
        <w:rPr>
          <w:rFonts w:ascii="宋体" w:hAnsi="宋体"/>
          <w:bCs/>
          <w:sz w:val="24"/>
          <w:szCs w:val="24"/>
          <w:highlight w:val="none"/>
        </w:rPr>
      </w:pPr>
      <w:r>
        <w:rPr>
          <w:rFonts w:hint="eastAsia" w:ascii="宋体" w:hAnsi="宋体"/>
          <w:bCs/>
          <w:sz w:val="24"/>
          <w:szCs w:val="24"/>
          <w:highlight w:val="none"/>
        </w:rPr>
        <w:t>合同条款的任何改动，均须由合同签署双方签署合同修改书或合同补充协议。该合同修改或补充被视为本合同的组成部分，具有与本合同同等法律效力。</w:t>
      </w:r>
    </w:p>
    <w:p>
      <w:pPr>
        <w:spacing w:line="360" w:lineRule="auto"/>
        <w:ind w:firstLine="477" w:firstLineChars="198"/>
        <w:outlineLvl w:val="0"/>
        <w:rPr>
          <w:rFonts w:ascii="宋体" w:hAnsi="宋体"/>
          <w:b/>
          <w:sz w:val="24"/>
          <w:szCs w:val="24"/>
          <w:highlight w:val="none"/>
        </w:rPr>
      </w:pPr>
      <w:r>
        <w:rPr>
          <w:rFonts w:hint="eastAsia" w:ascii="宋体" w:hAnsi="宋体"/>
          <w:b/>
          <w:sz w:val="24"/>
          <w:szCs w:val="24"/>
          <w:highlight w:val="none"/>
        </w:rPr>
        <w:t>十</w:t>
      </w:r>
      <w:r>
        <w:rPr>
          <w:rFonts w:hint="eastAsia" w:ascii="宋体" w:hAnsi="宋体"/>
          <w:b/>
          <w:sz w:val="24"/>
          <w:szCs w:val="24"/>
          <w:highlight w:val="none"/>
          <w:lang w:eastAsia="zh-CN"/>
        </w:rPr>
        <w:t>四</w:t>
      </w:r>
      <w:r>
        <w:rPr>
          <w:rFonts w:hint="eastAsia" w:ascii="宋体" w:hAnsi="宋体"/>
          <w:b/>
          <w:sz w:val="24"/>
          <w:szCs w:val="24"/>
          <w:highlight w:val="none"/>
        </w:rPr>
        <w:t>、合同订立</w:t>
      </w:r>
    </w:p>
    <w:p>
      <w:pPr>
        <w:adjustRightInd w:val="0"/>
        <w:snapToGrid w:val="0"/>
        <w:spacing w:line="360" w:lineRule="auto"/>
        <w:ind w:firstLine="475" w:firstLineChars="198"/>
        <w:rPr>
          <w:rFonts w:ascii="宋体" w:hAnsi="宋体"/>
          <w:sz w:val="24"/>
          <w:szCs w:val="24"/>
          <w:highlight w:val="none"/>
        </w:rPr>
      </w:pPr>
      <w:r>
        <w:rPr>
          <w:rFonts w:hint="eastAsia" w:ascii="宋体" w:hAnsi="宋体"/>
          <w:sz w:val="24"/>
          <w:szCs w:val="24"/>
          <w:highlight w:val="none"/>
        </w:rPr>
        <w:t>1. 订立时间：</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adjustRightInd w:val="0"/>
        <w:snapToGrid w:val="0"/>
        <w:spacing w:line="360" w:lineRule="auto"/>
        <w:ind w:firstLine="475" w:firstLineChars="198"/>
        <w:jc w:val="left"/>
        <w:rPr>
          <w:rFonts w:ascii="宋体" w:hAnsi="宋体"/>
          <w:sz w:val="24"/>
          <w:szCs w:val="24"/>
          <w:highlight w:val="none"/>
        </w:rPr>
      </w:pPr>
      <w:r>
        <w:rPr>
          <w:rFonts w:hint="eastAsia" w:ascii="宋体" w:hAnsi="宋体"/>
          <w:sz w:val="24"/>
          <w:szCs w:val="24"/>
          <w:highlight w:val="none"/>
        </w:rPr>
        <w:t>2. 订立地点：</w:t>
      </w:r>
      <w:r>
        <w:rPr>
          <w:rFonts w:hint="eastAsia" w:ascii="宋体" w:hAnsi="宋体"/>
          <w:sz w:val="24"/>
          <w:szCs w:val="24"/>
          <w:highlight w:val="none"/>
          <w:u w:val="single"/>
        </w:rPr>
        <w:t xml:space="preserve">                                     </w:t>
      </w:r>
      <w:r>
        <w:rPr>
          <w:rFonts w:hint="eastAsia" w:ascii="宋体" w:hAnsi="宋体"/>
          <w:sz w:val="24"/>
          <w:szCs w:val="24"/>
          <w:highlight w:val="none"/>
        </w:rPr>
        <w:t>。</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 本合同一式</w:t>
      </w:r>
      <w:r>
        <w:rPr>
          <w:rFonts w:hint="eastAsia" w:ascii="宋体" w:hAnsi="宋体"/>
          <w:sz w:val="24"/>
          <w:szCs w:val="24"/>
          <w:highlight w:val="none"/>
          <w:u w:val="single"/>
        </w:rPr>
        <w:t xml:space="preserve"> 捌 </w:t>
      </w:r>
      <w:r>
        <w:rPr>
          <w:rFonts w:hint="eastAsia" w:ascii="宋体" w:hAnsi="宋体"/>
          <w:sz w:val="24"/>
          <w:szCs w:val="24"/>
          <w:highlight w:val="none"/>
        </w:rPr>
        <w:t>份，具有同等法律效力，双方各执</w:t>
      </w:r>
      <w:r>
        <w:rPr>
          <w:rFonts w:hint="eastAsia" w:ascii="宋体" w:hAnsi="宋体"/>
          <w:sz w:val="24"/>
          <w:szCs w:val="24"/>
          <w:highlight w:val="none"/>
          <w:u w:val="single"/>
        </w:rPr>
        <w:t xml:space="preserve"> 肆 </w:t>
      </w:r>
      <w:r>
        <w:rPr>
          <w:rFonts w:hint="eastAsia" w:ascii="宋体" w:hAnsi="宋体"/>
          <w:sz w:val="24"/>
          <w:szCs w:val="24"/>
          <w:highlight w:val="none"/>
        </w:rPr>
        <w:t>份。</w:t>
      </w:r>
    </w:p>
    <w:tbl>
      <w:tblPr>
        <w:tblStyle w:val="37"/>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0"/>
        <w:gridCol w:w="4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9" w:hRule="atLeast"/>
          <w:jc w:val="center"/>
        </w:trPr>
        <w:tc>
          <w:tcPr>
            <w:tcW w:w="4210" w:type="dxa"/>
            <w:tcBorders>
              <w:tl2br w:val="nil"/>
              <w:tr2bl w:val="nil"/>
            </w:tcBorders>
          </w:tcPr>
          <w:p>
            <w:pPr>
              <w:adjustRightInd w:val="0"/>
              <w:snapToGrid w:val="0"/>
              <w:spacing w:line="360" w:lineRule="auto"/>
              <w:rPr>
                <w:sz w:val="24"/>
                <w:szCs w:val="24"/>
                <w:highlight w:val="none"/>
              </w:rPr>
            </w:pPr>
          </w:p>
          <w:p>
            <w:pPr>
              <w:adjustRightInd w:val="0"/>
              <w:snapToGrid w:val="0"/>
              <w:spacing w:line="360" w:lineRule="auto"/>
              <w:rPr>
                <w:sz w:val="24"/>
                <w:szCs w:val="24"/>
                <w:highlight w:val="none"/>
              </w:rPr>
            </w:pPr>
            <w:r>
              <w:rPr>
                <w:rFonts w:hint="eastAsia"/>
                <w:sz w:val="24"/>
                <w:szCs w:val="24"/>
                <w:highlight w:val="none"/>
              </w:rPr>
              <w:t>甲方</w:t>
            </w:r>
            <w:r>
              <w:rPr>
                <w:rFonts w:hint="eastAsia" w:ascii="宋体" w:hAnsi="宋体" w:cs="宋体"/>
                <w:sz w:val="24"/>
                <w:szCs w:val="24"/>
                <w:highlight w:val="none"/>
              </w:rPr>
              <w:t>（盖章）</w:t>
            </w:r>
            <w:r>
              <w:rPr>
                <w:rFonts w:hint="eastAsia"/>
                <w:sz w:val="24"/>
                <w:szCs w:val="24"/>
                <w:highlight w:val="none"/>
              </w:rPr>
              <w:t>：</w:t>
            </w:r>
            <w:r>
              <w:rPr>
                <w:rFonts w:hint="eastAsia" w:ascii="宋体" w:hAnsi="宋体" w:cs="宋体"/>
                <w:sz w:val="24"/>
                <w:szCs w:val="24"/>
                <w:highlight w:val="none"/>
                <w:u w:val="singl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住所：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法定代表人或项目负责人：</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single"/>
              </w:rPr>
              <w:t xml:space="preserve">（签字）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c>
        <w:tc>
          <w:tcPr>
            <w:tcW w:w="4210" w:type="dxa"/>
            <w:tcBorders>
              <w:tl2br w:val="nil"/>
              <w:tr2bl w:val="nil"/>
            </w:tcBorders>
          </w:tcPr>
          <w:p>
            <w:pPr>
              <w:adjustRightInd w:val="0"/>
              <w:snapToGrid w:val="0"/>
              <w:spacing w:line="360" w:lineRule="auto"/>
              <w:rPr>
                <w:sz w:val="24"/>
                <w:szCs w:val="24"/>
                <w:highlight w:val="none"/>
              </w:rPr>
            </w:pPr>
          </w:p>
          <w:p>
            <w:pPr>
              <w:adjustRightInd w:val="0"/>
              <w:snapToGrid w:val="0"/>
              <w:spacing w:line="360" w:lineRule="auto"/>
              <w:rPr>
                <w:sz w:val="24"/>
                <w:szCs w:val="24"/>
                <w:highlight w:val="none"/>
              </w:rPr>
            </w:pPr>
            <w:r>
              <w:rPr>
                <w:rFonts w:hint="eastAsia"/>
                <w:sz w:val="24"/>
                <w:szCs w:val="24"/>
                <w:highlight w:val="none"/>
              </w:rPr>
              <w:t>乙方</w:t>
            </w:r>
            <w:r>
              <w:rPr>
                <w:rFonts w:hint="eastAsia" w:ascii="宋体" w:hAnsi="宋体" w:cs="宋体"/>
                <w:sz w:val="24"/>
                <w:szCs w:val="24"/>
                <w:highlight w:val="none"/>
              </w:rPr>
              <w:t>（盖章）</w:t>
            </w:r>
            <w:r>
              <w:rPr>
                <w:rFonts w:hint="eastAsia"/>
                <w:sz w:val="24"/>
                <w:szCs w:val="24"/>
                <w:highlight w:val="none"/>
              </w:rPr>
              <w:t>：</w:t>
            </w:r>
            <w:r>
              <w:rPr>
                <w:rFonts w:hint="eastAsia" w:ascii="宋体" w:hAnsi="宋体" w:cs="宋体"/>
                <w:sz w:val="24"/>
                <w:szCs w:val="24"/>
                <w:highlight w:val="none"/>
                <w:u w:val="single"/>
              </w:rPr>
              <w:t xml:space="preserve">                       </w:t>
            </w:r>
            <w:r>
              <w:rPr>
                <w:rFonts w:hint="eastAsia"/>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住所：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法定代表人或其授权</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的代理人：</w:t>
            </w:r>
            <w:r>
              <w:rPr>
                <w:rFonts w:hint="eastAsia" w:ascii="宋体" w:hAnsi="宋体" w:cs="宋体"/>
                <w:sz w:val="24"/>
                <w:szCs w:val="24"/>
                <w:highlight w:val="none"/>
                <w:u w:val="single"/>
              </w:rPr>
              <w:t xml:space="preserve">（签字）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adjustRightInd w:val="0"/>
              <w:snapToGrid w:val="0"/>
              <w:spacing w:line="360" w:lineRule="auto"/>
              <w:rPr>
                <w:sz w:val="24"/>
                <w:szCs w:val="24"/>
                <w:highlight w:val="non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c>
      </w:tr>
    </w:tbl>
    <w:p>
      <w:pPr>
        <w:rPr>
          <w:sz w:val="24"/>
          <w:szCs w:val="24"/>
          <w:highlight w:val="none"/>
        </w:rPr>
      </w:pPr>
    </w:p>
    <w:p>
      <w:pPr>
        <w:rPr>
          <w:highlight w:val="none"/>
        </w:rPr>
      </w:pPr>
      <w:r>
        <w:rPr>
          <w:rFonts w:hint="eastAsia"/>
          <w:highlight w:val="none"/>
        </w:rPr>
        <w:t xml:space="preserve">    </w:t>
      </w:r>
    </w:p>
    <w:p>
      <w:pPr>
        <w:spacing w:line="360" w:lineRule="auto"/>
        <w:ind w:firstLine="1430" w:firstLineChars="650"/>
        <w:jc w:val="center"/>
        <w:rPr>
          <w:rFonts w:ascii="宋体" w:hAnsi="宋体"/>
          <w:sz w:val="22"/>
          <w:szCs w:val="22"/>
          <w:highlight w:val="none"/>
        </w:rPr>
      </w:pPr>
    </w:p>
    <w:p>
      <w:pPr>
        <w:spacing w:line="360" w:lineRule="auto"/>
        <w:ind w:right="105"/>
        <w:rPr>
          <w:rFonts w:ascii="宋体" w:hAnsi="宋体"/>
          <w:sz w:val="24"/>
          <w:szCs w:val="24"/>
          <w:highlight w:val="none"/>
        </w:rPr>
      </w:pPr>
      <w:r>
        <w:rPr>
          <w:rFonts w:hint="eastAsia" w:ascii="宋体" w:hAnsi="宋体"/>
          <w:b/>
          <w:bCs/>
          <w:sz w:val="22"/>
          <w:szCs w:val="22"/>
          <w:highlight w:val="none"/>
        </w:rPr>
        <w:t>注：本合同条款仅供参考（以</w:t>
      </w:r>
      <w:r>
        <w:rPr>
          <w:rFonts w:hint="eastAsia" w:ascii="宋体" w:hAnsi="宋体"/>
          <w:b/>
          <w:bCs/>
          <w:sz w:val="22"/>
          <w:szCs w:val="22"/>
          <w:highlight w:val="none"/>
          <w:lang w:eastAsia="zh-CN"/>
        </w:rPr>
        <w:t>招标人</w:t>
      </w:r>
      <w:r>
        <w:rPr>
          <w:rFonts w:hint="eastAsia" w:ascii="宋体" w:hAnsi="宋体"/>
          <w:b/>
          <w:bCs/>
          <w:sz w:val="22"/>
          <w:szCs w:val="22"/>
          <w:highlight w:val="none"/>
        </w:rPr>
        <w:t>最终认定的合同格式为准）</w:t>
      </w:r>
    </w:p>
    <w:p>
      <w:pPr>
        <w:pStyle w:val="2"/>
        <w:jc w:val="center"/>
        <w:rPr>
          <w:rFonts w:ascii="宋体" w:hAnsi="宋体"/>
          <w:szCs w:val="22"/>
          <w:highlight w:val="none"/>
        </w:rPr>
      </w:pPr>
      <w:bookmarkStart w:id="260" w:name="_Toc512597571"/>
      <w:bookmarkStart w:id="261" w:name="_Toc6785"/>
      <w:bookmarkStart w:id="262" w:name="_Toc3746_WPSOffice_Level1"/>
      <w:bookmarkStart w:id="263" w:name="_Toc5979"/>
      <w:r>
        <w:rPr>
          <w:rFonts w:hint="eastAsia" w:ascii="宋体" w:hAnsi="宋体"/>
          <w:szCs w:val="22"/>
          <w:highlight w:val="none"/>
        </w:rPr>
        <w:t xml:space="preserve">第五章 </w:t>
      </w:r>
      <w:bookmarkEnd w:id="260"/>
      <w:bookmarkEnd w:id="261"/>
      <w:r>
        <w:rPr>
          <w:rFonts w:hint="eastAsia" w:ascii="宋体" w:hAnsi="宋体"/>
          <w:szCs w:val="22"/>
          <w:highlight w:val="none"/>
        </w:rPr>
        <w:t>采购需求</w:t>
      </w:r>
      <w:bookmarkEnd w:id="262"/>
      <w:bookmarkEnd w:id="263"/>
    </w:p>
    <w:p>
      <w:pPr>
        <w:spacing w:line="360" w:lineRule="auto"/>
        <w:rPr>
          <w:rFonts w:ascii="宋体" w:hAnsi="宋体"/>
          <w:sz w:val="36"/>
          <w:szCs w:val="36"/>
          <w:highlight w:val="none"/>
        </w:rPr>
      </w:pPr>
      <w:bookmarkStart w:id="264" w:name="_Toc6773"/>
      <w:bookmarkStart w:id="265" w:name="_Toc512597572"/>
    </w:p>
    <w:p>
      <w:pPr>
        <w:rPr>
          <w:rFonts w:ascii="宋体" w:hAnsi="宋体"/>
          <w:sz w:val="36"/>
          <w:szCs w:val="36"/>
          <w:highlight w:val="none"/>
        </w:rPr>
        <w:sectPr>
          <w:pgSz w:w="11906" w:h="16838"/>
          <w:pgMar w:top="1418" w:right="1134" w:bottom="1418" w:left="1134" w:header="851" w:footer="992" w:gutter="0"/>
          <w:cols w:space="720" w:num="1"/>
          <w:docGrid w:type="lines" w:linePitch="312" w:charSpace="0"/>
        </w:sectPr>
      </w:pPr>
      <w:r>
        <w:rPr>
          <w:rFonts w:hint="eastAsia" w:ascii="宋体" w:hAnsi="宋体"/>
          <w:sz w:val="36"/>
          <w:szCs w:val="36"/>
          <w:highlight w:val="none"/>
        </w:rPr>
        <w:br w:type="page"/>
      </w:r>
      <w:bookmarkStart w:id="266" w:name="_Toc104"/>
    </w:p>
    <w:p>
      <w:pPr>
        <w:pStyle w:val="8"/>
        <w:numPr>
          <w:ilvl w:val="0"/>
          <w:numId w:val="6"/>
        </w:numPr>
        <w:rPr>
          <w:rFonts w:hint="eastAsia"/>
          <w:highlight w:val="none"/>
          <w:lang w:val="en-US" w:eastAsia="zh-CN"/>
        </w:rPr>
      </w:pPr>
      <w:r>
        <w:rPr>
          <w:rFonts w:hint="eastAsia"/>
          <w:highlight w:val="none"/>
          <w:lang w:val="en-US" w:eastAsia="zh-CN"/>
        </w:rPr>
        <w:t>项目基本情况</w:t>
      </w:r>
    </w:p>
    <w:p>
      <w:pPr>
        <w:spacing w:line="360" w:lineRule="auto"/>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hAnsi="宋体" w:cs="宋体"/>
          <w:highlight w:val="none"/>
        </w:rPr>
        <w:t>项目编号</w:t>
      </w:r>
      <w:r>
        <w:rPr>
          <w:rFonts w:hint="eastAsia" w:ascii="宋体" w:hAnsi="宋体" w:cs="宋体"/>
          <w:highlight w:val="none"/>
        </w:rPr>
        <w:t>：</w:t>
      </w:r>
      <w:r>
        <w:rPr>
          <w:rFonts w:hint="eastAsia" w:ascii="宋体" w:hAnsi="宋体" w:cs="宋体"/>
          <w:highlight w:val="none"/>
          <w:lang w:eastAsia="zh-CN"/>
        </w:rPr>
        <w:t>2023-11-18</w:t>
      </w:r>
    </w:p>
    <w:p>
      <w:pPr>
        <w:spacing w:line="360" w:lineRule="auto"/>
        <w:rPr>
          <w:rFonts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项目名称：</w:t>
      </w:r>
      <w:r>
        <w:rPr>
          <w:rFonts w:hint="eastAsia" w:hAnsi="宋体" w:cs="宋体"/>
          <w:highlight w:val="none"/>
        </w:rPr>
        <w:t>平顶山市新华区环境卫生服务中心生活垃圾收运及环境整治（垃圾中转站配套升级改造）项目</w:t>
      </w:r>
    </w:p>
    <w:p>
      <w:pPr>
        <w:spacing w:line="360" w:lineRule="auto"/>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采购方式</w:t>
      </w:r>
      <w:r>
        <w:rPr>
          <w:rFonts w:hint="eastAsia" w:hAnsi="宋体" w:cs="宋体"/>
          <w:highlight w:val="none"/>
        </w:rPr>
        <w:t>：公开招标</w:t>
      </w:r>
    </w:p>
    <w:p>
      <w:pPr>
        <w:spacing w:line="360" w:lineRule="auto"/>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预算金额：</w:t>
      </w:r>
      <w:r>
        <w:rPr>
          <w:rFonts w:hint="eastAsia" w:hAnsi="宋体" w:cs="宋体"/>
          <w:highlight w:val="none"/>
          <w:lang w:eastAsia="zh-CN"/>
        </w:rPr>
        <w:t>17866337.59</w:t>
      </w:r>
      <w:r>
        <w:rPr>
          <w:rFonts w:hint="eastAsia" w:ascii="宋体" w:hAnsi="宋体" w:cs="宋体"/>
          <w:highlight w:val="none"/>
        </w:rPr>
        <w:t>元</w:t>
      </w:r>
    </w:p>
    <w:p>
      <w:pPr>
        <w:spacing w:line="360" w:lineRule="auto"/>
        <w:rPr>
          <w:rFonts w:ascii="宋体" w:hAnsi="宋体" w:cs="宋体"/>
          <w:highlight w:val="none"/>
        </w:rPr>
      </w:pPr>
      <w:r>
        <w:rPr>
          <w:rFonts w:hint="eastAsia" w:ascii="宋体" w:hAnsi="宋体" w:cs="宋体"/>
          <w:highlight w:val="none"/>
        </w:rPr>
        <w:t>最高限价：</w:t>
      </w:r>
      <w:r>
        <w:rPr>
          <w:rFonts w:hint="eastAsia" w:hAnsi="宋体" w:cs="宋体"/>
          <w:highlight w:val="none"/>
          <w:lang w:eastAsia="zh-CN"/>
        </w:rPr>
        <w:t>17866337.59</w:t>
      </w:r>
      <w:r>
        <w:rPr>
          <w:rFonts w:hint="eastAsia" w:ascii="宋体" w:hAnsi="宋体" w:cs="宋体"/>
          <w:highlight w:val="none"/>
        </w:rPr>
        <w:t>元</w:t>
      </w:r>
    </w:p>
    <w:p>
      <w:pPr>
        <w:spacing w:line="360" w:lineRule="auto"/>
        <w:rPr>
          <w:highlight w:val="none"/>
        </w:rPr>
      </w:pPr>
      <w:r>
        <w:rPr>
          <w:rFonts w:hint="eastAsia"/>
          <w:highlight w:val="none"/>
        </w:rPr>
        <w:t>5</w:t>
      </w:r>
      <w:r>
        <w:rPr>
          <w:rFonts w:hint="eastAsia"/>
          <w:highlight w:val="none"/>
          <w:lang w:eastAsia="zh-CN"/>
        </w:rPr>
        <w:t>、</w:t>
      </w:r>
      <w:r>
        <w:rPr>
          <w:rFonts w:hint="eastAsia"/>
          <w:highlight w:val="none"/>
        </w:rPr>
        <w:t>采购需求（包括但不限于标的的名称、数量、简要技术需求或服务要求等）</w:t>
      </w:r>
    </w:p>
    <w:p>
      <w:pPr>
        <w:spacing w:line="360" w:lineRule="auto"/>
        <w:rPr>
          <w:rFonts w:hint="eastAsia" w:ascii="宋体" w:hAnsi="宋体" w:cs="宋体"/>
          <w:highlight w:val="none"/>
          <w:lang w:val="en-US" w:eastAsia="zh-CN"/>
        </w:rPr>
      </w:pPr>
      <w:r>
        <w:rPr>
          <w:rFonts w:hint="eastAsia"/>
          <w:highlight w:val="none"/>
        </w:rPr>
        <w:t>5.1采购范围：</w:t>
      </w:r>
      <w:r>
        <w:rPr>
          <w:rFonts w:hint="eastAsia" w:hAnsi="宋体" w:cs="宋体"/>
          <w:highlight w:val="none"/>
        </w:rPr>
        <w:t>平顶山市新华区环境卫生服务中心生活垃圾收运及环境整治（垃圾中转站配套升级改造）项目</w:t>
      </w:r>
      <w:r>
        <w:rPr>
          <w:rFonts w:hint="eastAsia" w:hAnsi="宋体" w:cs="宋体"/>
          <w:highlight w:val="none"/>
          <w:lang w:eastAsia="zh-CN"/>
        </w:rPr>
        <w:t>，</w:t>
      </w:r>
      <w:r>
        <w:rPr>
          <w:rFonts w:hint="eastAsia"/>
          <w:highlight w:val="none"/>
          <w:lang w:val="en-US" w:eastAsia="zh-CN"/>
        </w:rPr>
        <w:t>包含体南餐厨垃圾减量化处理中心改造、长青路垃圾分拣中心改造、武庄垃圾分拣中心改造、中央花园大件垃圾 处理中心、街心花园垃圾分类宣教中心、双鹰垃圾中转站垂直压缩机更换、陈庄沟垃圾中转站垂直压缩机更换、移动箱体及车厢可卸式垃圾车配套建设。主要内容包括土建部分：拆除部分墙体、外立面原墙砖、室内墙裙、室内抹灰层、25cm厚混凝土地面；新建地砖及环氧地坪漆地面、白色乳胶漆内墙面、柔性石材外墙面、矿棉板吊顶等；安装部分：配电箱、电缆、开关、插座等；设备部分：垃圾车、吸污车等内容。</w:t>
      </w:r>
    </w:p>
    <w:p>
      <w:pPr>
        <w:spacing w:line="360" w:lineRule="auto"/>
        <w:ind w:firstLine="420" w:firstLineChars="200"/>
        <w:rPr>
          <w:highlight w:val="none"/>
        </w:rPr>
      </w:pPr>
      <w:r>
        <w:rPr>
          <w:rFonts w:hint="eastAsia" w:ascii="宋体" w:hAnsi="宋体" w:cs="宋体"/>
          <w:highlight w:val="none"/>
        </w:rPr>
        <w:t>5.2资金来源：财政资金，已落实。</w:t>
      </w:r>
    </w:p>
    <w:p>
      <w:pPr>
        <w:spacing w:line="360" w:lineRule="auto"/>
        <w:ind w:firstLine="420" w:firstLineChars="200"/>
        <w:rPr>
          <w:rFonts w:ascii="宋体" w:hAnsi="宋体" w:cs="宋体"/>
          <w:highlight w:val="none"/>
        </w:rPr>
      </w:pPr>
      <w:r>
        <w:rPr>
          <w:rFonts w:hint="eastAsia" w:ascii="宋体" w:hAnsi="宋体" w:cs="宋体"/>
          <w:highlight w:val="none"/>
        </w:rPr>
        <w:t>5.3</w:t>
      </w:r>
      <w:r>
        <w:rPr>
          <w:rFonts w:hint="eastAsia" w:ascii="宋体" w:hAnsi="宋体" w:cs="宋体"/>
          <w:highlight w:val="none"/>
          <w:lang w:eastAsia="zh-CN"/>
        </w:rPr>
        <w:t>服务地点</w:t>
      </w:r>
      <w:r>
        <w:rPr>
          <w:rFonts w:hint="eastAsia" w:ascii="宋体" w:hAnsi="宋体" w:cs="宋体"/>
          <w:highlight w:val="none"/>
        </w:rPr>
        <w:t>：</w:t>
      </w:r>
      <w:r>
        <w:rPr>
          <w:rFonts w:hint="eastAsia" w:ascii="宋体" w:hAnsi="宋体" w:cs="宋体"/>
          <w:highlight w:val="none"/>
          <w:lang w:eastAsia="zh-CN"/>
        </w:rPr>
        <w:t>新华区境内采购人指定地点</w:t>
      </w:r>
      <w:r>
        <w:rPr>
          <w:rFonts w:hint="eastAsia" w:ascii="宋体" w:hAnsi="宋体" w:cs="宋体"/>
          <w:highlight w:val="none"/>
        </w:rPr>
        <w:t>。</w:t>
      </w:r>
    </w:p>
    <w:p>
      <w:pPr>
        <w:spacing w:line="360" w:lineRule="auto"/>
        <w:ind w:firstLine="420" w:firstLineChars="200"/>
        <w:rPr>
          <w:rFonts w:ascii="宋体" w:hAnsi="宋体" w:cs="宋体"/>
          <w:highlight w:val="none"/>
        </w:rPr>
      </w:pPr>
      <w:r>
        <w:rPr>
          <w:rFonts w:hint="eastAsia" w:ascii="宋体" w:hAnsi="宋体" w:cs="宋体"/>
          <w:highlight w:val="none"/>
        </w:rPr>
        <w:t>5.4</w:t>
      </w:r>
      <w:r>
        <w:rPr>
          <w:rFonts w:hint="eastAsia" w:ascii="宋体" w:hAnsi="宋体" w:cs="宋体"/>
          <w:highlight w:val="none"/>
          <w:lang w:eastAsia="zh-CN"/>
        </w:rPr>
        <w:t>服务期限</w:t>
      </w:r>
      <w:r>
        <w:rPr>
          <w:rFonts w:hint="eastAsia" w:ascii="宋体" w:hAnsi="宋体" w:cs="宋体"/>
          <w:highlight w:val="none"/>
        </w:rPr>
        <w:t>：签订合同后</w:t>
      </w:r>
      <w:r>
        <w:rPr>
          <w:rFonts w:hint="eastAsia" w:ascii="宋体" w:hAnsi="宋体" w:cs="宋体"/>
          <w:highlight w:val="none"/>
          <w:lang w:val="en-US" w:eastAsia="zh-CN"/>
        </w:rPr>
        <w:t>60</w:t>
      </w:r>
      <w:r>
        <w:rPr>
          <w:rFonts w:hint="eastAsia" w:ascii="宋体" w:hAnsi="宋体" w:cs="宋体"/>
          <w:highlight w:val="none"/>
        </w:rPr>
        <w:t>日历天完成</w:t>
      </w:r>
      <w:r>
        <w:rPr>
          <w:rFonts w:hint="eastAsia" w:ascii="宋体" w:hAnsi="宋体" w:cs="宋体"/>
          <w:highlight w:val="none"/>
          <w:lang w:eastAsia="zh-CN"/>
        </w:rPr>
        <w:t>土建、安装部分的竣工验收及设备的</w:t>
      </w:r>
      <w:r>
        <w:rPr>
          <w:rFonts w:hint="eastAsia" w:ascii="宋体" w:hAnsi="宋体" w:cs="宋体"/>
          <w:highlight w:val="none"/>
        </w:rPr>
        <w:t>交货、安装、调试、验收；</w:t>
      </w:r>
    </w:p>
    <w:p>
      <w:pPr>
        <w:spacing w:line="360" w:lineRule="auto"/>
        <w:ind w:firstLine="420" w:firstLineChars="200"/>
        <w:rPr>
          <w:rFonts w:hint="eastAsia" w:ascii="宋体" w:hAnsi="宋体" w:cs="宋体"/>
          <w:szCs w:val="22"/>
          <w:highlight w:val="none"/>
          <w:lang w:val="en-US" w:eastAsia="zh-CN"/>
        </w:rPr>
      </w:pPr>
      <w:r>
        <w:rPr>
          <w:rFonts w:hint="eastAsia" w:ascii="宋体" w:hAnsi="宋体" w:cs="宋体"/>
          <w:szCs w:val="22"/>
          <w:highlight w:val="none"/>
        </w:rPr>
        <w:t>5.5质保期：</w:t>
      </w:r>
      <w:r>
        <w:rPr>
          <w:rFonts w:hint="eastAsia" w:ascii="宋体" w:hAnsi="宋体" w:cs="宋体"/>
          <w:szCs w:val="22"/>
          <w:highlight w:val="none"/>
          <w:lang w:val="en-US" w:eastAsia="zh-CN"/>
        </w:rPr>
        <w:t>土建及安装部分缺陷责任期：2年；设备部分：整机1年。</w:t>
      </w:r>
    </w:p>
    <w:p>
      <w:pPr>
        <w:spacing w:line="360" w:lineRule="auto"/>
        <w:ind w:firstLine="420" w:firstLineChars="200"/>
        <w:rPr>
          <w:rFonts w:ascii="宋体" w:hAnsi="宋体" w:cs="宋体"/>
          <w:szCs w:val="22"/>
          <w:highlight w:val="none"/>
        </w:rPr>
      </w:pPr>
      <w:r>
        <w:rPr>
          <w:rFonts w:hint="eastAsia" w:ascii="宋体" w:hAnsi="宋体" w:cs="宋体"/>
          <w:szCs w:val="22"/>
          <w:highlight w:val="none"/>
        </w:rPr>
        <w:t>5.6质量要求：</w:t>
      </w:r>
      <w:r>
        <w:rPr>
          <w:rFonts w:hint="eastAsia" w:ascii="宋体" w:hAnsi="宋体" w:cs="宋体"/>
          <w:szCs w:val="22"/>
          <w:highlight w:val="none"/>
          <w:lang w:val="en-US" w:eastAsia="zh-CN"/>
        </w:rPr>
        <w:t>土建及安装部分:合格；设备部分：</w:t>
      </w:r>
      <w:r>
        <w:rPr>
          <w:rFonts w:hint="eastAsia" w:ascii="宋体" w:hAnsi="宋体" w:cs="宋体"/>
          <w:szCs w:val="22"/>
          <w:highlight w:val="none"/>
        </w:rPr>
        <w:t>达到国家相关法律、法规规定的生产、制造、验收合格标准</w:t>
      </w:r>
    </w:p>
    <w:p>
      <w:pPr>
        <w:spacing w:line="360" w:lineRule="auto"/>
        <w:ind w:firstLine="420" w:firstLineChars="200"/>
        <w:rPr>
          <w:rFonts w:ascii="宋体" w:hAnsi="宋体" w:cs="宋体"/>
          <w:szCs w:val="22"/>
          <w:highlight w:val="none"/>
        </w:rPr>
      </w:pPr>
      <w:r>
        <w:rPr>
          <w:rFonts w:hint="eastAsia" w:ascii="宋体" w:hAnsi="宋体" w:cs="宋体"/>
          <w:szCs w:val="22"/>
          <w:highlight w:val="none"/>
        </w:rPr>
        <w:t>5.7标包划分：无</w:t>
      </w:r>
    </w:p>
    <w:p>
      <w:pPr>
        <w:spacing w:line="360" w:lineRule="auto"/>
        <w:rPr>
          <w:rFonts w:hint="eastAsia" w:ascii="宋体" w:hAnsi="宋体"/>
          <w:highlight w:val="none"/>
          <w:lang w:val="en-US" w:eastAsia="zh-CN"/>
        </w:rPr>
      </w:pPr>
      <w:r>
        <w:rPr>
          <w:rFonts w:hint="eastAsia" w:ascii="宋体" w:hAnsi="宋体"/>
          <w:highlight w:val="none"/>
          <w:lang w:val="en-US" w:eastAsia="zh-CN"/>
        </w:rPr>
        <w:t>6、合同履行期限：同服务期</w:t>
      </w:r>
    </w:p>
    <w:p>
      <w:pPr>
        <w:spacing w:line="360" w:lineRule="auto"/>
        <w:rPr>
          <w:rFonts w:hint="eastAsia" w:ascii="宋体" w:hAnsi="宋体"/>
          <w:highlight w:val="none"/>
          <w:lang w:val="en-US" w:eastAsia="zh-CN"/>
        </w:rPr>
      </w:pPr>
      <w:r>
        <w:rPr>
          <w:rFonts w:hint="eastAsia" w:ascii="宋体" w:hAnsi="宋体"/>
          <w:highlight w:val="none"/>
          <w:lang w:val="en-US" w:eastAsia="zh-CN"/>
        </w:rPr>
        <w:t>7、本项目是否接受联合体投标：否</w:t>
      </w:r>
    </w:p>
    <w:p>
      <w:pPr>
        <w:spacing w:line="360" w:lineRule="auto"/>
        <w:rPr>
          <w:rFonts w:hint="eastAsia" w:ascii="宋体" w:hAnsi="宋体"/>
          <w:highlight w:val="none"/>
          <w:lang w:val="en-US" w:eastAsia="zh-CN"/>
        </w:rPr>
      </w:pPr>
      <w:r>
        <w:rPr>
          <w:rFonts w:hint="eastAsia" w:ascii="宋体" w:hAnsi="宋体"/>
          <w:highlight w:val="none"/>
          <w:lang w:val="en-US" w:eastAsia="zh-CN"/>
        </w:rPr>
        <w:t>8、是否接受进口产品：否</w:t>
      </w:r>
    </w:p>
    <w:p>
      <w:pPr>
        <w:spacing w:line="360" w:lineRule="auto"/>
        <w:rPr>
          <w:rFonts w:hint="eastAsia" w:ascii="宋体" w:hAnsi="宋体"/>
          <w:highlight w:val="none"/>
          <w:lang w:val="en-US" w:eastAsia="zh-CN"/>
        </w:rPr>
      </w:pPr>
      <w:r>
        <w:rPr>
          <w:rFonts w:hint="eastAsia" w:ascii="宋体" w:hAnsi="宋体"/>
          <w:highlight w:val="none"/>
          <w:lang w:val="en-US" w:eastAsia="zh-CN"/>
        </w:rPr>
        <w:t>9、是否专门面向中小企业：否</w:t>
      </w:r>
    </w:p>
    <w:p>
      <w:pPr>
        <w:spacing w:line="360" w:lineRule="auto"/>
        <w:rPr>
          <w:rFonts w:hint="eastAsia" w:ascii="宋体" w:hAnsi="宋体"/>
          <w:highlight w:val="none"/>
          <w:lang w:val="en-US" w:eastAsia="zh-CN"/>
        </w:rPr>
      </w:pPr>
      <w:r>
        <w:rPr>
          <w:rFonts w:hint="eastAsia" w:ascii="宋体" w:hAnsi="宋体"/>
          <w:highlight w:val="none"/>
          <w:lang w:val="en-US" w:eastAsia="zh-CN"/>
        </w:rPr>
        <w:t>二、采购需求</w:t>
      </w:r>
    </w:p>
    <w:p>
      <w:pPr>
        <w:spacing w:line="360" w:lineRule="auto"/>
        <w:rPr>
          <w:rFonts w:hint="eastAsia" w:ascii="宋体" w:hAnsi="宋体" w:eastAsia="宋体"/>
          <w:highlight w:val="none"/>
          <w:lang w:val="en-US" w:eastAsia="zh-CN"/>
        </w:rPr>
      </w:pPr>
      <w:r>
        <w:rPr>
          <w:rFonts w:hint="eastAsia" w:ascii="宋体" w:hAnsi="宋体"/>
          <w:highlight w:val="none"/>
          <w:lang w:val="en-US" w:eastAsia="zh-CN"/>
        </w:rPr>
        <w:t>图纸及清单（另册）</w:t>
      </w:r>
    </w:p>
    <w:p>
      <w:pPr>
        <w:spacing w:line="360" w:lineRule="auto"/>
        <w:rPr>
          <w:rFonts w:hint="eastAsia" w:ascii="宋体" w:hAnsi="宋体" w:eastAsia="宋体" w:cs="宋体"/>
          <w:highlight w:val="none"/>
          <w:lang w:eastAsia="zh-CN"/>
        </w:rPr>
      </w:pPr>
      <w:r>
        <w:rPr>
          <w:rFonts w:hint="eastAsia" w:ascii="宋体" w:hAnsi="宋体"/>
          <w:highlight w:val="none"/>
          <w:lang w:val="en-US" w:eastAsia="zh-CN"/>
        </w:rPr>
        <w:t>特别说明：本项项目名称为</w:t>
      </w:r>
      <w:r>
        <w:rPr>
          <w:rFonts w:hint="eastAsia" w:hAnsi="宋体" w:cs="宋体"/>
          <w:highlight w:val="none"/>
        </w:rPr>
        <w:t>平顶山市新华区环境卫生服务中心生活垃圾收运及环境整治（垃圾中转站配套升级改造）项目</w:t>
      </w:r>
      <w:r>
        <w:rPr>
          <w:rFonts w:hint="eastAsia" w:hAnsi="宋体" w:cs="宋体"/>
          <w:highlight w:val="none"/>
          <w:lang w:eastAsia="zh-CN"/>
        </w:rPr>
        <w:t>，图纸和清单中的项目名称如与招标文件不一致，以招标文件中的项目名称为准。</w:t>
      </w:r>
    </w:p>
    <w:p>
      <w:pPr>
        <w:spacing w:line="360" w:lineRule="auto"/>
        <w:rPr>
          <w:rFonts w:hint="eastAsia" w:ascii="宋体" w:hAnsi="宋体" w:eastAsia="宋体"/>
          <w:highlight w:val="none"/>
          <w:lang w:val="en-US" w:eastAsia="zh-CN"/>
        </w:rPr>
      </w:pPr>
    </w:p>
    <w:p>
      <w:pPr>
        <w:pStyle w:val="9"/>
        <w:numPr>
          <w:ilvl w:val="0"/>
          <w:numId w:val="0"/>
        </w:numPr>
        <w:rPr>
          <w:rFonts w:hint="eastAsia"/>
          <w:highlight w:val="none"/>
          <w:lang w:val="en-US" w:eastAsia="zh-CN"/>
        </w:rPr>
      </w:pPr>
    </w:p>
    <w:p>
      <w:pPr>
        <w:pStyle w:val="38"/>
        <w:rPr>
          <w:highlight w:val="none"/>
        </w:rPr>
      </w:pPr>
    </w:p>
    <w:p>
      <w:pPr>
        <w:pStyle w:val="8"/>
        <w:rPr>
          <w:highlight w:val="none"/>
        </w:rPr>
      </w:pPr>
    </w:p>
    <w:p>
      <w:pPr>
        <w:pStyle w:val="8"/>
        <w:rPr>
          <w:highlight w:val="none"/>
        </w:rPr>
      </w:pPr>
    </w:p>
    <w:p>
      <w:pPr>
        <w:pStyle w:val="38"/>
        <w:rPr>
          <w:highlight w:val="none"/>
        </w:rPr>
      </w:pPr>
    </w:p>
    <w:p>
      <w:pPr>
        <w:rPr>
          <w:highlight w:val="none"/>
        </w:rPr>
      </w:pPr>
    </w:p>
    <w:p>
      <w:pPr>
        <w:rPr>
          <w:rFonts w:ascii="宋体" w:hAnsi="宋体"/>
          <w:sz w:val="36"/>
          <w:szCs w:val="36"/>
          <w:highlight w:val="none"/>
        </w:rPr>
        <w:sectPr>
          <w:pgSz w:w="11906" w:h="16838"/>
          <w:pgMar w:top="1418" w:right="1134" w:bottom="1418" w:left="1134" w:header="851" w:footer="992" w:gutter="0"/>
          <w:cols w:space="720" w:num="1"/>
          <w:docGrid w:type="lines" w:linePitch="312" w:charSpace="0"/>
        </w:sectPr>
      </w:pPr>
    </w:p>
    <w:p>
      <w:pPr>
        <w:pStyle w:val="2"/>
        <w:jc w:val="center"/>
        <w:rPr>
          <w:rFonts w:ascii="宋体" w:hAnsi="宋体"/>
          <w:sz w:val="36"/>
          <w:szCs w:val="36"/>
          <w:highlight w:val="none"/>
        </w:rPr>
      </w:pPr>
      <w:bookmarkStart w:id="267" w:name="_Toc10489_WPSOffice_Level1"/>
      <w:r>
        <w:rPr>
          <w:rFonts w:hint="eastAsia" w:ascii="宋体" w:hAnsi="宋体"/>
          <w:sz w:val="36"/>
          <w:szCs w:val="36"/>
          <w:highlight w:val="none"/>
        </w:rPr>
        <w:t>第六章 投标文件格式</w:t>
      </w:r>
      <w:bookmarkEnd w:id="264"/>
      <w:bookmarkEnd w:id="265"/>
      <w:bookmarkEnd w:id="266"/>
      <w:bookmarkEnd w:id="267"/>
    </w:p>
    <w:p>
      <w:pPr>
        <w:spacing w:line="360" w:lineRule="auto"/>
        <w:ind w:firstLine="643" w:firstLineChars="200"/>
        <w:jc w:val="center"/>
        <w:rPr>
          <w:rFonts w:ascii="宋体" w:hAnsi="宋体"/>
          <w:b/>
          <w:sz w:val="32"/>
          <w:highlight w:val="none"/>
        </w:rPr>
      </w:pPr>
    </w:p>
    <w:p>
      <w:pPr>
        <w:spacing w:line="360" w:lineRule="auto"/>
        <w:ind w:firstLine="643" w:firstLineChars="200"/>
        <w:jc w:val="center"/>
        <w:rPr>
          <w:rFonts w:ascii="宋体" w:hAnsi="宋体"/>
          <w:b/>
          <w:sz w:val="32"/>
          <w:highlight w:val="none"/>
        </w:rPr>
      </w:pPr>
    </w:p>
    <w:p>
      <w:pPr>
        <w:rPr>
          <w:rFonts w:ascii="宋体" w:hAnsi="宋体"/>
          <w:bCs/>
          <w:sz w:val="36"/>
          <w:szCs w:val="36"/>
          <w:highlight w:val="none"/>
        </w:rPr>
      </w:pPr>
      <w:bookmarkStart w:id="268" w:name="_Toc23678"/>
      <w:bookmarkStart w:id="269" w:name="_Hlk479666243"/>
      <w:r>
        <w:rPr>
          <w:rFonts w:hint="eastAsia" w:ascii="宋体" w:hAnsi="宋体"/>
          <w:bCs/>
          <w:sz w:val="36"/>
          <w:szCs w:val="36"/>
          <w:highlight w:val="none"/>
        </w:rPr>
        <w:br w:type="page"/>
      </w:r>
    </w:p>
    <w:bookmarkEnd w:id="268"/>
    <w:p>
      <w:pPr>
        <w:jc w:val="center"/>
        <w:rPr>
          <w:b/>
          <w:bCs/>
          <w:sz w:val="72"/>
          <w:szCs w:val="72"/>
          <w:highlight w:val="none"/>
        </w:rPr>
      </w:pPr>
      <w:bookmarkStart w:id="270" w:name="_Toc4065"/>
    </w:p>
    <w:p>
      <w:pPr>
        <w:jc w:val="center"/>
        <w:rPr>
          <w:b/>
          <w:bCs/>
          <w:sz w:val="72"/>
          <w:szCs w:val="72"/>
          <w:highlight w:val="none"/>
        </w:rPr>
      </w:pPr>
      <w:r>
        <w:rPr>
          <w:rFonts w:hint="eastAsia"/>
          <w:b/>
          <w:bCs/>
          <w:sz w:val="72"/>
          <w:szCs w:val="72"/>
          <w:highlight w:val="none"/>
        </w:rPr>
        <w:t>投标文件</w:t>
      </w:r>
      <w:bookmarkEnd w:id="270"/>
    </w:p>
    <w:p>
      <w:pPr>
        <w:rPr>
          <w:sz w:val="28"/>
          <w:szCs w:val="28"/>
          <w:highlight w:val="none"/>
        </w:rPr>
      </w:pPr>
    </w:p>
    <w:p>
      <w:pPr>
        <w:rPr>
          <w:b/>
          <w:bCs/>
          <w:sz w:val="28"/>
          <w:szCs w:val="28"/>
          <w:highlight w:val="none"/>
        </w:rPr>
      </w:pPr>
      <w:r>
        <w:rPr>
          <w:rFonts w:hint="eastAsia"/>
          <w:b/>
          <w:bCs/>
          <w:sz w:val="28"/>
          <w:szCs w:val="28"/>
          <w:highlight w:val="none"/>
        </w:rPr>
        <w:t>项目名称：</w:t>
      </w:r>
    </w:p>
    <w:p>
      <w:pPr>
        <w:rPr>
          <w:b/>
          <w:bCs/>
          <w:sz w:val="28"/>
          <w:szCs w:val="28"/>
          <w:highlight w:val="none"/>
        </w:rPr>
      </w:pPr>
      <w:r>
        <w:rPr>
          <w:rFonts w:hint="eastAsia"/>
          <w:b/>
          <w:bCs/>
          <w:sz w:val="28"/>
          <w:szCs w:val="28"/>
          <w:highlight w:val="none"/>
        </w:rPr>
        <w:t>采购编号：</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bookmarkEnd w:id="269"/>
    <w:p>
      <w:pPr>
        <w:rPr>
          <w:b/>
          <w:bCs/>
          <w:sz w:val="28"/>
          <w:szCs w:val="28"/>
          <w:highlight w:val="none"/>
        </w:rPr>
      </w:pPr>
      <w:bookmarkStart w:id="271" w:name="_Toc2992"/>
      <w:bookmarkStart w:id="272" w:name="_Toc410113696"/>
      <w:bookmarkStart w:id="273" w:name="_Toc184635137"/>
      <w:bookmarkStart w:id="274" w:name="_Toc410113764"/>
      <w:r>
        <w:rPr>
          <w:rFonts w:hint="eastAsia"/>
          <w:b/>
          <w:bCs/>
          <w:sz w:val="28"/>
          <w:szCs w:val="28"/>
          <w:highlight w:val="none"/>
        </w:rPr>
        <w:t>投标单位（企业电子签章） ：</w:t>
      </w:r>
      <w:bookmarkEnd w:id="271"/>
    </w:p>
    <w:p>
      <w:pPr>
        <w:rPr>
          <w:b/>
          <w:bCs/>
          <w:sz w:val="28"/>
          <w:szCs w:val="28"/>
          <w:highlight w:val="none"/>
        </w:rPr>
      </w:pPr>
      <w:bookmarkStart w:id="275" w:name="_Toc3855"/>
      <w:r>
        <w:rPr>
          <w:rFonts w:hint="eastAsia"/>
          <w:b/>
          <w:bCs/>
          <w:sz w:val="28"/>
          <w:szCs w:val="28"/>
          <w:highlight w:val="none"/>
        </w:rPr>
        <w:t>法定代表人（电子签章）：</w:t>
      </w:r>
      <w:bookmarkEnd w:id="275"/>
    </w:p>
    <w:p>
      <w:pPr>
        <w:rPr>
          <w:b/>
          <w:bCs/>
          <w:sz w:val="28"/>
          <w:szCs w:val="28"/>
          <w:highlight w:val="none"/>
        </w:rPr>
      </w:pPr>
      <w:bookmarkStart w:id="276" w:name="_Toc13949"/>
      <w:r>
        <w:rPr>
          <w:rFonts w:hint="eastAsia"/>
          <w:b/>
          <w:bCs/>
          <w:sz w:val="28"/>
          <w:szCs w:val="28"/>
          <w:highlight w:val="none"/>
        </w:rPr>
        <w:t>日    期：</w:t>
      </w:r>
      <w:bookmarkEnd w:id="276"/>
    </w:p>
    <w:p>
      <w:pPr>
        <w:spacing w:line="360" w:lineRule="auto"/>
        <w:jc w:val="center"/>
        <w:rPr>
          <w:rFonts w:ascii="宋体" w:hAnsi="宋体"/>
          <w:sz w:val="28"/>
          <w:highlight w:val="none"/>
        </w:rPr>
      </w:pPr>
    </w:p>
    <w:p>
      <w:pPr>
        <w:pStyle w:val="4"/>
        <w:jc w:val="center"/>
        <w:rPr>
          <w:rFonts w:ascii="宋体" w:hAnsi="宋体"/>
          <w:highlight w:val="none"/>
        </w:rPr>
      </w:pPr>
      <w:r>
        <w:rPr>
          <w:rFonts w:ascii="宋体" w:hAnsi="宋体"/>
          <w:sz w:val="28"/>
          <w:highlight w:val="none"/>
        </w:rPr>
        <w:br w:type="page"/>
      </w:r>
      <w:bookmarkEnd w:id="272"/>
      <w:bookmarkEnd w:id="273"/>
      <w:bookmarkEnd w:id="274"/>
      <w:bookmarkStart w:id="277" w:name="_Toc184635138"/>
      <w:bookmarkStart w:id="278" w:name="_Toc410113765"/>
      <w:bookmarkStart w:id="279" w:name="_Toc10692"/>
      <w:bookmarkStart w:id="280" w:name="_Toc4743"/>
      <w:bookmarkStart w:id="281" w:name="_Toc10620090"/>
      <w:r>
        <w:rPr>
          <w:rFonts w:hint="eastAsia" w:ascii="宋体" w:hAnsi="宋体"/>
          <w:sz w:val="32"/>
          <w:szCs w:val="22"/>
          <w:highlight w:val="none"/>
        </w:rPr>
        <w:t>一、投标函及投标函附录</w:t>
      </w:r>
      <w:bookmarkEnd w:id="277"/>
      <w:bookmarkEnd w:id="278"/>
      <w:bookmarkEnd w:id="279"/>
      <w:bookmarkEnd w:id="280"/>
      <w:bookmarkEnd w:id="281"/>
    </w:p>
    <w:p>
      <w:pPr>
        <w:pStyle w:val="4"/>
        <w:jc w:val="center"/>
        <w:rPr>
          <w:rFonts w:ascii="宋体" w:hAnsi="宋体"/>
          <w:highlight w:val="none"/>
        </w:rPr>
      </w:pPr>
      <w:bookmarkStart w:id="282" w:name="_Toc10620091"/>
      <w:bookmarkStart w:id="283" w:name="_Toc15879"/>
      <w:bookmarkStart w:id="284" w:name="_Toc10523"/>
      <w:bookmarkStart w:id="285" w:name="_Toc11912"/>
      <w:bookmarkStart w:id="286" w:name="_Toc26449"/>
      <w:r>
        <w:rPr>
          <w:rFonts w:hint="eastAsia" w:ascii="宋体" w:hAnsi="宋体"/>
          <w:highlight w:val="none"/>
        </w:rPr>
        <w:t>（一）投标函</w:t>
      </w:r>
      <w:bookmarkEnd w:id="282"/>
      <w:bookmarkEnd w:id="283"/>
      <w:bookmarkEnd w:id="284"/>
      <w:bookmarkEnd w:id="285"/>
      <w:bookmarkEnd w:id="286"/>
    </w:p>
    <w:p>
      <w:pPr>
        <w:spacing w:line="360" w:lineRule="auto"/>
        <w:ind w:firstLine="420" w:firstLineChars="200"/>
        <w:rPr>
          <w:rFonts w:ascii="宋体" w:hAnsi="宋体"/>
          <w:highlight w:val="none"/>
        </w:rPr>
      </w:pPr>
    </w:p>
    <w:p>
      <w:pPr>
        <w:spacing w:line="360" w:lineRule="auto"/>
        <w:rPr>
          <w:rFonts w:ascii="宋体" w:hAnsi="宋体"/>
          <w:szCs w:val="21"/>
          <w:highlight w:val="none"/>
        </w:rPr>
      </w:pPr>
      <w:r>
        <w:rPr>
          <w:rFonts w:hint="eastAsia" w:ascii="宋体" w:hAnsi="宋体" w:cs="宋体"/>
          <w:bCs/>
          <w:szCs w:val="21"/>
          <w:highlight w:val="none"/>
          <w:u w:val="single"/>
        </w:rPr>
        <w:t xml:space="preserve">（采购人名称）          </w:t>
      </w:r>
      <w:r>
        <w:rPr>
          <w:rFonts w:hint="eastAsia" w:ascii="宋体" w:hAnsi="宋体"/>
          <w:szCs w:val="21"/>
          <w:highlight w:val="none"/>
          <w:u w:val="single"/>
        </w:rPr>
        <w:t>:</w:t>
      </w:r>
    </w:p>
    <w:p>
      <w:pPr>
        <w:spacing w:line="480" w:lineRule="auto"/>
        <w:ind w:firstLine="420" w:firstLineChars="200"/>
        <w:rPr>
          <w:rFonts w:ascii="宋体" w:hAnsi="宋体"/>
          <w:szCs w:val="21"/>
          <w:highlight w:val="none"/>
        </w:rPr>
      </w:pPr>
      <w:r>
        <w:rPr>
          <w:rFonts w:hint="eastAsia" w:ascii="宋体" w:hAnsi="宋体"/>
          <w:szCs w:val="21"/>
          <w:highlight w:val="none"/>
        </w:rPr>
        <w:t>1.我方己仔细研究了</w:t>
      </w:r>
      <w:r>
        <w:rPr>
          <w:rFonts w:hint="eastAsia" w:ascii="宋体" w:hAnsi="宋体"/>
          <w:szCs w:val="21"/>
          <w:highlight w:val="none"/>
          <w:u w:val="single"/>
        </w:rPr>
        <w:t>（项目</w:t>
      </w:r>
      <w:r>
        <w:rPr>
          <w:rFonts w:ascii="宋体" w:hAnsi="宋体"/>
          <w:szCs w:val="21"/>
          <w:highlight w:val="none"/>
          <w:u w:val="single"/>
        </w:rPr>
        <w:t>名称</w:t>
      </w:r>
      <w:r>
        <w:rPr>
          <w:rFonts w:hint="eastAsia" w:ascii="宋体" w:hAnsi="宋体"/>
          <w:szCs w:val="21"/>
          <w:highlight w:val="none"/>
          <w:u w:val="single"/>
        </w:rPr>
        <w:t xml:space="preserve">）      </w:t>
      </w:r>
      <w:r>
        <w:rPr>
          <w:rFonts w:hint="eastAsia" w:ascii="宋体" w:hAnsi="宋体"/>
          <w:szCs w:val="21"/>
          <w:highlight w:val="none"/>
        </w:rPr>
        <w:t>招标文件的全部内容，针对该项目的投标总报价为人民币（大写）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（姓名）       </w:t>
      </w:r>
      <w:r>
        <w:rPr>
          <w:rFonts w:hint="eastAsia" w:ascii="宋体" w:hAnsi="宋体"/>
          <w:szCs w:val="21"/>
          <w:highlight w:val="none"/>
        </w:rPr>
        <w:t>经正式授权并代表投标人</w:t>
      </w:r>
      <w:r>
        <w:rPr>
          <w:rFonts w:hint="eastAsia" w:ascii="宋体" w:hAnsi="宋体"/>
          <w:szCs w:val="21"/>
          <w:highlight w:val="none"/>
          <w:u w:val="single"/>
        </w:rPr>
        <w:t xml:space="preserve">（投标人名称、地址）        </w:t>
      </w:r>
      <w:r>
        <w:rPr>
          <w:rFonts w:hint="eastAsia" w:ascii="宋体" w:hAnsi="宋体"/>
          <w:szCs w:val="21"/>
          <w:highlight w:val="none"/>
        </w:rPr>
        <w:t>，提交招标文件要求的全套投标文件。</w:t>
      </w:r>
    </w:p>
    <w:p>
      <w:pPr>
        <w:spacing w:line="480" w:lineRule="auto"/>
        <w:ind w:firstLine="420" w:firstLineChars="200"/>
        <w:rPr>
          <w:rFonts w:ascii="宋体" w:hAnsi="宋体"/>
          <w:szCs w:val="21"/>
          <w:highlight w:val="none"/>
        </w:rPr>
      </w:pPr>
      <w:r>
        <w:rPr>
          <w:rFonts w:hint="eastAsia" w:ascii="宋体" w:hAnsi="宋体"/>
          <w:szCs w:val="21"/>
          <w:highlight w:val="none"/>
        </w:rPr>
        <w:t>2．我方承诺在投标有效期内不修改、撤销投标文件。</w:t>
      </w:r>
    </w:p>
    <w:p>
      <w:pPr>
        <w:spacing w:line="480" w:lineRule="auto"/>
        <w:ind w:firstLine="420" w:firstLineChars="200"/>
        <w:rPr>
          <w:rFonts w:ascii="宋体" w:hAnsi="宋体"/>
          <w:szCs w:val="21"/>
          <w:highlight w:val="none"/>
        </w:rPr>
      </w:pPr>
      <w:r>
        <w:rPr>
          <w:rFonts w:hint="eastAsia" w:ascii="宋体" w:hAnsi="宋体"/>
          <w:szCs w:val="21"/>
          <w:highlight w:val="none"/>
        </w:rPr>
        <w:t>3．如我方中标：</w:t>
      </w:r>
    </w:p>
    <w:p>
      <w:pPr>
        <w:spacing w:line="480" w:lineRule="auto"/>
        <w:ind w:firstLine="420" w:firstLineChars="200"/>
        <w:rPr>
          <w:rFonts w:ascii="宋体" w:hAnsi="宋体"/>
          <w:szCs w:val="21"/>
          <w:highlight w:val="none"/>
        </w:rPr>
      </w:pPr>
      <w:r>
        <w:rPr>
          <w:rFonts w:hint="eastAsia" w:ascii="宋体" w:hAnsi="宋体"/>
          <w:szCs w:val="21"/>
          <w:highlight w:val="none"/>
        </w:rPr>
        <w:t>(l）我方承诺在收到中标通知书后，在中标通知书规定的期限内与你方签订合同。</w:t>
      </w:r>
    </w:p>
    <w:p>
      <w:pPr>
        <w:spacing w:line="480" w:lineRule="auto"/>
        <w:ind w:firstLine="420" w:firstLineChars="200"/>
        <w:rPr>
          <w:rFonts w:ascii="宋体" w:hAnsi="宋体"/>
          <w:szCs w:val="21"/>
          <w:highlight w:val="none"/>
        </w:rPr>
      </w:pPr>
      <w:r>
        <w:rPr>
          <w:rFonts w:hint="eastAsia" w:ascii="宋体" w:hAnsi="宋体"/>
          <w:szCs w:val="21"/>
          <w:highlight w:val="none"/>
        </w:rPr>
        <w:t>(2）随同本投标函递交的投标函附录属于合同文件的组成部分。</w:t>
      </w:r>
    </w:p>
    <w:p>
      <w:pPr>
        <w:spacing w:line="480" w:lineRule="auto"/>
        <w:ind w:firstLine="420" w:firstLineChars="200"/>
        <w:rPr>
          <w:rFonts w:ascii="宋体" w:hAnsi="宋体"/>
          <w:szCs w:val="21"/>
          <w:highlight w:val="none"/>
        </w:rPr>
      </w:pPr>
      <w:r>
        <w:rPr>
          <w:rFonts w:hint="eastAsia" w:ascii="宋体" w:hAnsi="宋体"/>
          <w:szCs w:val="21"/>
          <w:highlight w:val="none"/>
        </w:rPr>
        <w:t>(3）我方承诺按照招标文件规定向你方递交履约担保。</w:t>
      </w:r>
    </w:p>
    <w:p>
      <w:pPr>
        <w:spacing w:line="480" w:lineRule="auto"/>
        <w:ind w:firstLine="420" w:firstLineChars="200"/>
        <w:rPr>
          <w:rFonts w:ascii="宋体" w:hAnsi="宋体"/>
          <w:szCs w:val="21"/>
          <w:highlight w:val="none"/>
        </w:rPr>
      </w:pPr>
      <w:r>
        <w:rPr>
          <w:rFonts w:hint="eastAsia" w:ascii="宋体" w:hAnsi="宋体"/>
          <w:szCs w:val="21"/>
          <w:highlight w:val="none"/>
        </w:rPr>
        <w:t>(4）我方承诺在合同约定的期限内完成合同约定内容。</w:t>
      </w:r>
    </w:p>
    <w:p>
      <w:pPr>
        <w:spacing w:line="480" w:lineRule="auto"/>
        <w:ind w:firstLine="420" w:firstLineChars="200"/>
        <w:rPr>
          <w:rFonts w:ascii="宋体" w:hAnsi="宋体"/>
          <w:szCs w:val="21"/>
          <w:highlight w:val="none"/>
        </w:rPr>
      </w:pPr>
      <w:r>
        <w:rPr>
          <w:rFonts w:hint="eastAsia" w:ascii="宋体" w:hAnsi="宋体"/>
          <w:szCs w:val="21"/>
          <w:highlight w:val="none"/>
        </w:rPr>
        <w:t>(5）我方承诺按招标文件载明的金额向代理机构支付招标服务费</w:t>
      </w:r>
    </w:p>
    <w:p>
      <w:pPr>
        <w:spacing w:line="480" w:lineRule="auto"/>
        <w:ind w:firstLine="420" w:firstLineChars="200"/>
        <w:rPr>
          <w:rFonts w:ascii="宋体" w:hAnsi="宋体"/>
          <w:szCs w:val="21"/>
          <w:highlight w:val="none"/>
        </w:rPr>
      </w:pPr>
      <w:r>
        <w:rPr>
          <w:rFonts w:hint="eastAsia" w:ascii="宋体" w:hAnsi="宋体"/>
          <w:szCs w:val="21"/>
          <w:highlight w:val="none"/>
        </w:rPr>
        <w:t>4．我方在此声明，所递交的投标文件及有关资料内容完整、真实和准确</w:t>
      </w:r>
    </w:p>
    <w:p>
      <w:pPr>
        <w:spacing w:line="48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 xml:space="preserve">                    (其他补充说明)。</w:t>
      </w:r>
    </w:p>
    <w:p>
      <w:pPr>
        <w:pStyle w:val="4"/>
        <w:numPr>
          <w:ilvl w:val="0"/>
          <w:numId w:val="7"/>
        </w:numPr>
        <w:jc w:val="center"/>
        <w:rPr>
          <w:rFonts w:ascii="宋体" w:hAnsi="宋体"/>
          <w:sz w:val="30"/>
          <w:highlight w:val="none"/>
        </w:rPr>
      </w:pPr>
      <w:bookmarkStart w:id="287" w:name="_Toc9997"/>
      <w:bookmarkStart w:id="288" w:name="_Toc2792"/>
      <w:bookmarkStart w:id="289" w:name="_Toc16483"/>
      <w:r>
        <w:rPr>
          <w:rFonts w:ascii="宋体" w:hAnsi="宋体"/>
          <w:b w:val="0"/>
          <w:sz w:val="21"/>
          <w:highlight w:val="none"/>
        </w:rPr>
        <w:br w:type="page"/>
      </w:r>
      <w:bookmarkStart w:id="290" w:name="_Toc10620092"/>
      <w:bookmarkStart w:id="291" w:name="_Toc30945"/>
      <w:r>
        <w:rPr>
          <w:rFonts w:hint="eastAsia" w:ascii="宋体" w:hAnsi="宋体"/>
          <w:sz w:val="30"/>
          <w:highlight w:val="none"/>
        </w:rPr>
        <w:t>投标函附录</w:t>
      </w:r>
      <w:bookmarkEnd w:id="287"/>
      <w:bookmarkEnd w:id="288"/>
      <w:bookmarkEnd w:id="289"/>
      <w:bookmarkEnd w:id="290"/>
      <w:bookmarkEnd w:id="291"/>
    </w:p>
    <w:tbl>
      <w:tblPr>
        <w:tblStyle w:val="3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bookmarkStart w:id="292" w:name="_Toc410113766"/>
            <w:bookmarkStart w:id="293" w:name="_Toc184635139"/>
            <w:r>
              <w:rPr>
                <w:rFonts w:hint="eastAsia" w:ascii="宋体" w:hAnsi="宋体" w:cs="Calibri"/>
                <w:szCs w:val="21"/>
                <w:highlight w:val="none"/>
              </w:rPr>
              <w:t>项目名称</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平顶山市新华区环境卫生服务中心生活垃圾收运及环境整治（垃圾中转站配套升级改造）项目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94"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u w:val="single"/>
              </w:rPr>
            </w:pPr>
            <w:r>
              <w:rPr>
                <w:rFonts w:hint="eastAsia" w:ascii="宋体" w:hAnsi="宋体" w:cs="Calibri"/>
                <w:szCs w:val="21"/>
                <w:highlight w:val="none"/>
              </w:rPr>
              <w:t>投标总报价</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Calibri"/>
                <w:szCs w:val="21"/>
                <w:highlight w:val="none"/>
              </w:rPr>
            </w:pPr>
            <w:r>
              <w:rPr>
                <w:rFonts w:hint="eastAsia" w:ascii="宋体" w:hAnsi="宋体" w:cs="Calibri"/>
                <w:szCs w:val="21"/>
                <w:highlight w:val="none"/>
              </w:rPr>
              <w:t>人民币（大写）</w:t>
            </w:r>
          </w:p>
          <w:p>
            <w:pPr>
              <w:autoSpaceDE w:val="0"/>
              <w:autoSpaceDN w:val="0"/>
              <w:adjustRightInd w:val="0"/>
              <w:spacing w:line="360" w:lineRule="auto"/>
              <w:rPr>
                <w:rFonts w:hint="eastAsia" w:ascii="宋体" w:hAnsi="宋体" w:cs="Calibri"/>
                <w:szCs w:val="21"/>
                <w:highlight w:val="none"/>
              </w:rPr>
            </w:pPr>
            <w:r>
              <w:rPr>
                <w:rFonts w:hint="eastAsia" w:ascii="宋体" w:hAnsi="宋体" w:cs="Calibri"/>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highlight w:val="none"/>
                <w:u w:val="single"/>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Calibri"/>
                <w:szCs w:val="21"/>
                <w:highlight w:val="none"/>
                <w:lang w:eastAsia="zh-CN"/>
              </w:rPr>
            </w:pPr>
            <w:r>
              <w:rPr>
                <w:rFonts w:hint="eastAsia" w:ascii="宋体" w:hAnsi="宋体" w:cs="Calibri"/>
                <w:szCs w:val="21"/>
                <w:highlight w:val="none"/>
                <w:lang w:eastAsia="zh-CN"/>
              </w:rPr>
              <w:t>其中：</w:t>
            </w:r>
          </w:p>
          <w:p>
            <w:pPr>
              <w:autoSpaceDE w:val="0"/>
              <w:autoSpaceDN w:val="0"/>
              <w:adjustRightInd w:val="0"/>
              <w:spacing w:line="360" w:lineRule="auto"/>
              <w:rPr>
                <w:rFonts w:hint="eastAsia" w:ascii="宋体" w:hAnsi="宋体" w:eastAsia="宋体" w:cs="Calibri"/>
                <w:szCs w:val="21"/>
                <w:highlight w:val="none"/>
                <w:lang w:eastAsia="zh-CN"/>
              </w:rPr>
            </w:pPr>
            <w:r>
              <w:rPr>
                <w:rFonts w:hint="eastAsia" w:ascii="宋体" w:hAnsi="宋体" w:cs="Calibri"/>
                <w:szCs w:val="21"/>
                <w:highlight w:val="none"/>
                <w:lang w:eastAsia="zh-CN"/>
              </w:rPr>
              <w:t>设备部分报价为￥</w:t>
            </w:r>
          </w:p>
          <w:p>
            <w:pPr>
              <w:autoSpaceDE w:val="0"/>
              <w:autoSpaceDN w:val="0"/>
              <w:adjustRightInd w:val="0"/>
              <w:spacing w:line="360" w:lineRule="auto"/>
              <w:rPr>
                <w:rFonts w:hint="eastAsia" w:ascii="宋体" w:hAnsi="宋体" w:eastAsia="宋体" w:cs="Calibri"/>
                <w:szCs w:val="21"/>
                <w:highlight w:val="none"/>
                <w:lang w:val="en-US" w:eastAsia="zh-CN"/>
              </w:rPr>
            </w:pPr>
            <w:r>
              <w:rPr>
                <w:rFonts w:hint="eastAsia" w:ascii="宋体" w:hAnsi="宋体" w:cs="Calibri"/>
                <w:szCs w:val="21"/>
                <w:highlight w:val="none"/>
                <w:lang w:eastAsia="zh-CN"/>
              </w:rPr>
              <w:t>土建及安装部分（除设备部分以外的其它内容）￥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eastAsia="宋体" w:cs="Calibri"/>
                <w:szCs w:val="21"/>
                <w:highlight w:val="none"/>
                <w:lang w:val="en-US" w:eastAsia="zh-CN"/>
              </w:rPr>
            </w:pPr>
            <w:r>
              <w:rPr>
                <w:rFonts w:hint="eastAsia" w:ascii="宋体" w:hAnsi="宋体"/>
                <w:sz w:val="24"/>
                <w:highlight w:val="none"/>
                <w:lang w:eastAsia="zh-CN"/>
              </w:rPr>
              <w:t>项目</w:t>
            </w:r>
            <w:r>
              <w:rPr>
                <w:rFonts w:hint="eastAsia" w:ascii="宋体" w:hAnsi="宋体"/>
                <w:sz w:val="24"/>
                <w:highlight w:val="none"/>
                <w:lang w:val="en-US" w:eastAsia="zh-CN"/>
              </w:rPr>
              <w:t>经理</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Calibri"/>
                <w:szCs w:val="21"/>
                <w:highlight w:val="none"/>
              </w:rPr>
            </w:pPr>
            <w:r>
              <w:rPr>
                <w:rFonts w:hint="eastAsia" w:ascii="宋体" w:hAnsi="宋体" w:cs="Calibri"/>
                <w:szCs w:val="21"/>
                <w:highlight w:val="none"/>
              </w:rPr>
              <w:t>姓  名</w:t>
            </w:r>
            <w:r>
              <w:rPr>
                <w:rFonts w:hint="eastAsia" w:ascii="宋体" w:hAnsi="宋体" w:cs="Calibri"/>
                <w:szCs w:val="21"/>
                <w:highlight w:val="none"/>
                <w:lang w:eastAsia="zh-CN"/>
              </w:rPr>
              <w:t>、</w:t>
            </w:r>
            <w:r>
              <w:rPr>
                <w:rFonts w:hint="eastAsia" w:ascii="宋体" w:hAnsi="宋体" w:cs="Calibri"/>
                <w:szCs w:val="21"/>
                <w:highlight w:val="none"/>
              </w:rPr>
              <w:t>专业及编号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Calibri"/>
                <w:szCs w:val="21"/>
                <w:highlight w:val="none"/>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eastAsia="宋体" w:cs="Calibri"/>
                <w:szCs w:val="21"/>
                <w:highlight w:val="none"/>
                <w:lang w:eastAsia="zh-CN"/>
              </w:rPr>
            </w:pPr>
            <w:r>
              <w:rPr>
                <w:rFonts w:hint="eastAsia" w:ascii="宋体" w:hAnsi="宋体" w:cs="Calibri"/>
                <w:szCs w:val="21"/>
                <w:highlight w:val="none"/>
                <w:lang w:eastAsia="zh-CN"/>
              </w:rPr>
              <w:t>技术负责人</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Calibri"/>
                <w:szCs w:val="21"/>
                <w:highlight w:val="none"/>
              </w:rPr>
            </w:pPr>
            <w:r>
              <w:rPr>
                <w:rFonts w:hint="eastAsia" w:ascii="宋体" w:hAnsi="宋体" w:cs="Calibri"/>
                <w:szCs w:val="21"/>
                <w:highlight w:val="none"/>
              </w:rPr>
              <w:t>姓  名</w:t>
            </w:r>
            <w:r>
              <w:rPr>
                <w:rFonts w:hint="eastAsia" w:ascii="宋体" w:hAnsi="宋体" w:cs="Calibri"/>
                <w:szCs w:val="21"/>
                <w:highlight w:val="none"/>
                <w:lang w:eastAsia="zh-CN"/>
              </w:rPr>
              <w:t>、</w:t>
            </w:r>
            <w:r>
              <w:rPr>
                <w:rFonts w:hint="eastAsia" w:ascii="宋体" w:hAnsi="宋体" w:cs="Calibri"/>
                <w:szCs w:val="21"/>
                <w:highlight w:val="none"/>
              </w:rPr>
              <w:t>职称级别及编号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Calibri"/>
                <w:szCs w:val="21"/>
                <w:highlight w:val="none"/>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投报产品的名称、品牌型号、制造商</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宋体" w:hAnsi="宋体" w:cs="Calibri"/>
                <w:szCs w:val="21"/>
                <w:highlight w:val="none"/>
              </w:rPr>
            </w:pPr>
          </w:p>
          <w:p>
            <w:pPr>
              <w:autoSpaceDE w:val="0"/>
              <w:autoSpaceDN w:val="0"/>
              <w:adjustRightInd w:val="0"/>
              <w:jc w:val="left"/>
              <w:rPr>
                <w:rFonts w:ascii="宋体" w:hAnsi="宋体" w:cs="Calibri"/>
                <w:szCs w:val="21"/>
                <w:highlight w:val="none"/>
              </w:rPr>
            </w:pPr>
            <w:r>
              <w:rPr>
                <w:rFonts w:hint="eastAsia" w:ascii="宋体" w:hAnsi="宋体" w:cs="Calibri"/>
                <w:szCs w:val="21"/>
                <w:highlight w:val="none"/>
              </w:rPr>
              <w:t>注：仅填写投标人需知前附表35载明标的</w:t>
            </w:r>
            <w:r>
              <w:rPr>
                <w:rFonts w:hint="eastAsia" w:ascii="宋体" w:hAnsi="宋体" w:cs="Calibri"/>
                <w:szCs w:val="21"/>
                <w:highlight w:val="none"/>
                <w:lang w:val="en-US" w:eastAsia="zh-CN"/>
              </w:rPr>
              <w:t>1的设备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Calibri"/>
                <w:b/>
                <w:bCs/>
                <w:kern w:val="0"/>
                <w:szCs w:val="21"/>
                <w:highlight w:val="none"/>
                <w:lang w:eastAsia="zh-CN"/>
              </w:rPr>
            </w:pPr>
            <w:r>
              <w:rPr>
                <w:rFonts w:hint="eastAsia" w:ascii="宋体" w:hAnsi="宋体" w:cs="Calibri"/>
                <w:szCs w:val="21"/>
                <w:highlight w:val="none"/>
                <w:lang w:eastAsia="zh-CN"/>
              </w:rPr>
              <w:t>服务地点</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Calibri"/>
                <w:b/>
                <w:bCs/>
                <w:kern w:val="0"/>
                <w:szCs w:val="21"/>
                <w:highlight w:val="none"/>
                <w:lang w:eastAsia="zh-CN"/>
              </w:rPr>
            </w:pPr>
            <w:r>
              <w:rPr>
                <w:rFonts w:hint="eastAsia" w:ascii="宋体" w:hAnsi="宋体" w:cs="Calibri"/>
                <w:szCs w:val="21"/>
                <w:highlight w:val="none"/>
                <w:lang w:eastAsia="zh-CN"/>
              </w:rPr>
              <w:t>服务期限</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质保期</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质量要求</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投标有效期</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Cs w:val="21"/>
                <w:highlight w:val="none"/>
              </w:rPr>
            </w:pPr>
            <w:r>
              <w:rPr>
                <w:rFonts w:hint="eastAsia" w:ascii="宋体" w:hAnsi="宋体" w:cs="Calibri"/>
                <w:szCs w:val="21"/>
                <w:highlight w:val="none"/>
              </w:rPr>
              <w:t>备注：投标人在响应招标文件中规定的实质性要求和条件的基础上，可做出其他有利于采购人的承诺。此类承诺可在本表中予以补充填写。</w:t>
            </w:r>
          </w:p>
        </w:tc>
      </w:tr>
    </w:tbl>
    <w:p>
      <w:pPr>
        <w:spacing w:line="480" w:lineRule="auto"/>
        <w:ind w:firstLine="480" w:firstLineChars="200"/>
        <w:jc w:val="left"/>
        <w:rPr>
          <w:rFonts w:ascii="宋体" w:hAnsi="宋体"/>
          <w:sz w:val="24"/>
          <w:szCs w:val="28"/>
          <w:highlight w:val="none"/>
        </w:rPr>
      </w:pPr>
    </w:p>
    <w:p>
      <w:pPr>
        <w:spacing w:line="480" w:lineRule="auto"/>
        <w:ind w:firstLine="480" w:firstLineChars="200"/>
        <w:jc w:val="left"/>
        <w:rPr>
          <w:rFonts w:ascii="宋体" w:hAnsi="宋体"/>
          <w:sz w:val="24"/>
          <w:szCs w:val="28"/>
          <w:highlight w:val="none"/>
        </w:rPr>
      </w:pPr>
      <w:r>
        <w:rPr>
          <w:rFonts w:hint="eastAsia" w:ascii="宋体" w:hAnsi="宋体"/>
          <w:sz w:val="24"/>
          <w:szCs w:val="28"/>
          <w:highlight w:val="none"/>
        </w:rPr>
        <w:t>投  标  人（企业电子签章）：</w:t>
      </w:r>
    </w:p>
    <w:p>
      <w:pPr>
        <w:spacing w:line="480" w:lineRule="auto"/>
        <w:ind w:right="240" w:firstLine="480" w:firstLineChars="200"/>
        <w:jc w:val="left"/>
        <w:rPr>
          <w:rFonts w:ascii="宋体" w:hAnsi="宋体"/>
          <w:sz w:val="24"/>
          <w:szCs w:val="28"/>
          <w:highlight w:val="none"/>
          <w:u w:val="single"/>
        </w:rPr>
      </w:pPr>
      <w:r>
        <w:rPr>
          <w:rFonts w:hint="eastAsia" w:ascii="宋体" w:hAnsi="宋体"/>
          <w:sz w:val="24"/>
          <w:szCs w:val="28"/>
          <w:highlight w:val="none"/>
        </w:rPr>
        <w:t>法定代表人（电子签章）：</w:t>
      </w:r>
    </w:p>
    <w:p>
      <w:pPr>
        <w:spacing w:line="480" w:lineRule="auto"/>
        <w:ind w:right="240" w:firstLine="480" w:firstLineChars="200"/>
        <w:jc w:val="left"/>
        <w:rPr>
          <w:rFonts w:ascii="宋体" w:hAnsi="宋体"/>
          <w:sz w:val="24"/>
          <w:szCs w:val="28"/>
          <w:highlight w:val="none"/>
        </w:rPr>
        <w:sectPr>
          <w:pgSz w:w="11906" w:h="16838"/>
          <w:pgMar w:top="1418" w:right="1134" w:bottom="1418" w:left="1134" w:header="851" w:footer="992" w:gutter="0"/>
          <w:cols w:space="720" w:num="1"/>
          <w:docGrid w:type="lines" w:linePitch="312" w:charSpace="0"/>
        </w:sectPr>
      </w:pPr>
      <w:r>
        <w:rPr>
          <w:rFonts w:hint="eastAsia" w:ascii="宋体" w:hAnsi="宋体"/>
          <w:sz w:val="24"/>
          <w:szCs w:val="28"/>
          <w:highlight w:val="none"/>
        </w:rPr>
        <w:t>年  月  日</w:t>
      </w:r>
      <w:bookmarkStart w:id="294" w:name="_Toc10620093"/>
      <w:bookmarkStart w:id="295" w:name="_Toc22696"/>
    </w:p>
    <w:p>
      <w:pPr>
        <w:pStyle w:val="4"/>
        <w:jc w:val="center"/>
        <w:rPr>
          <w:rFonts w:hint="eastAsia" w:ascii="宋体" w:hAnsi="宋体" w:eastAsia="宋体"/>
          <w:sz w:val="32"/>
          <w:szCs w:val="22"/>
          <w:highlight w:val="none"/>
          <w:lang w:eastAsia="zh-CN"/>
        </w:rPr>
      </w:pPr>
      <w:bookmarkStart w:id="296" w:name="_Toc10095"/>
      <w:r>
        <w:rPr>
          <w:rFonts w:hint="eastAsia" w:ascii="宋体" w:hAnsi="宋体"/>
          <w:sz w:val="32"/>
          <w:szCs w:val="22"/>
          <w:highlight w:val="none"/>
        </w:rPr>
        <w:t>二、</w:t>
      </w:r>
      <w:bookmarkEnd w:id="296"/>
      <w:r>
        <w:rPr>
          <w:rFonts w:hint="eastAsia" w:ascii="宋体" w:hAnsi="宋体"/>
          <w:sz w:val="32"/>
          <w:szCs w:val="22"/>
          <w:highlight w:val="none"/>
          <w:lang w:eastAsia="zh-CN"/>
        </w:rPr>
        <w:t>已标价的工程量清单</w:t>
      </w:r>
    </w:p>
    <w:p>
      <w:pPr>
        <w:rPr>
          <w:highlight w:val="none"/>
        </w:rPr>
      </w:pPr>
    </w:p>
    <w:p>
      <w:pPr>
        <w:rPr>
          <w:highlight w:val="none"/>
        </w:rPr>
      </w:pPr>
    </w:p>
    <w:p>
      <w:pPr>
        <w:rPr>
          <w:rFonts w:hint="eastAsia"/>
          <w:highlight w:val="none"/>
        </w:rPr>
      </w:pPr>
      <w:r>
        <w:rPr>
          <w:rFonts w:hint="eastAsia"/>
          <w:highlight w:val="none"/>
        </w:rPr>
        <w:t>说明：已标价工程量清单按</w:t>
      </w:r>
      <w:r>
        <w:rPr>
          <w:rFonts w:hint="eastAsia"/>
          <w:highlight w:val="none"/>
          <w:lang w:eastAsia="zh-CN"/>
        </w:rPr>
        <w:t>招标文件提供</w:t>
      </w:r>
      <w:r>
        <w:rPr>
          <w:rFonts w:hint="eastAsia"/>
          <w:highlight w:val="none"/>
        </w:rPr>
        <w:t>的相关清单表格式填写。构成合同文件</w:t>
      </w:r>
    </w:p>
    <w:p>
      <w:pPr>
        <w:rPr>
          <w:rFonts w:hint="eastAsia"/>
          <w:highlight w:val="none"/>
        </w:rPr>
      </w:pPr>
      <w:r>
        <w:rPr>
          <w:rFonts w:hint="eastAsia"/>
          <w:highlight w:val="none"/>
        </w:rPr>
        <w:t>的已标价工程量清单包括第五章“</w:t>
      </w:r>
      <w:r>
        <w:rPr>
          <w:rFonts w:hint="eastAsia"/>
          <w:highlight w:val="none"/>
          <w:lang w:eastAsia="zh-CN"/>
        </w:rPr>
        <w:t>采购需求</w:t>
      </w:r>
      <w:r>
        <w:rPr>
          <w:rFonts w:hint="eastAsia"/>
          <w:highlight w:val="none"/>
        </w:rPr>
        <w:t>”有关工程量清单、投标报价以及其他说明的</w:t>
      </w:r>
    </w:p>
    <w:p>
      <w:pPr>
        <w:rPr>
          <w:highlight w:val="none"/>
        </w:rPr>
        <w:sectPr>
          <w:pgSz w:w="11906" w:h="16838"/>
          <w:pgMar w:top="1418" w:right="1134" w:bottom="1418" w:left="1134" w:header="851" w:footer="992" w:gutter="0"/>
          <w:cols w:space="720" w:num="1"/>
          <w:docGrid w:type="lines" w:linePitch="312" w:charSpace="0"/>
        </w:sectPr>
      </w:pPr>
      <w:r>
        <w:rPr>
          <w:rFonts w:hint="eastAsia"/>
          <w:highlight w:val="none"/>
        </w:rPr>
        <w:t>内容。</w:t>
      </w:r>
    </w:p>
    <w:p>
      <w:pPr>
        <w:pStyle w:val="3"/>
        <w:jc w:val="center"/>
        <w:rPr>
          <w:rFonts w:ascii="宋体" w:hAnsi="宋体" w:eastAsia="宋体"/>
          <w:szCs w:val="22"/>
          <w:highlight w:val="none"/>
        </w:rPr>
      </w:pPr>
      <w:bookmarkStart w:id="297" w:name="_Toc30946"/>
      <w:r>
        <w:rPr>
          <w:rFonts w:hint="eastAsia" w:ascii="宋体" w:hAnsi="宋体" w:eastAsia="宋体"/>
          <w:szCs w:val="22"/>
          <w:highlight w:val="none"/>
        </w:rPr>
        <w:t>三、</w:t>
      </w:r>
      <w:bookmarkEnd w:id="292"/>
      <w:bookmarkEnd w:id="293"/>
      <w:bookmarkEnd w:id="294"/>
      <w:bookmarkEnd w:id="295"/>
      <w:r>
        <w:rPr>
          <w:rFonts w:hint="eastAsia" w:ascii="宋体" w:hAnsi="宋体" w:eastAsia="宋体"/>
          <w:szCs w:val="22"/>
          <w:highlight w:val="none"/>
        </w:rPr>
        <w:t>法定代表人身份证明或附有法定代表人身份证明的授权委托书</w:t>
      </w:r>
      <w:bookmarkEnd w:id="297"/>
    </w:p>
    <w:p>
      <w:pPr>
        <w:spacing w:line="360" w:lineRule="auto"/>
        <w:ind w:firstLine="420" w:firstLineChars="200"/>
        <w:rPr>
          <w:rFonts w:ascii="宋体" w:hAnsi="宋体"/>
          <w:highlight w:val="none"/>
        </w:rPr>
      </w:pPr>
    </w:p>
    <w:p>
      <w:pPr>
        <w:pStyle w:val="4"/>
        <w:jc w:val="center"/>
        <w:rPr>
          <w:rFonts w:ascii="宋体" w:hAnsi="宋体"/>
          <w:szCs w:val="22"/>
          <w:highlight w:val="none"/>
        </w:rPr>
      </w:pPr>
      <w:bookmarkStart w:id="298" w:name="_Toc15844"/>
      <w:bookmarkStart w:id="299" w:name="_Toc8579"/>
      <w:r>
        <w:rPr>
          <w:rFonts w:hint="eastAsia" w:ascii="宋体" w:hAnsi="宋体"/>
          <w:szCs w:val="22"/>
          <w:highlight w:val="none"/>
        </w:rPr>
        <w:t>（一）法定代表人身份证明</w:t>
      </w:r>
      <w:bookmarkEnd w:id="298"/>
    </w:p>
    <w:p>
      <w:pPr>
        <w:rPr>
          <w:highlight w:val="none"/>
        </w:rPr>
      </w:pPr>
      <w:r>
        <w:rPr>
          <w:rFonts w:hint="eastAsia"/>
          <w:highlight w:val="none"/>
        </w:rPr>
        <w:t>投标人</w:t>
      </w:r>
      <w:r>
        <w:rPr>
          <w:highlight w:val="none"/>
        </w:rPr>
        <w:t>名称：</w:t>
      </w:r>
      <w:bookmarkEnd w:id="299"/>
      <w:r>
        <w:rPr>
          <w:rFonts w:hint="eastAsia"/>
          <w:highlight w:val="none"/>
        </w:rPr>
        <w:t xml:space="preserve">    </w:t>
      </w:r>
    </w:p>
    <w:p>
      <w:pPr>
        <w:rPr>
          <w:highlight w:val="none"/>
        </w:rPr>
      </w:pPr>
      <w:bookmarkStart w:id="300" w:name="_Toc14157"/>
      <w:r>
        <w:rPr>
          <w:highlight w:val="none"/>
        </w:rPr>
        <w:t>单位性质：</w:t>
      </w:r>
      <w:bookmarkEnd w:id="300"/>
      <w:r>
        <w:rPr>
          <w:rFonts w:hint="eastAsia"/>
          <w:highlight w:val="none"/>
        </w:rPr>
        <w:t xml:space="preserve">    </w:t>
      </w:r>
    </w:p>
    <w:p>
      <w:pPr>
        <w:rPr>
          <w:highlight w:val="none"/>
        </w:rPr>
      </w:pPr>
      <w:bookmarkStart w:id="301" w:name="_Toc4625"/>
      <w:r>
        <w:rPr>
          <w:highlight w:val="none"/>
        </w:rPr>
        <w:t>地址：</w:t>
      </w:r>
      <w:bookmarkEnd w:id="301"/>
      <w:r>
        <w:rPr>
          <w:rFonts w:hint="eastAsia"/>
          <w:highlight w:val="none"/>
        </w:rPr>
        <w:t xml:space="preserve">    </w:t>
      </w:r>
    </w:p>
    <w:p>
      <w:pPr>
        <w:rPr>
          <w:highlight w:val="none"/>
        </w:rPr>
      </w:pPr>
      <w:bookmarkStart w:id="302" w:name="_Toc9676"/>
      <w:r>
        <w:rPr>
          <w:highlight w:val="none"/>
        </w:rPr>
        <w:t>成立时间：</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bookmarkEnd w:id="302"/>
    </w:p>
    <w:p>
      <w:pPr>
        <w:rPr>
          <w:highlight w:val="none"/>
        </w:rPr>
      </w:pPr>
      <w:bookmarkStart w:id="303" w:name="_Toc21817"/>
      <w:r>
        <w:rPr>
          <w:highlight w:val="none"/>
        </w:rPr>
        <w:t>经营期限：</w:t>
      </w:r>
      <w:bookmarkEnd w:id="303"/>
    </w:p>
    <w:p>
      <w:pPr>
        <w:rPr>
          <w:highlight w:val="none"/>
        </w:rPr>
      </w:pPr>
      <w:bookmarkStart w:id="304" w:name="_Toc17160"/>
      <w:r>
        <w:rPr>
          <w:highlight w:val="none"/>
        </w:rPr>
        <w:t>姓名：</w:t>
      </w:r>
      <w:r>
        <w:rPr>
          <w:rFonts w:hint="eastAsia"/>
          <w:highlight w:val="none"/>
        </w:rPr>
        <w:t xml:space="preserve">    </w:t>
      </w:r>
      <w:r>
        <w:rPr>
          <w:highlight w:val="none"/>
        </w:rPr>
        <w:t xml:space="preserve"> 性别：</w:t>
      </w:r>
      <w:r>
        <w:rPr>
          <w:rFonts w:hint="eastAsia"/>
          <w:highlight w:val="none"/>
        </w:rPr>
        <w:t xml:space="preserve">    </w:t>
      </w:r>
      <w:r>
        <w:rPr>
          <w:highlight w:val="none"/>
        </w:rPr>
        <w:t xml:space="preserve"> 年龄：</w:t>
      </w:r>
      <w:r>
        <w:rPr>
          <w:rFonts w:hint="eastAsia"/>
          <w:highlight w:val="none"/>
        </w:rPr>
        <w:t xml:space="preserve">     </w:t>
      </w:r>
      <w:r>
        <w:rPr>
          <w:highlight w:val="none"/>
        </w:rPr>
        <w:t>职务：</w:t>
      </w:r>
      <w:bookmarkEnd w:id="304"/>
    </w:p>
    <w:p>
      <w:pPr>
        <w:rPr>
          <w:highlight w:val="none"/>
        </w:rPr>
      </w:pPr>
      <w:bookmarkStart w:id="305" w:name="_Toc4489"/>
      <w:r>
        <w:rPr>
          <w:highlight w:val="none"/>
        </w:rPr>
        <w:t>系</w:t>
      </w:r>
      <w:r>
        <w:rPr>
          <w:rFonts w:hint="eastAsia"/>
          <w:highlight w:val="none"/>
        </w:rPr>
        <w:t>（投标人</w:t>
      </w:r>
      <w:r>
        <w:rPr>
          <w:highlight w:val="none"/>
        </w:rPr>
        <w:t>名称</w:t>
      </w:r>
      <w:r>
        <w:rPr>
          <w:rFonts w:hint="eastAsia"/>
          <w:highlight w:val="none"/>
        </w:rPr>
        <w:t xml:space="preserve">）      </w:t>
      </w:r>
      <w:r>
        <w:rPr>
          <w:highlight w:val="none"/>
        </w:rPr>
        <w:t>的法定代表人。</w:t>
      </w:r>
      <w:bookmarkEnd w:id="305"/>
    </w:p>
    <w:p>
      <w:pPr>
        <w:rPr>
          <w:highlight w:val="none"/>
        </w:rPr>
      </w:pPr>
      <w:bookmarkStart w:id="306" w:name="_Toc31142"/>
      <w:r>
        <w:rPr>
          <w:highlight w:val="none"/>
        </w:rPr>
        <w:t>特此证明。</w:t>
      </w:r>
      <w:bookmarkEnd w:id="306"/>
    </w:p>
    <w:p>
      <w:pPr>
        <w:rPr>
          <w:highlight w:val="none"/>
        </w:rPr>
      </w:pPr>
    </w:p>
    <w:p>
      <w:pPr>
        <w:rPr>
          <w:highlight w:val="none"/>
        </w:rPr>
      </w:pPr>
      <w:bookmarkStart w:id="307" w:name="_Toc13346"/>
      <w:r>
        <w:rPr>
          <w:rFonts w:hint="eastAsia"/>
          <w:highlight w:val="none"/>
        </w:rPr>
        <w:t>附：法定代表人身份证复印件。</w:t>
      </w:r>
      <w:bookmarkEnd w:id="307"/>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t>投标人（企业电子签章）：</w:t>
      </w:r>
    </w:p>
    <w:p>
      <w:pPr>
        <w:rPr>
          <w:highlight w:val="none"/>
        </w:rPr>
      </w:pPr>
    </w:p>
    <w:p>
      <w:pPr>
        <w:rPr>
          <w:highlight w:val="none"/>
        </w:rPr>
      </w:pPr>
      <w:r>
        <w:rPr>
          <w:rFonts w:hint="eastAsia"/>
          <w:highlight w:val="none"/>
        </w:rPr>
        <w:t>年  月   日</w:t>
      </w:r>
    </w:p>
    <w:p>
      <w:pPr>
        <w:pStyle w:val="4"/>
        <w:jc w:val="center"/>
        <w:rPr>
          <w:rFonts w:ascii="宋体" w:hAnsi="宋体"/>
          <w:sz w:val="28"/>
          <w:highlight w:val="none"/>
        </w:rPr>
      </w:pPr>
      <w:bookmarkStart w:id="308" w:name="_Toc410113767"/>
      <w:bookmarkStart w:id="309" w:name="_Toc184635140"/>
      <w:r>
        <w:rPr>
          <w:rFonts w:ascii="宋体" w:hAnsi="宋体"/>
          <w:sz w:val="28"/>
          <w:highlight w:val="none"/>
        </w:rPr>
        <w:br w:type="page"/>
      </w:r>
      <w:bookmarkStart w:id="310" w:name="_Toc4285"/>
      <w:r>
        <w:rPr>
          <w:rFonts w:hint="eastAsia" w:ascii="宋体" w:hAnsi="宋体"/>
          <w:szCs w:val="22"/>
          <w:highlight w:val="none"/>
        </w:rPr>
        <w:t>（二）授权委托书</w:t>
      </w:r>
      <w:bookmarkEnd w:id="308"/>
      <w:bookmarkEnd w:id="309"/>
      <w:bookmarkEnd w:id="310"/>
    </w:p>
    <w:p>
      <w:pPr>
        <w:spacing w:line="360" w:lineRule="auto"/>
        <w:ind w:firstLine="420" w:firstLineChars="200"/>
        <w:rPr>
          <w:rFonts w:ascii="宋体" w:hAnsi="宋体"/>
          <w:highlight w:val="none"/>
        </w:rPr>
      </w:pPr>
    </w:p>
    <w:p>
      <w:pPr>
        <w:topLinePunct/>
        <w:spacing w:line="440" w:lineRule="exact"/>
        <w:ind w:firstLine="420" w:firstLineChars="200"/>
        <w:rPr>
          <w:szCs w:val="21"/>
          <w:highlight w:val="none"/>
        </w:rPr>
      </w:pPr>
      <w:r>
        <w:rPr>
          <w:szCs w:val="21"/>
          <w:highlight w:val="none"/>
        </w:rPr>
        <w:t>本人（姓名）</w:t>
      </w:r>
      <w:r>
        <w:rPr>
          <w:rFonts w:hint="eastAsia"/>
          <w:szCs w:val="21"/>
          <w:highlight w:val="none"/>
          <w:u w:val="single"/>
        </w:rPr>
        <w:t xml:space="preserve">    </w:t>
      </w:r>
      <w:r>
        <w:rPr>
          <w:szCs w:val="21"/>
          <w:highlight w:val="none"/>
        </w:rPr>
        <w:t>系（</w:t>
      </w:r>
      <w:r>
        <w:rPr>
          <w:rFonts w:hint="eastAsia"/>
          <w:szCs w:val="21"/>
          <w:highlight w:val="none"/>
        </w:rPr>
        <w:t>投标人</w:t>
      </w:r>
      <w:r>
        <w:rPr>
          <w:szCs w:val="21"/>
          <w:highlight w:val="none"/>
        </w:rPr>
        <w:t>名称）</w:t>
      </w:r>
      <w:r>
        <w:rPr>
          <w:rFonts w:hint="eastAsia"/>
          <w:szCs w:val="21"/>
          <w:highlight w:val="none"/>
          <w:u w:val="single"/>
        </w:rPr>
        <w:t xml:space="preserve">    </w:t>
      </w:r>
      <w:r>
        <w:rPr>
          <w:szCs w:val="21"/>
          <w:highlight w:val="none"/>
        </w:rPr>
        <w:t>的法定代表人，现委托</w:t>
      </w:r>
      <w:r>
        <w:rPr>
          <w:rFonts w:hint="eastAsia"/>
          <w:szCs w:val="21"/>
          <w:highlight w:val="none"/>
        </w:rPr>
        <w:t xml:space="preserve"> </w:t>
      </w:r>
      <w:r>
        <w:rPr>
          <w:szCs w:val="21"/>
          <w:highlight w:val="none"/>
        </w:rPr>
        <w:t>（姓名）</w:t>
      </w:r>
      <w:r>
        <w:rPr>
          <w:rFonts w:hint="eastAsia"/>
          <w:szCs w:val="21"/>
          <w:highlight w:val="none"/>
          <w:u w:val="single"/>
        </w:rPr>
        <w:t xml:space="preserve">    </w:t>
      </w:r>
      <w:r>
        <w:rPr>
          <w:szCs w:val="21"/>
          <w:highlight w:val="none"/>
        </w:rPr>
        <w:t>为我方代理人。代理人根据授权，以我方名义签署、澄清</w:t>
      </w:r>
      <w:r>
        <w:rPr>
          <w:rFonts w:hint="eastAsia"/>
          <w:szCs w:val="21"/>
          <w:highlight w:val="none"/>
        </w:rPr>
        <w:t>、说明、补正</w:t>
      </w:r>
      <w:r>
        <w:rPr>
          <w:szCs w:val="21"/>
          <w:highlight w:val="none"/>
        </w:rPr>
        <w:t>、递交、撤回、修改（项目名称）</w:t>
      </w:r>
      <w:r>
        <w:rPr>
          <w:rFonts w:hint="eastAsia"/>
          <w:szCs w:val="21"/>
          <w:highlight w:val="none"/>
          <w:u w:val="single"/>
        </w:rPr>
        <w:t xml:space="preserve">    </w:t>
      </w:r>
      <w:r>
        <w:rPr>
          <w:rFonts w:hint="eastAsia"/>
          <w:szCs w:val="21"/>
          <w:highlight w:val="none"/>
        </w:rPr>
        <w:t>的</w:t>
      </w:r>
      <w:r>
        <w:rPr>
          <w:szCs w:val="21"/>
          <w:highlight w:val="none"/>
        </w:rPr>
        <w:t>投标文件、签订合同和处理有关事宜，其法律后果由我方承担。</w:t>
      </w:r>
    </w:p>
    <w:p>
      <w:pPr>
        <w:spacing w:line="440" w:lineRule="exact"/>
        <w:rPr>
          <w:szCs w:val="21"/>
          <w:highlight w:val="none"/>
        </w:rPr>
      </w:pPr>
      <w:r>
        <w:rPr>
          <w:szCs w:val="21"/>
          <w:highlight w:val="none"/>
        </w:rPr>
        <w:t xml:space="preserve">    委托期限：</w:t>
      </w:r>
      <w:r>
        <w:rPr>
          <w:rFonts w:hint="eastAsia"/>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szCs w:val="21"/>
          <w:highlight w:val="none"/>
        </w:rPr>
        <w:t>代理人无转委托权。</w:t>
      </w:r>
    </w:p>
    <w:p>
      <w:pPr>
        <w:spacing w:line="440" w:lineRule="exact"/>
        <w:ind w:firstLine="420" w:firstLineChars="200"/>
        <w:rPr>
          <w:szCs w:val="21"/>
          <w:highlight w:val="none"/>
        </w:rPr>
      </w:pPr>
      <w:r>
        <w:rPr>
          <w:rFonts w:hint="eastAsia"/>
          <w:szCs w:val="21"/>
          <w:highlight w:val="none"/>
        </w:rPr>
        <w:t>附：委托代理人的身份证复印件</w:t>
      </w: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80" w:lineRule="auto"/>
        <w:ind w:firstLine="420" w:firstLineChars="200"/>
        <w:jc w:val="left"/>
        <w:rPr>
          <w:rFonts w:ascii="宋体" w:hAnsi="宋体"/>
          <w:szCs w:val="21"/>
          <w:highlight w:val="none"/>
        </w:rPr>
      </w:pPr>
      <w:bookmarkStart w:id="311" w:name="_Toc247514285"/>
      <w:bookmarkStart w:id="312" w:name="_Toc152045793"/>
      <w:bookmarkStart w:id="313" w:name="_Toc487117071"/>
      <w:bookmarkStart w:id="314" w:name="_Toc247527833"/>
      <w:bookmarkStart w:id="315" w:name="_Toc152042582"/>
      <w:r>
        <w:rPr>
          <w:rFonts w:hint="eastAsia" w:ascii="宋体" w:hAnsi="宋体"/>
          <w:szCs w:val="21"/>
          <w:highlight w:val="none"/>
        </w:rPr>
        <w:t>投  标  人（企业电子签章）：</w:t>
      </w:r>
    </w:p>
    <w:p>
      <w:pPr>
        <w:spacing w:line="480" w:lineRule="auto"/>
        <w:ind w:right="240" w:firstLine="420" w:firstLineChars="200"/>
        <w:jc w:val="left"/>
        <w:rPr>
          <w:rFonts w:ascii="宋体" w:hAnsi="宋体"/>
          <w:szCs w:val="21"/>
          <w:highlight w:val="none"/>
          <w:u w:val="single"/>
        </w:rPr>
      </w:pPr>
      <w:r>
        <w:rPr>
          <w:rFonts w:hint="eastAsia" w:ascii="宋体" w:hAnsi="宋体"/>
          <w:szCs w:val="21"/>
          <w:highlight w:val="none"/>
        </w:rPr>
        <w:t>法定代表人（电子签章）：</w:t>
      </w:r>
    </w:p>
    <w:p>
      <w:pPr>
        <w:spacing w:line="480" w:lineRule="auto"/>
        <w:ind w:right="240" w:firstLine="840" w:firstLineChars="400"/>
        <w:jc w:val="left"/>
        <w:rPr>
          <w:rFonts w:ascii="宋体" w:hAnsi="宋体"/>
          <w:szCs w:val="21"/>
          <w:highlight w:val="none"/>
        </w:rPr>
      </w:pPr>
      <w:r>
        <w:rPr>
          <w:rFonts w:hint="eastAsia" w:ascii="宋体" w:hAnsi="宋体"/>
          <w:szCs w:val="21"/>
          <w:highlight w:val="none"/>
        </w:rPr>
        <w:t>年  月  日</w:t>
      </w:r>
    </w:p>
    <w:p>
      <w:pPr>
        <w:pStyle w:val="4"/>
        <w:jc w:val="center"/>
        <w:rPr>
          <w:rFonts w:ascii="宋体" w:hAnsi="宋体"/>
          <w:sz w:val="32"/>
          <w:szCs w:val="22"/>
          <w:highlight w:val="none"/>
        </w:rPr>
      </w:pPr>
      <w:r>
        <w:rPr>
          <w:rFonts w:ascii="宋体" w:hAnsi="宋体"/>
          <w:highlight w:val="none"/>
        </w:rPr>
        <w:br w:type="page"/>
      </w:r>
      <w:bookmarkEnd w:id="311"/>
      <w:bookmarkEnd w:id="312"/>
      <w:bookmarkEnd w:id="313"/>
      <w:bookmarkEnd w:id="314"/>
      <w:bookmarkEnd w:id="315"/>
      <w:bookmarkStart w:id="316" w:name="_Toc26834"/>
      <w:bookmarkStart w:id="317" w:name="_Toc8813"/>
      <w:bookmarkStart w:id="318" w:name="_Toc21964"/>
      <w:bookmarkStart w:id="319" w:name="_Toc5862"/>
      <w:bookmarkStart w:id="320" w:name="_Toc2244"/>
      <w:r>
        <w:rPr>
          <w:rFonts w:hint="eastAsia" w:ascii="宋体" w:hAnsi="宋体"/>
          <w:sz w:val="32"/>
          <w:szCs w:val="22"/>
          <w:highlight w:val="none"/>
        </w:rPr>
        <w:t>四、</w:t>
      </w:r>
      <w:bookmarkEnd w:id="316"/>
      <w:bookmarkEnd w:id="317"/>
      <w:bookmarkEnd w:id="318"/>
      <w:bookmarkEnd w:id="319"/>
      <w:r>
        <w:rPr>
          <w:rFonts w:hint="eastAsia" w:ascii="宋体" w:hAnsi="宋体"/>
          <w:sz w:val="32"/>
          <w:szCs w:val="22"/>
          <w:highlight w:val="none"/>
        </w:rPr>
        <w:t>资格审查资料</w:t>
      </w:r>
      <w:bookmarkEnd w:id="320"/>
    </w:p>
    <w:p>
      <w:pPr>
        <w:jc w:val="center"/>
        <w:rPr>
          <w:rFonts w:ascii="宋体" w:hAnsi="宋体"/>
          <w:sz w:val="30"/>
          <w:szCs w:val="30"/>
          <w:highlight w:val="none"/>
        </w:rPr>
      </w:pPr>
      <w:r>
        <w:rPr>
          <w:rFonts w:hint="eastAsia" w:ascii="宋体" w:hAnsi="宋体"/>
          <w:highlight w:val="none"/>
        </w:rPr>
        <w:t>（一）供应商基本情况表</w:t>
      </w:r>
    </w:p>
    <w:tbl>
      <w:tblPr>
        <w:tblStyle w:val="3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企业名称</w:t>
            </w:r>
          </w:p>
        </w:tc>
        <w:tc>
          <w:tcPr>
            <w:tcW w:w="3476" w:type="dxa"/>
            <w:gridSpan w:val="3"/>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成立日期</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企业法人营业执照注册号</w:t>
            </w:r>
          </w:p>
        </w:tc>
        <w:tc>
          <w:tcPr>
            <w:tcW w:w="4105" w:type="dxa"/>
            <w:gridSpan w:val="3"/>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注册资本</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企业类型</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批准登记机关</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组织代码</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法定代表人</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营业期限</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资质类型</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w:t>
            </w: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资质等级</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主营业务</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地  址</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开户银行</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开户行号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银行账号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邮  箱</w:t>
            </w:r>
          </w:p>
        </w:tc>
        <w:tc>
          <w:tcPr>
            <w:tcW w:w="3154" w:type="dxa"/>
            <w:tcBorders>
              <w:top w:val="single" w:color="auto" w:sz="4" w:space="0"/>
              <w:left w:val="nil"/>
              <w:bottom w:val="single" w:color="auto" w:sz="4" w:space="0"/>
              <w:right w:val="single" w:color="auto" w:sz="4" w:space="0"/>
            </w:tcBorders>
            <w:vAlign w:val="center"/>
          </w:tcPr>
          <w:p>
            <w:pPr>
              <w:rPr>
                <w:rFonts w:ascii="宋体" w:hAnsi="宋体"/>
                <w:highlight w:val="none"/>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邮  编</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联系人</w:t>
            </w:r>
          </w:p>
        </w:tc>
        <w:tc>
          <w:tcPr>
            <w:tcW w:w="3154" w:type="dxa"/>
            <w:tcBorders>
              <w:top w:val="single" w:color="auto" w:sz="4" w:space="0"/>
              <w:left w:val="nil"/>
              <w:bottom w:val="single" w:color="auto" w:sz="4" w:space="0"/>
              <w:right w:val="single" w:color="auto" w:sz="4" w:space="0"/>
            </w:tcBorders>
            <w:vAlign w:val="center"/>
          </w:tcPr>
          <w:p>
            <w:pPr>
              <w:rPr>
                <w:rFonts w:ascii="宋体" w:hAnsi="宋体"/>
                <w:highlight w:val="none"/>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联系方式</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highlight w:val="none"/>
              </w:rPr>
            </w:pPr>
          </w:p>
        </w:tc>
      </w:tr>
    </w:tbl>
    <w:p>
      <w:pPr>
        <w:jc w:val="center"/>
        <w:rPr>
          <w:rFonts w:hint="eastAsia" w:ascii="宋体" w:hAnsi="宋体"/>
          <w:b/>
          <w:bCs/>
          <w:highlight w:val="none"/>
        </w:rPr>
        <w:sectPr>
          <w:pgSz w:w="11907" w:h="16840"/>
          <w:pgMar w:top="1418" w:right="1247" w:bottom="1134" w:left="1418" w:header="720" w:footer="720" w:gutter="0"/>
          <w:pgNumType w:fmt="numberInDash"/>
          <w:cols w:space="720" w:num="1"/>
          <w:docGrid w:type="lines" w:linePitch="272" w:charSpace="0"/>
        </w:sectPr>
      </w:pPr>
      <w:r>
        <w:rPr>
          <w:rFonts w:hint="eastAsia" w:ascii="宋体" w:hAnsi="宋体"/>
          <w:b/>
          <w:bCs/>
          <w:highlight w:val="none"/>
        </w:rPr>
        <w:br w:type="page"/>
      </w:r>
    </w:p>
    <w:p>
      <w:pPr>
        <w:jc w:val="center"/>
        <w:rPr>
          <w:rFonts w:ascii="宋体" w:hAnsi="宋体" w:cs="宋体"/>
          <w:b/>
          <w:bCs/>
          <w:kern w:val="0"/>
          <w:sz w:val="30"/>
          <w:szCs w:val="30"/>
          <w:highlight w:val="none"/>
        </w:rPr>
        <w:sectPr>
          <w:pgSz w:w="11907" w:h="16840"/>
          <w:pgMar w:top="1418" w:right="1247" w:bottom="1134" w:left="1418" w:header="720" w:footer="720" w:gutter="0"/>
          <w:pgNumType w:fmt="numberInDash"/>
          <w:cols w:space="720" w:num="1"/>
          <w:docGrid w:type="lines" w:linePitch="272" w:charSpace="0"/>
        </w:sectPr>
      </w:pPr>
      <w:r>
        <w:rPr>
          <w:rFonts w:hint="eastAsia" w:ascii="宋体" w:hAnsi="宋体"/>
          <w:highlight w:val="none"/>
        </w:rPr>
        <w:t>（二）资格审查资料</w:t>
      </w:r>
    </w:p>
    <w:p>
      <w:pPr>
        <w:pStyle w:val="4"/>
        <w:jc w:val="center"/>
        <w:rPr>
          <w:rFonts w:ascii="宋体" w:hAnsi="宋体"/>
          <w:sz w:val="32"/>
          <w:szCs w:val="22"/>
          <w:highlight w:val="none"/>
        </w:rPr>
      </w:pPr>
      <w:bookmarkStart w:id="321" w:name="_Toc18907"/>
      <w:bookmarkStart w:id="322" w:name="_Toc10258"/>
      <w:bookmarkStart w:id="323" w:name="_Toc27946"/>
      <w:bookmarkStart w:id="324" w:name="_Toc4630"/>
      <w:bookmarkStart w:id="325" w:name="_Toc3180"/>
      <w:r>
        <w:rPr>
          <w:rFonts w:hint="eastAsia" w:ascii="宋体" w:hAnsi="宋体"/>
          <w:sz w:val="32"/>
          <w:szCs w:val="22"/>
          <w:highlight w:val="none"/>
        </w:rPr>
        <w:t>五、</w:t>
      </w:r>
      <w:bookmarkEnd w:id="321"/>
      <w:bookmarkEnd w:id="322"/>
      <w:bookmarkEnd w:id="323"/>
      <w:bookmarkEnd w:id="324"/>
      <w:r>
        <w:rPr>
          <w:rFonts w:hint="eastAsia" w:ascii="宋体" w:hAnsi="宋体"/>
          <w:sz w:val="32"/>
          <w:szCs w:val="22"/>
          <w:highlight w:val="none"/>
          <w:lang w:val="en-US" w:eastAsia="zh-CN"/>
        </w:rPr>
        <w:t>设备部分</w:t>
      </w:r>
      <w:r>
        <w:rPr>
          <w:rFonts w:hint="eastAsia" w:ascii="宋体" w:hAnsi="宋体"/>
          <w:sz w:val="32"/>
          <w:szCs w:val="22"/>
          <w:highlight w:val="none"/>
        </w:rPr>
        <w:t>技术偏离表</w:t>
      </w:r>
      <w:bookmarkEnd w:id="325"/>
    </w:p>
    <w:p>
      <w:pPr>
        <w:spacing w:line="420" w:lineRule="exact"/>
        <w:ind w:firstLine="420" w:firstLineChars="200"/>
        <w:rPr>
          <w:rFonts w:ascii="宋体" w:hAnsi="宋体"/>
          <w:szCs w:val="21"/>
          <w:highlight w:val="none"/>
        </w:rPr>
      </w:pPr>
    </w:p>
    <w:tbl>
      <w:tblPr>
        <w:tblStyle w:val="36"/>
        <w:tblW w:w="11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2313"/>
        <w:gridCol w:w="2313"/>
        <w:gridCol w:w="1982"/>
        <w:gridCol w:w="3173"/>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序号</w:t>
            </w:r>
          </w:p>
        </w:tc>
        <w:tc>
          <w:tcPr>
            <w:tcW w:w="2313" w:type="dxa"/>
            <w:tcBorders>
              <w:top w:val="single" w:color="auto" w:sz="4" w:space="0"/>
              <w:left w:val="nil"/>
              <w:bottom w:val="single" w:color="auto" w:sz="4" w:space="0"/>
              <w:right w:val="single" w:color="auto" w:sz="4" w:space="0"/>
            </w:tcBorders>
          </w:tcPr>
          <w:p>
            <w:pPr>
              <w:jc w:val="center"/>
              <w:rPr>
                <w:rFonts w:hint="eastAsia" w:ascii="宋体" w:hAnsi="宋体" w:eastAsia="宋体" w:cs="Calibri"/>
                <w:sz w:val="24"/>
                <w:szCs w:val="24"/>
                <w:highlight w:val="none"/>
                <w:lang w:val="en-US" w:eastAsia="zh-CN"/>
              </w:rPr>
            </w:pPr>
            <w:r>
              <w:rPr>
                <w:rFonts w:hint="eastAsia" w:ascii="宋体" w:hAnsi="宋体" w:cs="Calibri"/>
                <w:sz w:val="24"/>
                <w:szCs w:val="24"/>
                <w:highlight w:val="none"/>
                <w:lang w:val="en-US" w:eastAsia="zh-CN"/>
              </w:rPr>
              <w:t>设备名称</w:t>
            </w:r>
          </w:p>
        </w:tc>
        <w:tc>
          <w:tcPr>
            <w:tcW w:w="2313"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招标技术要求</w:t>
            </w:r>
          </w:p>
        </w:tc>
        <w:tc>
          <w:tcPr>
            <w:tcW w:w="1982"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投标技术</w:t>
            </w:r>
          </w:p>
        </w:tc>
        <w:tc>
          <w:tcPr>
            <w:tcW w:w="3173"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偏离说明</w:t>
            </w:r>
          </w:p>
        </w:tc>
        <w:tc>
          <w:tcPr>
            <w:tcW w:w="1610"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09"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rPr>
                <w:rFonts w:ascii="宋体" w:hAnsi="宋体" w:cs="Calibri"/>
                <w:sz w:val="24"/>
                <w:szCs w:val="24"/>
                <w:highlight w:val="none"/>
              </w:rPr>
            </w:pPr>
            <w:r>
              <w:rPr>
                <w:rFonts w:hint="eastAsia" w:ascii="宋体" w:hAnsi="宋体" w:cs="Calibri"/>
                <w:sz w:val="24"/>
                <w:szCs w:val="24"/>
                <w:highlight w:val="none"/>
              </w:rPr>
              <w:t>投标产品符合招标文件要求此项目填写“符合”，优于招标文件要求此项填写“正偏离”，不能满足招标文件要求此项填写“负偏离”</w:t>
            </w:r>
          </w:p>
        </w:tc>
        <w:tc>
          <w:tcPr>
            <w:tcW w:w="1610" w:type="dxa"/>
            <w:tcBorders>
              <w:top w:val="single" w:color="auto" w:sz="4" w:space="0"/>
              <w:left w:val="nil"/>
              <w:bottom w:val="single" w:color="auto" w:sz="4" w:space="0"/>
              <w:right w:val="single" w:color="auto" w:sz="4" w:space="0"/>
            </w:tcBorders>
          </w:tcPr>
          <w:p>
            <w:pPr>
              <w:rPr>
                <w:rFonts w:ascii="宋体" w:hAnsi="宋体" w:cs="Calibri"/>
                <w:sz w:val="24"/>
                <w:szCs w:val="24"/>
                <w:highlight w:val="none"/>
              </w:rPr>
            </w:pPr>
            <w:r>
              <w:rPr>
                <w:rFonts w:hint="eastAsia" w:ascii="宋体" w:hAnsi="宋体" w:cs="Calibri"/>
                <w:sz w:val="24"/>
                <w:szCs w:val="24"/>
                <w:highlight w:val="none"/>
              </w:rPr>
              <w:t>备注处填写本项内容对应支持资料在投标文件的页码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bookmarkStart w:id="367" w:name="_GoBack"/>
            <w:bookmarkEnd w:id="367"/>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4"/>
                <w:szCs w:val="24"/>
                <w:highlight w:val="none"/>
              </w:rPr>
            </w:pPr>
          </w:p>
        </w:tc>
        <w:tc>
          <w:tcPr>
            <w:tcW w:w="19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bl>
    <w:p>
      <w:pPr>
        <w:rPr>
          <w:rFonts w:hint="eastAsia" w:eastAsia="宋体"/>
          <w:highlight w:val="none"/>
          <w:lang w:eastAsia="zh-CN"/>
        </w:rPr>
      </w:pPr>
      <w:r>
        <w:rPr>
          <w:rFonts w:hint="eastAsia"/>
          <w:highlight w:val="none"/>
          <w:lang w:eastAsia="zh-CN"/>
        </w:rPr>
        <w:t>注：本项目设备投标参与不允许负偏离。</w:t>
      </w:r>
    </w:p>
    <w:p>
      <w:pPr>
        <w:spacing w:line="360" w:lineRule="auto"/>
        <w:rPr>
          <w:highlight w:val="none"/>
        </w:rPr>
      </w:pPr>
      <w:r>
        <w:rPr>
          <w:rFonts w:hint="eastAsia"/>
          <w:highlight w:val="none"/>
        </w:rPr>
        <w:t>投  标  人（企业电子签章）：</w:t>
      </w:r>
    </w:p>
    <w:p>
      <w:pPr>
        <w:spacing w:line="360" w:lineRule="auto"/>
        <w:rPr>
          <w:highlight w:val="none"/>
        </w:rPr>
      </w:pPr>
      <w:r>
        <w:rPr>
          <w:rFonts w:hint="eastAsia"/>
          <w:highlight w:val="none"/>
        </w:rPr>
        <w:t>法定代表人（电子签章）：</w:t>
      </w:r>
    </w:p>
    <w:p>
      <w:pPr>
        <w:spacing w:line="360" w:lineRule="auto"/>
        <w:rPr>
          <w:highlight w:val="none"/>
        </w:rPr>
      </w:pPr>
      <w:r>
        <w:rPr>
          <w:rFonts w:hint="eastAsia"/>
          <w:highlight w:val="none"/>
        </w:rPr>
        <w:t>年  月  日</w:t>
      </w:r>
    </w:p>
    <w:p>
      <w:pPr>
        <w:pStyle w:val="4"/>
        <w:jc w:val="center"/>
        <w:rPr>
          <w:rFonts w:ascii="宋体" w:hAnsi="宋体"/>
          <w:szCs w:val="21"/>
          <w:highlight w:val="none"/>
        </w:rPr>
        <w:sectPr>
          <w:pgSz w:w="16838" w:h="11906" w:orient="landscape"/>
          <w:pgMar w:top="1134" w:right="1418" w:bottom="1134" w:left="1418" w:header="851" w:footer="992" w:gutter="0"/>
          <w:cols w:space="720" w:num="1"/>
          <w:docGrid w:type="lines" w:linePitch="312" w:charSpace="0"/>
        </w:sectPr>
      </w:pPr>
    </w:p>
    <w:p>
      <w:pPr>
        <w:pStyle w:val="4"/>
        <w:jc w:val="center"/>
        <w:rPr>
          <w:rFonts w:ascii="宋体" w:hAnsi="宋体"/>
          <w:sz w:val="32"/>
          <w:szCs w:val="22"/>
          <w:highlight w:val="none"/>
        </w:rPr>
      </w:pPr>
      <w:bookmarkStart w:id="326" w:name="_Toc25131"/>
      <w:bookmarkStart w:id="327" w:name="_Toc31789"/>
      <w:bookmarkStart w:id="328" w:name="_Toc24004"/>
      <w:bookmarkStart w:id="329" w:name="_Toc19951"/>
      <w:bookmarkStart w:id="330" w:name="_Toc17899"/>
      <w:r>
        <w:rPr>
          <w:rFonts w:hint="eastAsia" w:ascii="宋体" w:hAnsi="宋体"/>
          <w:sz w:val="32"/>
          <w:szCs w:val="22"/>
          <w:highlight w:val="none"/>
        </w:rPr>
        <w:t>六、</w:t>
      </w:r>
      <w:bookmarkEnd w:id="326"/>
      <w:bookmarkEnd w:id="327"/>
      <w:bookmarkEnd w:id="328"/>
      <w:bookmarkEnd w:id="329"/>
      <w:r>
        <w:rPr>
          <w:rFonts w:hint="eastAsia" w:ascii="宋体" w:hAnsi="宋体"/>
          <w:sz w:val="32"/>
          <w:szCs w:val="22"/>
          <w:highlight w:val="none"/>
        </w:rPr>
        <w:t>商务偏离表</w:t>
      </w:r>
      <w:bookmarkEnd w:id="330"/>
    </w:p>
    <w:p>
      <w:pPr>
        <w:rPr>
          <w:rFonts w:ascii="宋体" w:hAnsi="宋体"/>
          <w:sz w:val="32"/>
          <w:szCs w:val="22"/>
          <w:highlight w:val="none"/>
        </w:rPr>
      </w:pPr>
      <w:bookmarkStart w:id="331" w:name="_Toc4076"/>
      <w:bookmarkStart w:id="332" w:name="_Toc22770"/>
      <w:bookmarkStart w:id="333" w:name="_Toc16127"/>
      <w:bookmarkStart w:id="334" w:name="_Toc8241"/>
    </w:p>
    <w:tbl>
      <w:tblPr>
        <w:tblStyle w:val="36"/>
        <w:tblW w:w="94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782"/>
        <w:gridCol w:w="3730"/>
        <w:gridCol w:w="1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招标商务需求</w:t>
            </w:r>
          </w:p>
        </w:tc>
        <w:tc>
          <w:tcPr>
            <w:tcW w:w="1782"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投标商务</w:t>
            </w:r>
          </w:p>
        </w:tc>
        <w:tc>
          <w:tcPr>
            <w:tcW w:w="3730"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偏离说明</w:t>
            </w:r>
          </w:p>
        </w:tc>
        <w:tc>
          <w:tcPr>
            <w:tcW w:w="1927"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3"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rPr>
                <w:rFonts w:ascii="宋体" w:hAnsi="宋体" w:cs="Calibri"/>
                <w:sz w:val="24"/>
                <w:szCs w:val="24"/>
                <w:highlight w:val="none"/>
              </w:rPr>
            </w:pPr>
            <w:r>
              <w:rPr>
                <w:rFonts w:hint="eastAsia" w:ascii="宋体" w:hAnsi="宋体" w:cs="Calibri"/>
                <w:sz w:val="24"/>
                <w:szCs w:val="24"/>
                <w:highlight w:val="none"/>
              </w:rPr>
              <w:t>投标</w:t>
            </w:r>
            <w:r>
              <w:rPr>
                <w:rFonts w:hint="eastAsia" w:ascii="宋体" w:hAnsi="宋体" w:cs="Calibri"/>
                <w:sz w:val="24"/>
                <w:szCs w:val="24"/>
                <w:highlight w:val="none"/>
                <w:lang w:eastAsia="zh-CN"/>
              </w:rPr>
              <w:t>文件</w:t>
            </w:r>
            <w:r>
              <w:rPr>
                <w:rFonts w:hint="eastAsia" w:ascii="宋体" w:hAnsi="宋体" w:cs="Calibri"/>
                <w:sz w:val="24"/>
                <w:szCs w:val="24"/>
                <w:highlight w:val="none"/>
              </w:rPr>
              <w:t>符合招标文件要求此项目填写“符合”，优于招标文件要求此项填写“正偏离”，不能满足招标文件要求此项填写“负偏离”</w:t>
            </w: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1979" w:type="dxa"/>
            <w:tcBorders>
              <w:top w:val="single" w:color="auto" w:sz="4" w:space="0"/>
              <w:left w:val="single" w:color="auto" w:sz="4" w:space="0"/>
              <w:bottom w:val="single" w:color="auto" w:sz="4" w:space="0"/>
              <w:right w:val="single" w:color="auto" w:sz="4" w:space="0"/>
            </w:tcBorders>
          </w:tcPr>
          <w:p>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bl>
    <w:p>
      <w:pPr>
        <w:rPr>
          <w:rFonts w:ascii="宋体" w:hAnsi="宋体"/>
          <w:sz w:val="32"/>
          <w:szCs w:val="22"/>
          <w:highlight w:val="none"/>
        </w:rPr>
      </w:pPr>
    </w:p>
    <w:p>
      <w:pPr>
        <w:spacing w:line="360" w:lineRule="auto"/>
        <w:rPr>
          <w:highlight w:val="none"/>
        </w:rPr>
      </w:pPr>
      <w:r>
        <w:rPr>
          <w:rFonts w:hint="eastAsia"/>
          <w:highlight w:val="none"/>
        </w:rPr>
        <w:t>投  标  人（企业电子签章）：</w:t>
      </w:r>
    </w:p>
    <w:p>
      <w:pPr>
        <w:spacing w:line="360" w:lineRule="auto"/>
        <w:rPr>
          <w:highlight w:val="none"/>
        </w:rPr>
      </w:pPr>
      <w:r>
        <w:rPr>
          <w:rFonts w:hint="eastAsia"/>
          <w:highlight w:val="none"/>
        </w:rPr>
        <w:t>法定代表人（电子签章）：</w:t>
      </w:r>
    </w:p>
    <w:p>
      <w:pPr>
        <w:spacing w:line="360" w:lineRule="auto"/>
        <w:rPr>
          <w:highlight w:val="none"/>
        </w:rPr>
      </w:pPr>
      <w:r>
        <w:rPr>
          <w:rFonts w:hint="eastAsia"/>
          <w:highlight w:val="none"/>
        </w:rPr>
        <w:t>年  月  日</w:t>
      </w:r>
    </w:p>
    <w:p>
      <w:pPr>
        <w:rPr>
          <w:rFonts w:ascii="宋体" w:hAnsi="宋体"/>
          <w:sz w:val="32"/>
          <w:szCs w:val="22"/>
          <w:highlight w:val="none"/>
        </w:rPr>
      </w:pPr>
      <w:r>
        <w:rPr>
          <w:rFonts w:hint="eastAsia" w:ascii="宋体" w:hAnsi="宋体"/>
          <w:sz w:val="32"/>
          <w:szCs w:val="22"/>
          <w:highlight w:val="none"/>
        </w:rPr>
        <w:br w:type="page"/>
      </w:r>
    </w:p>
    <w:p>
      <w:pPr>
        <w:pStyle w:val="4"/>
        <w:jc w:val="center"/>
        <w:rPr>
          <w:rFonts w:hint="eastAsia" w:ascii="宋体" w:hAnsi="宋体" w:eastAsia="宋体"/>
          <w:sz w:val="32"/>
          <w:szCs w:val="22"/>
          <w:highlight w:val="none"/>
          <w:lang w:eastAsia="zh-CN"/>
        </w:rPr>
      </w:pPr>
      <w:bookmarkStart w:id="335" w:name="_Toc29948"/>
      <w:r>
        <w:rPr>
          <w:rFonts w:hint="eastAsia" w:ascii="宋体" w:hAnsi="宋体"/>
          <w:sz w:val="32"/>
          <w:szCs w:val="22"/>
          <w:highlight w:val="none"/>
        </w:rPr>
        <w:t>七、</w:t>
      </w:r>
      <w:bookmarkEnd w:id="331"/>
      <w:bookmarkEnd w:id="332"/>
      <w:bookmarkEnd w:id="333"/>
      <w:bookmarkEnd w:id="334"/>
      <w:bookmarkEnd w:id="335"/>
      <w:r>
        <w:rPr>
          <w:rFonts w:hint="eastAsia" w:ascii="宋体" w:hAnsi="宋体"/>
          <w:sz w:val="32"/>
          <w:szCs w:val="22"/>
          <w:highlight w:val="none"/>
          <w:lang w:eastAsia="zh-CN"/>
        </w:rPr>
        <w:t>技术部分</w:t>
      </w:r>
    </w:p>
    <w:p>
      <w:pPr>
        <w:rPr>
          <w:rFonts w:hint="eastAsia" w:ascii="宋体" w:hAnsi="宋体"/>
          <w:szCs w:val="21"/>
          <w:highlight w:val="none"/>
        </w:rPr>
      </w:pPr>
      <w:bookmarkStart w:id="336" w:name="_Toc2599"/>
      <w:bookmarkStart w:id="337" w:name="_Toc17305"/>
      <w:bookmarkStart w:id="338" w:name="_Toc30329"/>
      <w:bookmarkStart w:id="339" w:name="_Toc13632"/>
      <w:r>
        <w:rPr>
          <w:rFonts w:hint="eastAsia"/>
          <w:b/>
          <w:bCs/>
          <w:highlight w:val="none"/>
          <w:lang w:eastAsia="zh-CN"/>
        </w:rPr>
        <w:t>一、施工组织设计（土建及安装部分）</w:t>
      </w:r>
    </w:p>
    <w:p>
      <w:pPr>
        <w:spacing w:line="420" w:lineRule="exact"/>
        <w:ind w:firstLine="420" w:firstLineChars="200"/>
        <w:rPr>
          <w:rFonts w:ascii="宋体" w:hAnsi="宋体"/>
          <w:szCs w:val="21"/>
          <w:highlight w:val="none"/>
        </w:rPr>
      </w:pPr>
      <w:r>
        <w:rPr>
          <w:rFonts w:hint="eastAsia" w:ascii="宋体" w:hAnsi="宋体"/>
          <w:szCs w:val="21"/>
          <w:highlight w:val="none"/>
        </w:rPr>
        <w:t>1．投标人应根据招标文件和对现场的勘察情况，采用文字并结合图表形式，参考以下要点编制本工程的施工组织设计：</w:t>
      </w:r>
    </w:p>
    <w:p>
      <w:pPr>
        <w:spacing w:line="420" w:lineRule="exact"/>
        <w:ind w:firstLine="420" w:firstLineChars="200"/>
        <w:rPr>
          <w:rFonts w:ascii="宋体" w:hAnsi="宋体"/>
          <w:szCs w:val="21"/>
          <w:highlight w:val="none"/>
        </w:rPr>
      </w:pPr>
      <w:r>
        <w:rPr>
          <w:rFonts w:hint="eastAsia" w:ascii="宋体" w:hAnsi="宋体"/>
          <w:szCs w:val="21"/>
          <w:highlight w:val="none"/>
        </w:rPr>
        <w:t>（1）施工方案及技术措施；</w:t>
      </w:r>
    </w:p>
    <w:p>
      <w:pPr>
        <w:spacing w:line="420" w:lineRule="exact"/>
        <w:ind w:firstLine="420" w:firstLineChars="200"/>
        <w:rPr>
          <w:rFonts w:ascii="宋体" w:hAnsi="宋体"/>
          <w:szCs w:val="21"/>
          <w:highlight w:val="none"/>
        </w:rPr>
      </w:pPr>
      <w:r>
        <w:rPr>
          <w:rFonts w:hint="eastAsia" w:ascii="宋体" w:hAnsi="宋体"/>
          <w:szCs w:val="21"/>
          <w:highlight w:val="none"/>
        </w:rPr>
        <w:t>（2）质量保证措施和创优计划；</w:t>
      </w:r>
    </w:p>
    <w:p>
      <w:pPr>
        <w:spacing w:line="420" w:lineRule="exact"/>
        <w:ind w:left="945" w:leftChars="200" w:hanging="525" w:hangingChars="250"/>
        <w:rPr>
          <w:rFonts w:ascii="宋体" w:hAnsi="宋体"/>
          <w:szCs w:val="21"/>
          <w:highlight w:val="none"/>
        </w:rPr>
      </w:pPr>
      <w:r>
        <w:rPr>
          <w:rFonts w:hint="eastAsia" w:ascii="宋体" w:hAnsi="宋体"/>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pPr>
        <w:spacing w:line="420" w:lineRule="exact"/>
        <w:ind w:firstLine="420" w:firstLineChars="200"/>
        <w:rPr>
          <w:rFonts w:ascii="宋体" w:hAnsi="宋体"/>
          <w:szCs w:val="21"/>
          <w:highlight w:val="none"/>
        </w:rPr>
      </w:pPr>
      <w:r>
        <w:rPr>
          <w:rFonts w:hint="eastAsia" w:ascii="宋体" w:hAnsi="宋体"/>
          <w:szCs w:val="21"/>
          <w:highlight w:val="none"/>
        </w:rPr>
        <w:t>（4）施工安全措施计划；</w:t>
      </w:r>
    </w:p>
    <w:p>
      <w:pPr>
        <w:spacing w:line="420" w:lineRule="exact"/>
        <w:ind w:firstLine="420" w:firstLineChars="200"/>
        <w:rPr>
          <w:rFonts w:ascii="宋体" w:hAnsi="宋体"/>
          <w:szCs w:val="21"/>
          <w:highlight w:val="none"/>
        </w:rPr>
      </w:pPr>
      <w:r>
        <w:rPr>
          <w:rFonts w:hint="eastAsia" w:ascii="宋体" w:hAnsi="宋体"/>
          <w:szCs w:val="21"/>
          <w:highlight w:val="none"/>
        </w:rPr>
        <w:t>（5）文明施工措施计划；</w:t>
      </w:r>
    </w:p>
    <w:p>
      <w:pPr>
        <w:spacing w:line="420" w:lineRule="exact"/>
        <w:ind w:firstLine="420" w:firstLineChars="200"/>
        <w:rPr>
          <w:rFonts w:ascii="宋体" w:hAnsi="宋体"/>
          <w:szCs w:val="21"/>
          <w:highlight w:val="none"/>
        </w:rPr>
      </w:pPr>
      <w:r>
        <w:rPr>
          <w:rFonts w:hint="eastAsia" w:ascii="宋体" w:hAnsi="宋体"/>
          <w:szCs w:val="21"/>
          <w:highlight w:val="none"/>
        </w:rPr>
        <w:t>（6）施工场地治安保卫管理计划；</w:t>
      </w:r>
    </w:p>
    <w:p>
      <w:pPr>
        <w:spacing w:line="420" w:lineRule="exact"/>
        <w:ind w:firstLine="420" w:firstLineChars="200"/>
        <w:rPr>
          <w:rFonts w:ascii="宋体" w:hAnsi="宋体"/>
          <w:szCs w:val="21"/>
          <w:highlight w:val="none"/>
        </w:rPr>
      </w:pPr>
      <w:r>
        <w:rPr>
          <w:rFonts w:hint="eastAsia" w:ascii="宋体" w:hAnsi="宋体"/>
          <w:szCs w:val="21"/>
          <w:highlight w:val="none"/>
        </w:rPr>
        <w:t>（7）施工环保措施计划；</w:t>
      </w:r>
    </w:p>
    <w:p>
      <w:pPr>
        <w:spacing w:line="420" w:lineRule="exact"/>
        <w:ind w:firstLine="420" w:firstLineChars="200"/>
        <w:rPr>
          <w:rFonts w:ascii="宋体" w:hAnsi="宋体"/>
          <w:szCs w:val="21"/>
          <w:highlight w:val="none"/>
        </w:rPr>
      </w:pPr>
      <w:r>
        <w:rPr>
          <w:rFonts w:hint="eastAsia" w:ascii="宋体" w:hAnsi="宋体"/>
          <w:szCs w:val="21"/>
          <w:highlight w:val="none"/>
        </w:rPr>
        <w:t>（8）冬季和雨季施工方案；</w:t>
      </w:r>
    </w:p>
    <w:p>
      <w:pPr>
        <w:spacing w:line="420" w:lineRule="exact"/>
        <w:ind w:left="945" w:leftChars="200" w:hanging="525" w:hangingChars="250"/>
        <w:rPr>
          <w:rFonts w:ascii="宋体" w:hAnsi="宋体"/>
          <w:szCs w:val="21"/>
          <w:highlight w:val="none"/>
        </w:rPr>
      </w:pPr>
      <w:r>
        <w:rPr>
          <w:rFonts w:hint="eastAsia" w:ascii="宋体" w:hAnsi="宋体"/>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pPr>
        <w:spacing w:line="420" w:lineRule="exact"/>
        <w:ind w:left="987" w:leftChars="200" w:hanging="567" w:hangingChars="270"/>
        <w:rPr>
          <w:rFonts w:ascii="宋体" w:hAnsi="宋体"/>
          <w:szCs w:val="21"/>
          <w:highlight w:val="none"/>
        </w:rPr>
      </w:pPr>
      <w:r>
        <w:rPr>
          <w:rFonts w:hint="eastAsia" w:ascii="宋体" w:hAnsi="宋体"/>
          <w:szCs w:val="21"/>
          <w:highlight w:val="none"/>
        </w:rPr>
        <w:t>（10）项目组织管理机构（若施工组织设计采用“暗标”方式评审，则在任何情况下， “项目管理机构”不得涉及人员姓名、简历、公司名称等暴露投标人身份的内容）；</w:t>
      </w:r>
    </w:p>
    <w:p>
      <w:pPr>
        <w:spacing w:line="420" w:lineRule="exact"/>
        <w:ind w:left="987" w:leftChars="200" w:hanging="567" w:hangingChars="270"/>
        <w:rPr>
          <w:rFonts w:ascii="宋体" w:hAnsi="宋体"/>
          <w:szCs w:val="21"/>
          <w:highlight w:val="none"/>
        </w:rPr>
      </w:pPr>
      <w:r>
        <w:rPr>
          <w:rFonts w:hint="eastAsia" w:ascii="宋体" w:hAnsi="宋体"/>
          <w:szCs w:val="21"/>
          <w:highlight w:val="none"/>
        </w:rPr>
        <w:t>（11）承包人自行施工范围内拟分包的非主体和非关键性工作（按第二章“投标人须知”第1.11款的规定）、材料计划和劳动力计划；</w:t>
      </w:r>
    </w:p>
    <w:p>
      <w:pPr>
        <w:spacing w:line="420" w:lineRule="exact"/>
        <w:ind w:firstLine="420" w:firstLineChars="200"/>
        <w:rPr>
          <w:rFonts w:ascii="宋体" w:hAnsi="宋体"/>
          <w:szCs w:val="21"/>
          <w:highlight w:val="none"/>
        </w:rPr>
      </w:pPr>
      <w:r>
        <w:rPr>
          <w:rFonts w:hint="eastAsia" w:ascii="宋体" w:hAnsi="宋体"/>
          <w:szCs w:val="21"/>
          <w:highlight w:val="none"/>
        </w:rPr>
        <w:t>（12）成品保护和工程保修工作的管理措施和承诺；</w:t>
      </w:r>
    </w:p>
    <w:p>
      <w:pPr>
        <w:spacing w:line="420" w:lineRule="exact"/>
        <w:ind w:left="987" w:leftChars="200" w:hanging="567" w:hangingChars="270"/>
        <w:rPr>
          <w:rFonts w:ascii="宋体" w:hAnsi="宋体"/>
          <w:szCs w:val="21"/>
          <w:highlight w:val="none"/>
        </w:rPr>
      </w:pPr>
      <w:r>
        <w:rPr>
          <w:rFonts w:hint="eastAsia" w:ascii="宋体" w:hAnsi="宋体"/>
          <w:szCs w:val="21"/>
          <w:highlight w:val="none"/>
        </w:rPr>
        <w:t>（13）任何可能的紧急情况的处理措施、预案以及抵抗风险（包括工程施工过程中可能遇到的各种风险）的措施；</w:t>
      </w:r>
    </w:p>
    <w:p>
      <w:pPr>
        <w:spacing w:line="420" w:lineRule="exact"/>
        <w:ind w:firstLine="420" w:firstLineChars="200"/>
        <w:rPr>
          <w:rFonts w:ascii="宋体" w:hAnsi="宋体"/>
          <w:szCs w:val="21"/>
          <w:highlight w:val="none"/>
        </w:rPr>
      </w:pPr>
      <w:r>
        <w:rPr>
          <w:rFonts w:hint="eastAsia" w:ascii="宋体" w:hAnsi="宋体"/>
          <w:szCs w:val="21"/>
          <w:highlight w:val="none"/>
        </w:rPr>
        <w:t>（14）对总包管理的认识以及对专业分包工程的配合、协调、管理、服务方案；</w:t>
      </w:r>
    </w:p>
    <w:p>
      <w:pPr>
        <w:spacing w:line="420" w:lineRule="exact"/>
        <w:ind w:firstLine="420" w:firstLineChars="200"/>
        <w:rPr>
          <w:rFonts w:ascii="宋体" w:hAnsi="宋体"/>
          <w:szCs w:val="21"/>
          <w:highlight w:val="none"/>
        </w:rPr>
      </w:pPr>
      <w:r>
        <w:rPr>
          <w:rFonts w:hint="eastAsia" w:ascii="宋体" w:hAnsi="宋体"/>
          <w:szCs w:val="21"/>
          <w:highlight w:val="none"/>
        </w:rPr>
        <w:t>（15）与发包人、监理及设计人的配合；</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（16）招标文件规定的其他内容。</w:t>
      </w:r>
    </w:p>
    <w:p>
      <w:pPr>
        <w:spacing w:line="420" w:lineRule="exact"/>
        <w:ind w:firstLine="420" w:firstLineChars="200"/>
        <w:rPr>
          <w:rFonts w:ascii="宋体" w:hAnsi="宋体"/>
          <w:szCs w:val="21"/>
          <w:highlight w:val="none"/>
        </w:rPr>
      </w:pPr>
      <w:r>
        <w:rPr>
          <w:rFonts w:hint="eastAsia" w:ascii="宋体" w:hAnsi="宋体"/>
          <w:szCs w:val="21"/>
          <w:highlight w:val="none"/>
        </w:rPr>
        <w:t>2．若投标人须知规定施工组织设计采用技术“暗标”方式评审，则施工组织设计的编制和装订应按附表七“施工组织设计（技术暗标部分）编制及装订要求”编制和装订施工组织设计。</w:t>
      </w:r>
    </w:p>
    <w:p>
      <w:pPr>
        <w:spacing w:line="420" w:lineRule="exact"/>
        <w:ind w:firstLine="420" w:firstLineChars="200"/>
        <w:rPr>
          <w:rFonts w:ascii="宋体" w:hAnsi="宋体"/>
          <w:szCs w:val="21"/>
          <w:highlight w:val="none"/>
        </w:rPr>
      </w:pPr>
      <w:r>
        <w:rPr>
          <w:rFonts w:hint="eastAsia" w:ascii="宋体" w:hAnsi="宋体"/>
          <w:szCs w:val="21"/>
          <w:highlight w:val="none"/>
        </w:rPr>
        <w:t>3．施工组织设计除采用文字表述外可附下列图表，图表及格式要求附后。若采用技术暗标评审，则下述表格应按照章节内容，严格按给定的格式附在相应的章节中。</w:t>
      </w:r>
    </w:p>
    <w:p>
      <w:pPr>
        <w:spacing w:line="420" w:lineRule="exact"/>
        <w:rPr>
          <w:rFonts w:ascii="宋体" w:hAnsi="宋体"/>
          <w:szCs w:val="21"/>
          <w:highlight w:val="none"/>
        </w:rPr>
      </w:pPr>
    </w:p>
    <w:p>
      <w:pPr>
        <w:spacing w:line="420" w:lineRule="exact"/>
        <w:rPr>
          <w:rFonts w:ascii="宋体" w:hAnsi="宋体"/>
          <w:szCs w:val="21"/>
          <w:highlight w:val="none"/>
        </w:rPr>
      </w:pPr>
    </w:p>
    <w:p>
      <w:pPr>
        <w:spacing w:line="420" w:lineRule="exact"/>
        <w:rPr>
          <w:rFonts w:hint="eastAsia" w:ascii="宋体" w:hAnsi="宋体"/>
          <w:szCs w:val="21"/>
          <w:highlight w:val="none"/>
        </w:rPr>
      </w:pPr>
    </w:p>
    <w:p>
      <w:pPr>
        <w:spacing w:line="420" w:lineRule="exact"/>
        <w:ind w:firstLine="420" w:firstLineChars="200"/>
        <w:rPr>
          <w:rFonts w:ascii="宋体" w:hAnsi="宋体"/>
          <w:szCs w:val="21"/>
          <w:highlight w:val="none"/>
        </w:rPr>
      </w:pPr>
      <w:r>
        <w:rPr>
          <w:rFonts w:hint="eastAsia" w:ascii="宋体" w:hAnsi="宋体"/>
          <w:szCs w:val="21"/>
          <w:highlight w:val="none"/>
        </w:rPr>
        <w:t>附表一  拟投入本工程的主要施工设备表</w:t>
      </w:r>
    </w:p>
    <w:p>
      <w:pPr>
        <w:spacing w:line="420" w:lineRule="exact"/>
        <w:ind w:firstLine="420" w:firstLineChars="200"/>
        <w:rPr>
          <w:rFonts w:ascii="宋体" w:hAnsi="宋体"/>
          <w:szCs w:val="21"/>
          <w:highlight w:val="none"/>
        </w:rPr>
      </w:pPr>
      <w:r>
        <w:rPr>
          <w:rFonts w:hint="eastAsia" w:ascii="宋体" w:hAnsi="宋体"/>
          <w:szCs w:val="21"/>
          <w:highlight w:val="none"/>
        </w:rPr>
        <w:t>附表二  拟配备本工程的试验和检测仪器设备表</w:t>
      </w:r>
    </w:p>
    <w:p>
      <w:pPr>
        <w:spacing w:line="420" w:lineRule="exact"/>
        <w:ind w:firstLine="420" w:firstLineChars="200"/>
        <w:rPr>
          <w:rFonts w:ascii="宋体" w:hAnsi="宋体"/>
          <w:szCs w:val="21"/>
          <w:highlight w:val="none"/>
        </w:rPr>
      </w:pPr>
      <w:r>
        <w:rPr>
          <w:rFonts w:hint="eastAsia" w:ascii="宋体" w:hAnsi="宋体"/>
          <w:szCs w:val="21"/>
          <w:highlight w:val="none"/>
        </w:rPr>
        <w:t>附表三  劳动力计划表</w:t>
      </w:r>
    </w:p>
    <w:p>
      <w:pPr>
        <w:spacing w:line="420" w:lineRule="exact"/>
        <w:ind w:firstLine="420" w:firstLineChars="200"/>
        <w:rPr>
          <w:rFonts w:ascii="宋体" w:hAnsi="宋体"/>
          <w:szCs w:val="21"/>
          <w:highlight w:val="none"/>
        </w:rPr>
      </w:pPr>
      <w:r>
        <w:rPr>
          <w:rFonts w:hint="eastAsia" w:ascii="宋体" w:hAnsi="宋体"/>
          <w:szCs w:val="21"/>
          <w:highlight w:val="none"/>
        </w:rPr>
        <w:t>附表四  计划开、竣工日期和施工进度网络图</w:t>
      </w:r>
    </w:p>
    <w:p>
      <w:pPr>
        <w:spacing w:line="420" w:lineRule="exact"/>
        <w:ind w:firstLine="420" w:firstLineChars="200"/>
        <w:rPr>
          <w:rFonts w:ascii="宋体" w:hAnsi="宋体"/>
          <w:szCs w:val="21"/>
          <w:highlight w:val="none"/>
        </w:rPr>
      </w:pPr>
      <w:r>
        <w:rPr>
          <w:rFonts w:hint="eastAsia" w:ascii="宋体" w:hAnsi="宋体"/>
          <w:szCs w:val="21"/>
          <w:highlight w:val="none"/>
        </w:rPr>
        <w:t>附表五  施工总平面图</w:t>
      </w:r>
    </w:p>
    <w:p>
      <w:pPr>
        <w:spacing w:line="420" w:lineRule="exact"/>
        <w:ind w:firstLine="420" w:firstLineChars="200"/>
        <w:rPr>
          <w:rFonts w:ascii="宋体" w:hAnsi="宋体"/>
          <w:szCs w:val="21"/>
          <w:highlight w:val="none"/>
        </w:rPr>
      </w:pPr>
      <w:r>
        <w:rPr>
          <w:rFonts w:hint="eastAsia" w:ascii="宋体" w:hAnsi="宋体"/>
          <w:szCs w:val="21"/>
          <w:highlight w:val="none"/>
        </w:rPr>
        <w:t>附表六  临时用地表</w:t>
      </w:r>
    </w:p>
    <w:p>
      <w:pPr>
        <w:spacing w:line="420" w:lineRule="exact"/>
        <w:ind w:firstLine="420" w:firstLineChars="200"/>
        <w:rPr>
          <w:rFonts w:ascii="宋体" w:hAnsi="宋体"/>
          <w:szCs w:val="21"/>
          <w:highlight w:val="none"/>
        </w:rPr>
      </w:pPr>
    </w:p>
    <w:p>
      <w:pPr>
        <w:spacing w:beforeLines="50" w:afterLines="100" w:line="420" w:lineRule="exact"/>
        <w:rPr>
          <w:rFonts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附表一：拟投入本工程的主要施工设备表</w:t>
      </w:r>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vAlign w:val="center"/>
          </w:tcPr>
          <w:p>
            <w:pPr>
              <w:jc w:val="center"/>
              <w:rPr>
                <w:rFonts w:ascii="宋体" w:hAnsi="宋体"/>
                <w:szCs w:val="21"/>
                <w:highlight w:val="none"/>
              </w:rPr>
            </w:pPr>
            <w:r>
              <w:rPr>
                <w:rFonts w:hint="eastAsia" w:ascii="宋体" w:hAnsi="宋体"/>
                <w:szCs w:val="21"/>
                <w:highlight w:val="none"/>
              </w:rPr>
              <w:t>序号</w:t>
            </w:r>
          </w:p>
        </w:tc>
        <w:tc>
          <w:tcPr>
            <w:tcW w:w="1064" w:type="dxa"/>
            <w:vAlign w:val="center"/>
          </w:tcPr>
          <w:p>
            <w:pPr>
              <w:jc w:val="center"/>
              <w:rPr>
                <w:rFonts w:ascii="宋体" w:hAnsi="宋体"/>
                <w:szCs w:val="21"/>
                <w:highlight w:val="none"/>
              </w:rPr>
            </w:pPr>
            <w:r>
              <w:rPr>
                <w:rFonts w:hint="eastAsia" w:ascii="宋体" w:hAnsi="宋体"/>
                <w:szCs w:val="21"/>
                <w:highlight w:val="none"/>
              </w:rPr>
              <w:t>设备名称</w:t>
            </w:r>
          </w:p>
        </w:tc>
        <w:tc>
          <w:tcPr>
            <w:tcW w:w="672" w:type="dxa"/>
            <w:vAlign w:val="center"/>
          </w:tcPr>
          <w:p>
            <w:pPr>
              <w:jc w:val="center"/>
              <w:rPr>
                <w:rFonts w:ascii="宋体" w:hAnsi="宋体"/>
                <w:szCs w:val="21"/>
                <w:highlight w:val="none"/>
              </w:rPr>
            </w:pPr>
            <w:r>
              <w:rPr>
                <w:rFonts w:hint="eastAsia" w:ascii="宋体" w:hAnsi="宋体"/>
                <w:szCs w:val="21"/>
                <w:highlight w:val="none"/>
              </w:rPr>
              <w:t>型号</w:t>
            </w:r>
          </w:p>
          <w:p>
            <w:pPr>
              <w:jc w:val="center"/>
              <w:rPr>
                <w:rFonts w:ascii="宋体" w:hAnsi="宋体"/>
                <w:szCs w:val="21"/>
                <w:highlight w:val="none"/>
              </w:rPr>
            </w:pPr>
            <w:r>
              <w:rPr>
                <w:rFonts w:hint="eastAsia" w:ascii="宋体" w:hAnsi="宋体"/>
                <w:szCs w:val="21"/>
                <w:highlight w:val="none"/>
              </w:rPr>
              <w:t>规格</w:t>
            </w:r>
          </w:p>
        </w:tc>
        <w:tc>
          <w:tcPr>
            <w:tcW w:w="1022" w:type="dxa"/>
            <w:vAlign w:val="center"/>
          </w:tcPr>
          <w:p>
            <w:pPr>
              <w:jc w:val="center"/>
              <w:rPr>
                <w:rFonts w:ascii="宋体" w:hAnsi="宋体"/>
                <w:szCs w:val="21"/>
                <w:highlight w:val="none"/>
              </w:rPr>
            </w:pPr>
            <w:r>
              <w:rPr>
                <w:rFonts w:hint="eastAsia" w:ascii="宋体" w:hAnsi="宋体"/>
                <w:szCs w:val="21"/>
                <w:highlight w:val="none"/>
              </w:rPr>
              <w:t>数  量</w:t>
            </w:r>
          </w:p>
        </w:tc>
        <w:tc>
          <w:tcPr>
            <w:tcW w:w="709" w:type="dxa"/>
            <w:vAlign w:val="center"/>
          </w:tcPr>
          <w:p>
            <w:pPr>
              <w:jc w:val="center"/>
              <w:rPr>
                <w:rFonts w:ascii="宋体" w:hAnsi="宋体"/>
                <w:szCs w:val="21"/>
                <w:highlight w:val="none"/>
              </w:rPr>
            </w:pPr>
            <w:r>
              <w:rPr>
                <w:rFonts w:hint="eastAsia" w:ascii="宋体" w:hAnsi="宋体"/>
                <w:szCs w:val="21"/>
                <w:highlight w:val="none"/>
              </w:rPr>
              <w:t>国别</w:t>
            </w:r>
          </w:p>
          <w:p>
            <w:pPr>
              <w:jc w:val="center"/>
              <w:rPr>
                <w:rFonts w:ascii="宋体" w:hAnsi="宋体"/>
                <w:szCs w:val="21"/>
                <w:highlight w:val="none"/>
              </w:rPr>
            </w:pPr>
            <w:r>
              <w:rPr>
                <w:rFonts w:hint="eastAsia" w:ascii="宋体" w:hAnsi="宋体"/>
                <w:szCs w:val="21"/>
                <w:highlight w:val="none"/>
              </w:rPr>
              <w:t>产地</w:t>
            </w:r>
          </w:p>
        </w:tc>
        <w:tc>
          <w:tcPr>
            <w:tcW w:w="709" w:type="dxa"/>
            <w:vAlign w:val="center"/>
          </w:tcPr>
          <w:p>
            <w:pPr>
              <w:jc w:val="center"/>
              <w:rPr>
                <w:rFonts w:ascii="宋体" w:hAnsi="宋体"/>
                <w:szCs w:val="21"/>
                <w:highlight w:val="none"/>
              </w:rPr>
            </w:pPr>
            <w:r>
              <w:rPr>
                <w:rFonts w:hint="eastAsia" w:ascii="宋体" w:hAnsi="宋体"/>
                <w:szCs w:val="21"/>
                <w:highlight w:val="none"/>
              </w:rPr>
              <w:t>制造</w:t>
            </w:r>
          </w:p>
          <w:p>
            <w:pPr>
              <w:jc w:val="center"/>
              <w:rPr>
                <w:rFonts w:ascii="宋体" w:hAnsi="宋体"/>
                <w:szCs w:val="21"/>
                <w:highlight w:val="none"/>
              </w:rPr>
            </w:pPr>
            <w:r>
              <w:rPr>
                <w:rFonts w:hint="eastAsia" w:ascii="宋体" w:hAnsi="宋体"/>
                <w:szCs w:val="21"/>
                <w:highlight w:val="none"/>
              </w:rPr>
              <w:t>年份</w:t>
            </w:r>
          </w:p>
        </w:tc>
        <w:tc>
          <w:tcPr>
            <w:tcW w:w="1176" w:type="dxa"/>
            <w:vAlign w:val="center"/>
          </w:tcPr>
          <w:p>
            <w:pPr>
              <w:jc w:val="center"/>
              <w:rPr>
                <w:rFonts w:ascii="宋体" w:hAnsi="宋体"/>
                <w:szCs w:val="21"/>
                <w:highlight w:val="none"/>
              </w:rPr>
            </w:pPr>
            <w:r>
              <w:rPr>
                <w:rFonts w:hint="eastAsia" w:ascii="宋体" w:hAnsi="宋体"/>
                <w:szCs w:val="21"/>
                <w:highlight w:val="none"/>
              </w:rPr>
              <w:t>额定功率</w:t>
            </w:r>
          </w:p>
          <w:p>
            <w:pPr>
              <w:jc w:val="center"/>
              <w:rPr>
                <w:rFonts w:ascii="宋体" w:hAnsi="宋体"/>
                <w:szCs w:val="21"/>
                <w:highlight w:val="none"/>
              </w:rPr>
            </w:pPr>
            <w:r>
              <w:rPr>
                <w:rFonts w:hint="eastAsia" w:ascii="宋体" w:hAnsi="宋体"/>
                <w:szCs w:val="21"/>
                <w:highlight w:val="none"/>
              </w:rPr>
              <w:t>（KW）</w:t>
            </w:r>
          </w:p>
        </w:tc>
        <w:tc>
          <w:tcPr>
            <w:tcW w:w="872" w:type="dxa"/>
            <w:vAlign w:val="center"/>
          </w:tcPr>
          <w:p>
            <w:pPr>
              <w:jc w:val="center"/>
              <w:rPr>
                <w:rFonts w:ascii="宋体" w:hAnsi="宋体"/>
                <w:szCs w:val="21"/>
                <w:highlight w:val="none"/>
              </w:rPr>
            </w:pPr>
            <w:r>
              <w:rPr>
                <w:rFonts w:hint="eastAsia" w:ascii="宋体" w:hAnsi="宋体"/>
                <w:szCs w:val="21"/>
                <w:highlight w:val="none"/>
              </w:rPr>
              <w:t>生产</w:t>
            </w:r>
          </w:p>
          <w:p>
            <w:pPr>
              <w:jc w:val="center"/>
              <w:rPr>
                <w:rFonts w:ascii="宋体" w:hAnsi="宋体"/>
                <w:szCs w:val="21"/>
                <w:highlight w:val="none"/>
              </w:rPr>
            </w:pPr>
            <w:r>
              <w:rPr>
                <w:rFonts w:hint="eastAsia" w:ascii="宋体" w:hAnsi="宋体"/>
                <w:szCs w:val="21"/>
                <w:highlight w:val="none"/>
              </w:rPr>
              <w:t>能力</w:t>
            </w:r>
          </w:p>
        </w:tc>
        <w:tc>
          <w:tcPr>
            <w:tcW w:w="872" w:type="dxa"/>
            <w:vAlign w:val="center"/>
          </w:tcPr>
          <w:p>
            <w:pPr>
              <w:jc w:val="center"/>
              <w:rPr>
                <w:rFonts w:ascii="宋体" w:hAnsi="宋体"/>
                <w:szCs w:val="21"/>
                <w:highlight w:val="none"/>
              </w:rPr>
            </w:pPr>
            <w:r>
              <w:rPr>
                <w:rFonts w:hint="eastAsia" w:ascii="宋体" w:hAnsi="宋体"/>
                <w:szCs w:val="21"/>
                <w:highlight w:val="none"/>
              </w:rPr>
              <w:t>用于施</w:t>
            </w:r>
          </w:p>
          <w:p>
            <w:pPr>
              <w:jc w:val="center"/>
              <w:rPr>
                <w:rFonts w:ascii="宋体" w:hAnsi="宋体"/>
                <w:szCs w:val="21"/>
                <w:highlight w:val="none"/>
              </w:rPr>
            </w:pPr>
            <w:r>
              <w:rPr>
                <w:rFonts w:hint="eastAsia" w:ascii="宋体" w:hAnsi="宋体"/>
                <w:szCs w:val="21"/>
                <w:highlight w:val="none"/>
              </w:rPr>
              <w:t>工部位</w:t>
            </w:r>
          </w:p>
        </w:tc>
        <w:tc>
          <w:tcPr>
            <w:tcW w:w="765" w:type="dxa"/>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872" w:type="dxa"/>
            <w:vAlign w:val="center"/>
          </w:tcPr>
          <w:p>
            <w:pPr>
              <w:jc w:val="center"/>
              <w:rPr>
                <w:rFonts w:ascii="宋体" w:hAnsi="宋体"/>
                <w:szCs w:val="21"/>
                <w:highlight w:val="none"/>
              </w:rPr>
            </w:pPr>
          </w:p>
        </w:tc>
        <w:tc>
          <w:tcPr>
            <w:tcW w:w="765" w:type="dxa"/>
            <w:vAlign w:val="center"/>
          </w:tcPr>
          <w:p>
            <w:pPr>
              <w:jc w:val="center"/>
              <w:rPr>
                <w:rFonts w:ascii="宋体" w:hAnsi="宋体"/>
                <w:szCs w:val="21"/>
                <w:highlight w:val="none"/>
              </w:rPr>
            </w:pPr>
          </w:p>
        </w:tc>
      </w:tr>
    </w:tbl>
    <w:p>
      <w:pPr>
        <w:spacing w:line="420" w:lineRule="exact"/>
        <w:rPr>
          <w:rFonts w:ascii="宋体" w:hAnsi="宋体"/>
          <w:szCs w:val="21"/>
          <w:highlight w:val="none"/>
        </w:rPr>
      </w:pPr>
    </w:p>
    <w:p>
      <w:pPr>
        <w:spacing w:beforeLines="50" w:afterLines="100" w:line="420" w:lineRule="exact"/>
        <w:rPr>
          <w:rFonts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附表二：拟配备本工程的试验和检测仪器设备表</w:t>
      </w:r>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vAlign w:val="center"/>
          </w:tcPr>
          <w:p>
            <w:pPr>
              <w:jc w:val="center"/>
              <w:rPr>
                <w:rFonts w:ascii="宋体" w:hAnsi="宋体"/>
                <w:szCs w:val="21"/>
                <w:highlight w:val="none"/>
              </w:rPr>
            </w:pPr>
            <w:r>
              <w:rPr>
                <w:rFonts w:hint="eastAsia" w:ascii="宋体" w:hAnsi="宋体"/>
                <w:szCs w:val="21"/>
                <w:highlight w:val="none"/>
              </w:rPr>
              <w:t>序号</w:t>
            </w:r>
          </w:p>
        </w:tc>
        <w:tc>
          <w:tcPr>
            <w:tcW w:w="1064" w:type="dxa"/>
            <w:vAlign w:val="center"/>
          </w:tcPr>
          <w:p>
            <w:pPr>
              <w:jc w:val="center"/>
              <w:rPr>
                <w:rFonts w:ascii="宋体" w:hAnsi="宋体"/>
                <w:szCs w:val="21"/>
                <w:highlight w:val="none"/>
              </w:rPr>
            </w:pPr>
            <w:r>
              <w:rPr>
                <w:rFonts w:hint="eastAsia" w:ascii="宋体" w:hAnsi="宋体"/>
                <w:szCs w:val="21"/>
                <w:highlight w:val="none"/>
              </w:rPr>
              <w:t>仪器设备</w:t>
            </w:r>
          </w:p>
          <w:p>
            <w:pPr>
              <w:jc w:val="center"/>
              <w:rPr>
                <w:rFonts w:ascii="宋体" w:hAnsi="宋体"/>
                <w:szCs w:val="21"/>
                <w:highlight w:val="none"/>
              </w:rPr>
            </w:pPr>
            <w:r>
              <w:rPr>
                <w:rFonts w:hint="eastAsia" w:ascii="宋体" w:hAnsi="宋体"/>
                <w:szCs w:val="21"/>
                <w:highlight w:val="none"/>
              </w:rPr>
              <w:t>名    称</w:t>
            </w:r>
          </w:p>
        </w:tc>
        <w:tc>
          <w:tcPr>
            <w:tcW w:w="672" w:type="dxa"/>
            <w:vAlign w:val="center"/>
          </w:tcPr>
          <w:p>
            <w:pPr>
              <w:jc w:val="center"/>
              <w:rPr>
                <w:rFonts w:ascii="宋体" w:hAnsi="宋体"/>
                <w:szCs w:val="21"/>
                <w:highlight w:val="none"/>
              </w:rPr>
            </w:pPr>
            <w:r>
              <w:rPr>
                <w:rFonts w:hint="eastAsia" w:ascii="宋体" w:hAnsi="宋体"/>
                <w:szCs w:val="21"/>
                <w:highlight w:val="none"/>
              </w:rPr>
              <w:t>型号</w:t>
            </w:r>
          </w:p>
          <w:p>
            <w:pPr>
              <w:jc w:val="center"/>
              <w:rPr>
                <w:rFonts w:ascii="宋体" w:hAnsi="宋体"/>
                <w:szCs w:val="21"/>
                <w:highlight w:val="none"/>
              </w:rPr>
            </w:pPr>
            <w:r>
              <w:rPr>
                <w:rFonts w:hint="eastAsia" w:ascii="宋体" w:hAnsi="宋体"/>
                <w:szCs w:val="21"/>
                <w:highlight w:val="none"/>
              </w:rPr>
              <w:t>规格</w:t>
            </w:r>
          </w:p>
        </w:tc>
        <w:tc>
          <w:tcPr>
            <w:tcW w:w="1022" w:type="dxa"/>
            <w:vAlign w:val="center"/>
          </w:tcPr>
          <w:p>
            <w:pPr>
              <w:jc w:val="center"/>
              <w:rPr>
                <w:rFonts w:ascii="宋体" w:hAnsi="宋体"/>
                <w:szCs w:val="21"/>
                <w:highlight w:val="none"/>
              </w:rPr>
            </w:pPr>
            <w:r>
              <w:rPr>
                <w:rFonts w:hint="eastAsia" w:ascii="宋体" w:hAnsi="宋体"/>
                <w:szCs w:val="21"/>
                <w:highlight w:val="none"/>
              </w:rPr>
              <w:t>数  量</w:t>
            </w:r>
          </w:p>
        </w:tc>
        <w:tc>
          <w:tcPr>
            <w:tcW w:w="709" w:type="dxa"/>
            <w:vAlign w:val="center"/>
          </w:tcPr>
          <w:p>
            <w:pPr>
              <w:jc w:val="center"/>
              <w:rPr>
                <w:rFonts w:ascii="宋体" w:hAnsi="宋体"/>
                <w:szCs w:val="21"/>
                <w:highlight w:val="none"/>
              </w:rPr>
            </w:pPr>
            <w:r>
              <w:rPr>
                <w:rFonts w:hint="eastAsia" w:ascii="宋体" w:hAnsi="宋体"/>
                <w:szCs w:val="21"/>
                <w:highlight w:val="none"/>
              </w:rPr>
              <w:t>国别</w:t>
            </w:r>
          </w:p>
          <w:p>
            <w:pPr>
              <w:jc w:val="center"/>
              <w:rPr>
                <w:rFonts w:ascii="宋体" w:hAnsi="宋体"/>
                <w:szCs w:val="21"/>
                <w:highlight w:val="none"/>
              </w:rPr>
            </w:pPr>
            <w:r>
              <w:rPr>
                <w:rFonts w:hint="eastAsia" w:ascii="宋体" w:hAnsi="宋体"/>
                <w:szCs w:val="21"/>
                <w:highlight w:val="none"/>
              </w:rPr>
              <w:t>产地</w:t>
            </w:r>
          </w:p>
        </w:tc>
        <w:tc>
          <w:tcPr>
            <w:tcW w:w="709" w:type="dxa"/>
            <w:vAlign w:val="center"/>
          </w:tcPr>
          <w:p>
            <w:pPr>
              <w:jc w:val="center"/>
              <w:rPr>
                <w:rFonts w:ascii="宋体" w:hAnsi="宋体"/>
                <w:szCs w:val="21"/>
                <w:highlight w:val="none"/>
              </w:rPr>
            </w:pPr>
            <w:r>
              <w:rPr>
                <w:rFonts w:hint="eastAsia" w:ascii="宋体" w:hAnsi="宋体"/>
                <w:szCs w:val="21"/>
                <w:highlight w:val="none"/>
              </w:rPr>
              <w:t>制造</w:t>
            </w:r>
          </w:p>
          <w:p>
            <w:pPr>
              <w:jc w:val="center"/>
              <w:rPr>
                <w:rFonts w:ascii="宋体" w:hAnsi="宋体"/>
                <w:szCs w:val="21"/>
                <w:highlight w:val="none"/>
              </w:rPr>
            </w:pPr>
            <w:r>
              <w:rPr>
                <w:rFonts w:hint="eastAsia" w:ascii="宋体" w:hAnsi="宋体"/>
                <w:szCs w:val="21"/>
                <w:highlight w:val="none"/>
              </w:rPr>
              <w:t>年份</w:t>
            </w:r>
          </w:p>
        </w:tc>
        <w:tc>
          <w:tcPr>
            <w:tcW w:w="1176" w:type="dxa"/>
            <w:vAlign w:val="center"/>
          </w:tcPr>
          <w:p>
            <w:pPr>
              <w:jc w:val="center"/>
              <w:rPr>
                <w:rFonts w:ascii="宋体" w:hAnsi="宋体"/>
                <w:szCs w:val="21"/>
                <w:highlight w:val="none"/>
              </w:rPr>
            </w:pPr>
            <w:r>
              <w:rPr>
                <w:rFonts w:hint="eastAsia" w:ascii="宋体" w:hAnsi="宋体"/>
                <w:szCs w:val="21"/>
                <w:highlight w:val="none"/>
              </w:rPr>
              <w:t>已使用台</w:t>
            </w:r>
          </w:p>
          <w:p>
            <w:pPr>
              <w:jc w:val="center"/>
              <w:rPr>
                <w:rFonts w:ascii="宋体" w:hAnsi="宋体"/>
                <w:szCs w:val="21"/>
                <w:highlight w:val="none"/>
              </w:rPr>
            </w:pPr>
            <w:r>
              <w:rPr>
                <w:rFonts w:hint="eastAsia" w:ascii="宋体" w:hAnsi="宋体"/>
                <w:szCs w:val="21"/>
                <w:highlight w:val="none"/>
              </w:rPr>
              <w:t>时    数</w:t>
            </w:r>
          </w:p>
        </w:tc>
        <w:tc>
          <w:tcPr>
            <w:tcW w:w="1659" w:type="dxa"/>
            <w:vAlign w:val="center"/>
          </w:tcPr>
          <w:p>
            <w:pPr>
              <w:jc w:val="center"/>
              <w:rPr>
                <w:rFonts w:ascii="宋体" w:hAnsi="宋体"/>
                <w:szCs w:val="21"/>
                <w:highlight w:val="none"/>
              </w:rPr>
            </w:pPr>
            <w:r>
              <w:rPr>
                <w:rFonts w:hint="eastAsia" w:ascii="宋体" w:hAnsi="宋体"/>
                <w:szCs w:val="21"/>
                <w:highlight w:val="none"/>
              </w:rPr>
              <w:t>用  途</w:t>
            </w:r>
          </w:p>
        </w:tc>
        <w:tc>
          <w:tcPr>
            <w:tcW w:w="850" w:type="dxa"/>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Align w:val="center"/>
          </w:tcPr>
          <w:p>
            <w:pPr>
              <w:jc w:val="center"/>
              <w:rPr>
                <w:rFonts w:ascii="宋体" w:hAnsi="宋体"/>
                <w:szCs w:val="21"/>
                <w:highlight w:val="none"/>
              </w:rPr>
            </w:pPr>
          </w:p>
        </w:tc>
        <w:tc>
          <w:tcPr>
            <w:tcW w:w="1064" w:type="dxa"/>
            <w:vAlign w:val="center"/>
          </w:tcPr>
          <w:p>
            <w:pPr>
              <w:jc w:val="center"/>
              <w:rPr>
                <w:rFonts w:ascii="宋体" w:hAnsi="宋体"/>
                <w:szCs w:val="21"/>
                <w:highlight w:val="none"/>
              </w:rPr>
            </w:pPr>
          </w:p>
        </w:tc>
        <w:tc>
          <w:tcPr>
            <w:tcW w:w="672" w:type="dxa"/>
            <w:vAlign w:val="center"/>
          </w:tcPr>
          <w:p>
            <w:pPr>
              <w:jc w:val="center"/>
              <w:rPr>
                <w:rFonts w:ascii="宋体" w:hAnsi="宋体"/>
                <w:szCs w:val="21"/>
                <w:highlight w:val="none"/>
              </w:rPr>
            </w:pPr>
          </w:p>
        </w:tc>
        <w:tc>
          <w:tcPr>
            <w:tcW w:w="1022"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76" w:type="dxa"/>
            <w:vAlign w:val="center"/>
          </w:tcPr>
          <w:p>
            <w:pPr>
              <w:jc w:val="center"/>
              <w:rPr>
                <w:rFonts w:ascii="宋体" w:hAnsi="宋体"/>
                <w:szCs w:val="21"/>
                <w:highlight w:val="none"/>
              </w:rPr>
            </w:pPr>
          </w:p>
        </w:tc>
        <w:tc>
          <w:tcPr>
            <w:tcW w:w="1659"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r>
    </w:tbl>
    <w:p>
      <w:pPr>
        <w:spacing w:line="420" w:lineRule="exact"/>
        <w:rPr>
          <w:rFonts w:ascii="宋体" w:hAnsi="宋体"/>
          <w:szCs w:val="21"/>
          <w:highlight w:val="none"/>
        </w:rPr>
      </w:pPr>
    </w:p>
    <w:p>
      <w:pPr>
        <w:spacing w:beforeLines="50" w:afterLines="50" w:line="420" w:lineRule="exact"/>
        <w:rPr>
          <w:rFonts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附表三：劳动力计划表</w:t>
      </w:r>
    </w:p>
    <w:p>
      <w:pPr>
        <w:wordWrap w:val="0"/>
        <w:spacing w:line="420" w:lineRule="exact"/>
        <w:jc w:val="right"/>
        <w:rPr>
          <w:rFonts w:ascii="黑体" w:hAnsi="宋体" w:eastAsia="黑体"/>
          <w:szCs w:val="21"/>
          <w:highlight w:val="none"/>
        </w:rPr>
      </w:pPr>
      <w:r>
        <w:rPr>
          <w:rFonts w:hint="eastAsia" w:ascii="黑体" w:hAnsi="宋体" w:eastAsia="黑体"/>
          <w:szCs w:val="21"/>
          <w:highlight w:val="none"/>
        </w:rPr>
        <w:t xml:space="preserve">单位：人   </w:t>
      </w:r>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9" w:type="dxa"/>
            <w:vAlign w:val="center"/>
          </w:tcPr>
          <w:p>
            <w:pPr>
              <w:jc w:val="center"/>
              <w:rPr>
                <w:rFonts w:ascii="宋体" w:hAnsi="宋体"/>
                <w:szCs w:val="21"/>
                <w:highlight w:val="none"/>
              </w:rPr>
            </w:pPr>
            <w:r>
              <w:rPr>
                <w:rFonts w:hint="eastAsia" w:ascii="宋体" w:hAnsi="宋体"/>
                <w:szCs w:val="21"/>
                <w:highlight w:val="none"/>
              </w:rPr>
              <w:t>工种</w:t>
            </w:r>
          </w:p>
        </w:tc>
        <w:tc>
          <w:tcPr>
            <w:tcW w:w="7796" w:type="dxa"/>
            <w:gridSpan w:val="7"/>
            <w:vAlign w:val="center"/>
          </w:tcPr>
          <w:p>
            <w:pPr>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jc w:val="center"/>
              <w:rPr>
                <w:rFonts w:ascii="宋体" w:hAnsi="宋体"/>
                <w:szCs w:val="21"/>
                <w:highlight w:val="none"/>
              </w:rPr>
            </w:pPr>
          </w:p>
        </w:tc>
        <w:tc>
          <w:tcPr>
            <w:tcW w:w="1418"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c>
          <w:tcPr>
            <w:tcW w:w="1063" w:type="dxa"/>
            <w:vAlign w:val="center"/>
          </w:tcPr>
          <w:p>
            <w:pPr>
              <w:jc w:val="center"/>
              <w:rPr>
                <w:rFonts w:ascii="宋体" w:hAnsi="宋体"/>
                <w:szCs w:val="21"/>
                <w:highlight w:val="none"/>
              </w:rPr>
            </w:pPr>
          </w:p>
        </w:tc>
      </w:tr>
    </w:tbl>
    <w:p>
      <w:pPr>
        <w:spacing w:line="420" w:lineRule="exact"/>
        <w:rPr>
          <w:rFonts w:ascii="宋体" w:hAnsi="宋体"/>
          <w:szCs w:val="21"/>
          <w:highlight w:val="none"/>
        </w:rPr>
      </w:pPr>
    </w:p>
    <w:p>
      <w:pPr>
        <w:spacing w:beforeLines="50" w:afterLines="100" w:line="420" w:lineRule="exact"/>
        <w:rPr>
          <w:rFonts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附表四：计划开、竣工日期和施工进度网络图</w:t>
      </w:r>
    </w:p>
    <w:p>
      <w:pPr>
        <w:spacing w:line="420" w:lineRule="exact"/>
        <w:ind w:firstLine="420" w:firstLineChars="200"/>
        <w:rPr>
          <w:rFonts w:ascii="宋体" w:hAnsi="宋体"/>
          <w:szCs w:val="21"/>
          <w:highlight w:val="none"/>
        </w:rPr>
      </w:pPr>
      <w:r>
        <w:rPr>
          <w:rFonts w:hint="eastAsia" w:ascii="宋体" w:hAnsi="宋体"/>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宋体" w:hAnsi="宋体"/>
          <w:szCs w:val="21"/>
          <w:highlight w:val="none"/>
        </w:rPr>
      </w:pPr>
      <w:r>
        <w:rPr>
          <w:rFonts w:hint="eastAsia" w:ascii="宋体" w:hAnsi="宋体"/>
          <w:szCs w:val="21"/>
          <w:highlight w:val="none"/>
        </w:rPr>
        <w:t>2．施工进度表可采用网络图和（或）横道图表示。</w:t>
      </w:r>
    </w:p>
    <w:p>
      <w:pPr>
        <w:spacing w:beforeLines="50" w:afterLines="100" w:line="420" w:lineRule="exact"/>
        <w:rPr>
          <w:rFonts w:ascii="宋体" w:hAnsi="宋体"/>
          <w:szCs w:val="21"/>
          <w:highlight w:val="none"/>
        </w:rPr>
      </w:pPr>
      <w:r>
        <w:rPr>
          <w:rFonts w:ascii="宋体" w:hAnsi="宋体"/>
          <w:szCs w:val="21"/>
          <w:highlight w:val="none"/>
        </w:rPr>
        <w:br w:type="page"/>
      </w:r>
      <w:r>
        <w:rPr>
          <w:rFonts w:hint="eastAsia" w:ascii="黑体" w:hAnsi="宋体" w:eastAsia="黑体"/>
          <w:sz w:val="24"/>
          <w:highlight w:val="none"/>
        </w:rPr>
        <w:t>附表五：施工总平面图</w:t>
      </w:r>
    </w:p>
    <w:p>
      <w:pPr>
        <w:spacing w:line="420" w:lineRule="exact"/>
        <w:ind w:firstLine="420" w:firstLineChars="200"/>
        <w:rPr>
          <w:rFonts w:ascii="宋体" w:hAns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beforeLines="50" w:afterLines="100" w:line="420" w:lineRule="exact"/>
        <w:rPr>
          <w:rFonts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附表六：临时用地表</w:t>
      </w:r>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Align w:val="center"/>
          </w:tcPr>
          <w:p>
            <w:pPr>
              <w:jc w:val="center"/>
              <w:rPr>
                <w:rFonts w:ascii="宋体" w:hAnsi="宋体"/>
                <w:szCs w:val="21"/>
                <w:highlight w:val="none"/>
              </w:rPr>
            </w:pPr>
            <w:r>
              <w:rPr>
                <w:rFonts w:hint="eastAsia" w:ascii="宋体" w:hAnsi="宋体"/>
                <w:szCs w:val="21"/>
                <w:highlight w:val="none"/>
              </w:rPr>
              <w:t>用  途</w:t>
            </w:r>
          </w:p>
        </w:tc>
        <w:tc>
          <w:tcPr>
            <w:tcW w:w="2079" w:type="dxa"/>
            <w:vAlign w:val="center"/>
          </w:tcPr>
          <w:p>
            <w:pPr>
              <w:jc w:val="center"/>
              <w:rPr>
                <w:rFonts w:ascii="宋体" w:hAnsi="宋体"/>
                <w:szCs w:val="21"/>
                <w:highlight w:val="none"/>
              </w:rPr>
            </w:pPr>
            <w:r>
              <w:rPr>
                <w:rFonts w:hint="eastAsia" w:ascii="宋体" w:hAnsi="宋体"/>
                <w:szCs w:val="21"/>
                <w:highlight w:val="none"/>
              </w:rPr>
              <w:t>面 积（平方米）</w:t>
            </w:r>
          </w:p>
        </w:tc>
        <w:tc>
          <w:tcPr>
            <w:tcW w:w="2079" w:type="dxa"/>
            <w:vAlign w:val="center"/>
          </w:tcPr>
          <w:p>
            <w:pPr>
              <w:jc w:val="center"/>
              <w:rPr>
                <w:rFonts w:ascii="宋体" w:hAnsi="宋体"/>
                <w:szCs w:val="21"/>
                <w:highlight w:val="none"/>
              </w:rPr>
            </w:pPr>
            <w:r>
              <w:rPr>
                <w:rFonts w:hint="eastAsia" w:ascii="宋体" w:hAnsi="宋体"/>
                <w:szCs w:val="21"/>
                <w:highlight w:val="none"/>
              </w:rPr>
              <w:t>位  置</w:t>
            </w:r>
          </w:p>
        </w:tc>
        <w:tc>
          <w:tcPr>
            <w:tcW w:w="2079" w:type="dxa"/>
            <w:vAlign w:val="center"/>
          </w:tcPr>
          <w:p>
            <w:pPr>
              <w:jc w:val="center"/>
              <w:rPr>
                <w:rFonts w:ascii="宋体" w:hAns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c>
          <w:tcPr>
            <w:tcW w:w="2079" w:type="dxa"/>
          </w:tcPr>
          <w:p>
            <w:pPr>
              <w:rPr>
                <w:rFonts w:ascii="宋体" w:hAnsi="宋体"/>
                <w:szCs w:val="21"/>
                <w:highlight w:val="none"/>
              </w:rPr>
            </w:pPr>
          </w:p>
        </w:tc>
      </w:tr>
    </w:tbl>
    <w:p>
      <w:pPr>
        <w:rPr>
          <w:rFonts w:hint="eastAsia"/>
          <w:highlight w:val="none"/>
          <w:lang w:val="en-US" w:eastAsia="zh-CN"/>
        </w:rPr>
      </w:pPr>
    </w:p>
    <w:p>
      <w:pPr>
        <w:numPr>
          <w:ilvl w:val="0"/>
          <w:numId w:val="6"/>
        </w:numPr>
        <w:ind w:left="0" w:leftChars="0" w:firstLine="0" w:firstLineChars="0"/>
        <w:rPr>
          <w:rFonts w:hint="eastAsia"/>
          <w:b/>
          <w:bCs/>
          <w:highlight w:val="none"/>
          <w:lang w:eastAsia="zh-CN"/>
        </w:rPr>
      </w:pPr>
      <w:r>
        <w:rPr>
          <w:rFonts w:hint="eastAsia"/>
          <w:b/>
          <w:bCs/>
          <w:highlight w:val="none"/>
          <w:lang w:eastAsia="zh-CN"/>
        </w:rPr>
        <w:t>设备部分</w:t>
      </w:r>
    </w:p>
    <w:p>
      <w:pPr>
        <w:numPr>
          <w:ilvl w:val="0"/>
          <w:numId w:val="0"/>
        </w:numPr>
        <w:ind w:leftChars="0"/>
        <w:rPr>
          <w:rFonts w:hint="eastAsia"/>
          <w:highlight w:val="none"/>
          <w:lang w:eastAsia="zh-CN"/>
        </w:rPr>
      </w:pPr>
      <w:r>
        <w:rPr>
          <w:rFonts w:hint="eastAsia"/>
          <w:highlight w:val="none"/>
          <w:lang w:eastAsia="zh-CN"/>
        </w:rPr>
        <w:t>服务方案（含交货、安装、调试等方案及投标人认为有必要的其它内容）</w:t>
      </w:r>
    </w:p>
    <w:p>
      <w:pPr>
        <w:rPr>
          <w:rFonts w:hint="eastAsia"/>
          <w:highlight w:val="none"/>
          <w:lang w:eastAsia="zh-CN"/>
        </w:rPr>
      </w:pPr>
      <w:r>
        <w:rPr>
          <w:rFonts w:hint="eastAsia"/>
          <w:highlight w:val="none"/>
          <w:lang w:eastAsia="zh-CN"/>
        </w:rPr>
        <w:br w:type="page"/>
      </w:r>
    </w:p>
    <w:p>
      <w:pPr>
        <w:pStyle w:val="4"/>
        <w:jc w:val="center"/>
        <w:rPr>
          <w:rFonts w:ascii="宋体" w:hAnsi="宋体"/>
          <w:sz w:val="32"/>
          <w:szCs w:val="22"/>
          <w:highlight w:val="none"/>
        </w:rPr>
      </w:pPr>
      <w:r>
        <w:rPr>
          <w:rFonts w:hint="eastAsia"/>
          <w:highlight w:val="none"/>
        </w:rPr>
        <w:br w:type="page"/>
      </w:r>
      <w:r>
        <w:rPr>
          <w:rFonts w:hint="eastAsia" w:ascii="宋体" w:hAnsi="宋体"/>
          <w:sz w:val="32"/>
          <w:szCs w:val="22"/>
          <w:highlight w:val="none"/>
          <w:lang w:eastAsia="zh-CN"/>
        </w:rPr>
        <w:t>八</w:t>
      </w:r>
      <w:r>
        <w:rPr>
          <w:rFonts w:hint="eastAsia" w:ascii="宋体" w:hAnsi="宋体"/>
          <w:sz w:val="32"/>
          <w:szCs w:val="22"/>
          <w:highlight w:val="none"/>
        </w:rPr>
        <w:t>、项目管理机构</w:t>
      </w:r>
    </w:p>
    <w:p>
      <w:pPr>
        <w:numPr>
          <w:ilvl w:val="0"/>
          <w:numId w:val="8"/>
        </w:numPr>
        <w:spacing w:afterLines="100" w:line="420" w:lineRule="exact"/>
        <w:rPr>
          <w:rFonts w:ascii="黑体" w:hAnsi="宋体" w:eastAsia="黑体"/>
          <w:sz w:val="24"/>
          <w:highlight w:val="none"/>
        </w:rPr>
      </w:pPr>
      <w:r>
        <w:rPr>
          <w:rFonts w:hint="eastAsia" w:ascii="黑体" w:hAnsi="宋体" w:eastAsia="黑体"/>
          <w:sz w:val="24"/>
          <w:highlight w:val="none"/>
        </w:rPr>
        <w:t>项目管理机构组成表</w:t>
      </w:r>
    </w:p>
    <w:tbl>
      <w:tblPr>
        <w:tblStyle w:val="3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pPr>
              <w:jc w:val="center"/>
              <w:rPr>
                <w:rFonts w:hint="eastAsia"/>
                <w:highlight w:val="none"/>
              </w:rPr>
            </w:pPr>
          </w:p>
          <w:p>
            <w:pPr>
              <w:bidi w:val="0"/>
              <w:jc w:val="left"/>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eastAsia="zh-CN"/>
              </w:rPr>
              <w:t>身份证号</w:t>
            </w:r>
          </w:p>
        </w:tc>
        <w:tc>
          <w:tcPr>
            <w:tcW w:w="709" w:type="dxa"/>
            <w:vMerge w:val="restart"/>
            <w:vAlign w:val="center"/>
          </w:tcPr>
          <w:p>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pPr>
              <w:jc w:val="center"/>
              <w:rPr>
                <w:rFonts w:ascii="宋体" w:hAnsi="宋体"/>
                <w:szCs w:val="21"/>
                <w:highlight w:val="none"/>
              </w:rPr>
            </w:pPr>
            <w:r>
              <w:rPr>
                <w:rFonts w:hint="eastAsia" w:ascii="宋体" w:hAnsi="宋体"/>
                <w:szCs w:val="21"/>
                <w:highlight w:val="none"/>
              </w:rPr>
              <w:t>执业或职业资格证明</w:t>
            </w:r>
          </w:p>
        </w:tc>
        <w:tc>
          <w:tcPr>
            <w:tcW w:w="708" w:type="dxa"/>
            <w:vMerge w:val="restart"/>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jc w:val="center"/>
              <w:rPr>
                <w:rFonts w:ascii="宋体" w:hAnsi="宋体"/>
                <w:szCs w:val="21"/>
                <w:highlight w:val="none"/>
              </w:rPr>
            </w:pPr>
          </w:p>
        </w:tc>
        <w:tc>
          <w:tcPr>
            <w:tcW w:w="709" w:type="dxa"/>
            <w:vMerge w:val="continue"/>
            <w:vAlign w:val="center"/>
          </w:tcPr>
          <w:p>
            <w:pPr>
              <w:jc w:val="center"/>
              <w:rPr>
                <w:rFonts w:ascii="宋体" w:hAnsi="宋体"/>
                <w:szCs w:val="21"/>
                <w:highlight w:val="none"/>
              </w:rPr>
            </w:pPr>
          </w:p>
        </w:tc>
        <w:tc>
          <w:tcPr>
            <w:tcW w:w="709" w:type="dxa"/>
            <w:vMerge w:val="continue"/>
            <w:vAlign w:val="center"/>
          </w:tcPr>
          <w:p>
            <w:pPr>
              <w:jc w:val="center"/>
              <w:rPr>
                <w:rFonts w:ascii="宋体" w:hAnsi="宋体"/>
                <w:szCs w:val="21"/>
                <w:highlight w:val="none"/>
              </w:rPr>
            </w:pPr>
          </w:p>
        </w:tc>
        <w:tc>
          <w:tcPr>
            <w:tcW w:w="709" w:type="dxa"/>
            <w:vMerge w:val="continue"/>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pPr>
              <w:jc w:val="center"/>
              <w:rPr>
                <w:rFonts w:ascii="宋体" w:hAnsi="宋体"/>
                <w:szCs w:val="21"/>
                <w:highlight w:val="none"/>
              </w:rPr>
            </w:pPr>
            <w:r>
              <w:rPr>
                <w:rFonts w:hint="eastAsia" w:ascii="宋体" w:hAnsi="宋体"/>
                <w:szCs w:val="21"/>
                <w:highlight w:val="none"/>
              </w:rPr>
              <w:t>级别</w:t>
            </w:r>
          </w:p>
        </w:tc>
        <w:tc>
          <w:tcPr>
            <w:tcW w:w="788" w:type="dxa"/>
            <w:vAlign w:val="center"/>
          </w:tcPr>
          <w:p>
            <w:pPr>
              <w:jc w:val="center"/>
              <w:rPr>
                <w:rFonts w:ascii="宋体" w:hAnsi="宋体"/>
                <w:szCs w:val="21"/>
                <w:highlight w:val="none"/>
              </w:rPr>
            </w:pPr>
            <w:r>
              <w:rPr>
                <w:rFonts w:hint="eastAsia" w:ascii="宋体" w:hAnsi="宋体"/>
                <w:szCs w:val="21"/>
                <w:highlight w:val="none"/>
              </w:rPr>
              <w:t>证号</w:t>
            </w:r>
          </w:p>
        </w:tc>
        <w:tc>
          <w:tcPr>
            <w:tcW w:w="850" w:type="dxa"/>
            <w:vAlign w:val="center"/>
          </w:tcPr>
          <w:p>
            <w:pPr>
              <w:jc w:val="center"/>
              <w:rPr>
                <w:rFonts w:ascii="宋体" w:hAnsi="宋体"/>
                <w:szCs w:val="21"/>
                <w:highlight w:val="none"/>
              </w:rPr>
            </w:pPr>
            <w:r>
              <w:rPr>
                <w:rFonts w:hint="eastAsia" w:ascii="宋体" w:hAnsi="宋体"/>
                <w:szCs w:val="21"/>
                <w:highlight w:val="none"/>
              </w:rPr>
              <w:t>专业</w:t>
            </w:r>
          </w:p>
        </w:tc>
        <w:tc>
          <w:tcPr>
            <w:tcW w:w="2127" w:type="dxa"/>
            <w:vAlign w:val="center"/>
          </w:tcPr>
          <w:p>
            <w:pPr>
              <w:jc w:val="center"/>
              <w:rPr>
                <w:rFonts w:ascii="宋体" w:hAnsi="宋体"/>
                <w:szCs w:val="21"/>
                <w:highlight w:val="none"/>
              </w:rPr>
            </w:pPr>
            <w:r>
              <w:rPr>
                <w:rFonts w:hint="eastAsia" w:ascii="宋体" w:hAnsi="宋体"/>
                <w:szCs w:val="21"/>
                <w:highlight w:val="none"/>
              </w:rPr>
              <w:t>养老保险</w:t>
            </w:r>
          </w:p>
        </w:tc>
        <w:tc>
          <w:tcPr>
            <w:tcW w:w="708" w:type="dxa"/>
            <w:vMerge w:val="continue"/>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709"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771" w:type="dxa"/>
            <w:vAlign w:val="center"/>
          </w:tcPr>
          <w:p>
            <w:pPr>
              <w:jc w:val="center"/>
              <w:rPr>
                <w:rFonts w:ascii="宋体" w:hAnsi="宋体"/>
                <w:szCs w:val="21"/>
                <w:highlight w:val="none"/>
              </w:rPr>
            </w:pPr>
          </w:p>
        </w:tc>
        <w:tc>
          <w:tcPr>
            <w:tcW w:w="788" w:type="dxa"/>
            <w:vAlign w:val="center"/>
          </w:tcPr>
          <w:p>
            <w:pPr>
              <w:jc w:val="center"/>
              <w:rPr>
                <w:rFonts w:ascii="宋体" w:hAnsi="宋体"/>
                <w:szCs w:val="21"/>
                <w:highlight w:val="none"/>
              </w:rPr>
            </w:pPr>
          </w:p>
        </w:tc>
        <w:tc>
          <w:tcPr>
            <w:tcW w:w="850" w:type="dxa"/>
            <w:vAlign w:val="center"/>
          </w:tcPr>
          <w:p>
            <w:pPr>
              <w:jc w:val="center"/>
              <w:rPr>
                <w:rFonts w:ascii="宋体" w:hAnsi="宋体"/>
                <w:szCs w:val="21"/>
                <w:highlight w:val="none"/>
              </w:rPr>
            </w:pPr>
          </w:p>
        </w:tc>
        <w:tc>
          <w:tcPr>
            <w:tcW w:w="2127" w:type="dxa"/>
            <w:vAlign w:val="center"/>
          </w:tcPr>
          <w:p>
            <w:pPr>
              <w:jc w:val="center"/>
              <w:rPr>
                <w:rFonts w:ascii="宋体" w:hAnsi="宋体"/>
                <w:szCs w:val="21"/>
                <w:highlight w:val="none"/>
              </w:rPr>
            </w:pPr>
          </w:p>
        </w:tc>
        <w:tc>
          <w:tcPr>
            <w:tcW w:w="708" w:type="dxa"/>
            <w:vAlign w:val="center"/>
          </w:tcPr>
          <w:p>
            <w:pPr>
              <w:jc w:val="center"/>
              <w:rPr>
                <w:rFonts w:ascii="宋体" w:hAnsi="宋体"/>
                <w:szCs w:val="21"/>
                <w:highlight w:val="none"/>
              </w:rPr>
            </w:pPr>
          </w:p>
        </w:tc>
      </w:tr>
    </w:tbl>
    <w:p>
      <w:pPr>
        <w:spacing w:beforeLines="50" w:afterLines="100" w:line="420" w:lineRule="exact"/>
        <w:rPr>
          <w:rFonts w:ascii="黑体" w:hAnsi="宋体" w:eastAsia="黑体"/>
          <w:sz w:val="24"/>
          <w:highlight w:val="none"/>
        </w:rPr>
      </w:pPr>
      <w:r>
        <w:rPr>
          <w:rFonts w:hint="eastAsia" w:ascii="宋体" w:hAnsi="宋体"/>
          <w:szCs w:val="21"/>
          <w:highlight w:val="none"/>
        </w:rPr>
        <w:t>本表仅作为合同谈判依据，不作为评标依据。</w:t>
      </w:r>
      <w:r>
        <w:rPr>
          <w:rFonts w:ascii="宋体" w:hAnsi="宋体"/>
          <w:szCs w:val="21"/>
          <w:highlight w:val="none"/>
        </w:rPr>
        <w:br w:type="page"/>
      </w:r>
      <w:r>
        <w:rPr>
          <w:rFonts w:hint="eastAsia" w:ascii="黑体" w:hAnsi="宋体" w:eastAsia="黑体"/>
          <w:sz w:val="24"/>
          <w:highlight w:val="none"/>
        </w:rPr>
        <w:t>（二）主要人员简历表</w:t>
      </w:r>
    </w:p>
    <w:p>
      <w:pPr>
        <w:spacing w:line="420" w:lineRule="exact"/>
        <w:rPr>
          <w:rFonts w:ascii="黑体" w:hAnsi="宋体" w:eastAsia="黑体"/>
          <w:szCs w:val="21"/>
          <w:highlight w:val="none"/>
        </w:rPr>
      </w:pPr>
      <w:r>
        <w:rPr>
          <w:rFonts w:hint="eastAsia" w:ascii="黑体" w:hAnsi="宋体" w:eastAsia="黑体"/>
          <w:szCs w:val="21"/>
          <w:highlight w:val="none"/>
        </w:rPr>
        <w:t>附1：项目经理简历表</w:t>
      </w:r>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highlight w:val="none"/>
              </w:rPr>
            </w:pPr>
            <w:r>
              <w:rPr>
                <w:rFonts w:hint="eastAsia" w:ascii="宋体" w:hAnsi="宋体"/>
                <w:szCs w:val="21"/>
                <w:highlight w:val="none"/>
              </w:rPr>
              <w:t>姓  名</w:t>
            </w: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r>
              <w:rPr>
                <w:rFonts w:hint="eastAsia" w:ascii="宋体" w:hAnsi="宋体"/>
                <w:szCs w:val="21"/>
                <w:highlight w:val="none"/>
              </w:rPr>
              <w:t>年  龄</w:t>
            </w: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r>
              <w:rPr>
                <w:rFonts w:hint="eastAsia" w:ascii="宋体" w:hAnsi="宋体"/>
                <w:szCs w:val="21"/>
                <w:highlight w:val="none"/>
              </w:rPr>
              <w:t>学历</w:t>
            </w: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highlight w:val="none"/>
              </w:rPr>
            </w:pPr>
            <w:r>
              <w:rPr>
                <w:rFonts w:hint="eastAsia" w:ascii="宋体" w:hAnsi="宋体"/>
                <w:szCs w:val="21"/>
                <w:highlight w:val="none"/>
              </w:rPr>
              <w:t>职  称</w:t>
            </w: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r>
              <w:rPr>
                <w:rFonts w:hint="eastAsia" w:ascii="宋体" w:hAnsi="宋体"/>
                <w:szCs w:val="21"/>
                <w:highlight w:val="none"/>
              </w:rPr>
              <w:t>职  务</w:t>
            </w: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r>
              <w:rPr>
                <w:rFonts w:hint="eastAsia" w:ascii="宋体" w:hAnsi="宋体"/>
                <w:szCs w:val="21"/>
                <w:highlight w:val="none"/>
              </w:rPr>
              <w:t>拟在本工程任职</w:t>
            </w:r>
          </w:p>
        </w:tc>
        <w:tc>
          <w:tcPr>
            <w:tcW w:w="2126" w:type="dxa"/>
            <w:vAlign w:val="center"/>
          </w:tcPr>
          <w:p>
            <w:pPr>
              <w:jc w:val="center"/>
              <w:rPr>
                <w:rFonts w:ascii="宋体" w:hAnsi="宋体"/>
                <w:szCs w:val="21"/>
                <w:highlight w:val="none"/>
              </w:rPr>
            </w:pPr>
            <w:r>
              <w:rPr>
                <w:rFonts w:hint="eastAsia" w:ascii="宋体" w:hAnsi="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pPr>
              <w:jc w:val="center"/>
              <w:rPr>
                <w:rFonts w:ascii="宋体" w:hAnsi="宋体"/>
                <w:szCs w:val="21"/>
                <w:highlight w:val="none"/>
              </w:rPr>
            </w:pPr>
            <w:r>
              <w:rPr>
                <w:rFonts w:hint="eastAsia" w:ascii="宋体" w:hAnsi="宋体"/>
                <w:szCs w:val="21"/>
                <w:highlight w:val="none"/>
              </w:rPr>
              <w:t>建造师专业</w:t>
            </w: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Cs w:val="21"/>
                <w:highlight w:val="none"/>
              </w:rPr>
            </w:pPr>
            <w:r>
              <w:rPr>
                <w:rFonts w:hint="eastAsia" w:ascii="宋体" w:hAnsi="宋体"/>
                <w:szCs w:val="21"/>
                <w:highlight w:val="none"/>
              </w:rPr>
              <w:t>安全生产考核合格证书</w:t>
            </w:r>
          </w:p>
        </w:tc>
        <w:tc>
          <w:tcPr>
            <w:tcW w:w="5244" w:type="dxa"/>
            <w:gridSpan w:val="3"/>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highlight w:val="none"/>
              </w:rPr>
            </w:pPr>
            <w:r>
              <w:rPr>
                <w:rFonts w:hint="eastAsia" w:ascii="宋体" w:hAnsi="宋体"/>
                <w:szCs w:val="21"/>
                <w:highlight w:val="none"/>
              </w:rPr>
              <w:t>毕业学校</w:t>
            </w:r>
          </w:p>
        </w:tc>
        <w:tc>
          <w:tcPr>
            <w:tcW w:w="7413" w:type="dxa"/>
            <w:gridSpan w:val="5"/>
            <w:vAlign w:val="center"/>
          </w:tcPr>
          <w:p>
            <w:pPr>
              <w:ind w:firstLine="840" w:firstLineChars="400"/>
              <w:rPr>
                <w:rFonts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05" w:type="dxa"/>
            <w:gridSpan w:val="6"/>
            <w:vAlign w:val="center"/>
          </w:tcPr>
          <w:p>
            <w:pPr>
              <w:jc w:val="center"/>
              <w:rPr>
                <w:rFonts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pPr>
              <w:jc w:val="center"/>
              <w:rPr>
                <w:rFonts w:ascii="宋体" w:hAnsi="宋体"/>
                <w:szCs w:val="21"/>
                <w:highlight w:val="none"/>
              </w:rPr>
            </w:pPr>
            <w:r>
              <w:rPr>
                <w:rFonts w:hint="eastAsia" w:ascii="宋体" w:hAnsi="宋体"/>
                <w:szCs w:val="21"/>
                <w:highlight w:val="none"/>
              </w:rPr>
              <w:t>工程概况说明</w:t>
            </w:r>
          </w:p>
        </w:tc>
        <w:tc>
          <w:tcPr>
            <w:tcW w:w="2126" w:type="dxa"/>
            <w:vAlign w:val="center"/>
          </w:tcPr>
          <w:p>
            <w:pPr>
              <w:jc w:val="center"/>
              <w:rPr>
                <w:rFonts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highlight w:val="none"/>
              </w:rPr>
            </w:pPr>
          </w:p>
        </w:tc>
        <w:tc>
          <w:tcPr>
            <w:tcW w:w="1035" w:type="dxa"/>
            <w:vAlign w:val="center"/>
          </w:tcPr>
          <w:p>
            <w:pPr>
              <w:jc w:val="center"/>
              <w:rPr>
                <w:rFonts w:ascii="宋体" w:hAnsi="宋体"/>
                <w:szCs w:val="21"/>
                <w:highlight w:val="none"/>
              </w:rPr>
            </w:pPr>
          </w:p>
        </w:tc>
        <w:tc>
          <w:tcPr>
            <w:tcW w:w="1134" w:type="dxa"/>
            <w:vAlign w:val="center"/>
          </w:tcPr>
          <w:p>
            <w:pPr>
              <w:jc w:val="center"/>
              <w:rPr>
                <w:rFonts w:ascii="宋体" w:hAnsi="宋体"/>
                <w:szCs w:val="21"/>
                <w:highlight w:val="none"/>
              </w:rPr>
            </w:pPr>
          </w:p>
        </w:tc>
        <w:tc>
          <w:tcPr>
            <w:tcW w:w="1275" w:type="dxa"/>
            <w:vAlign w:val="center"/>
          </w:tcPr>
          <w:p>
            <w:pPr>
              <w:jc w:val="center"/>
              <w:rPr>
                <w:rFonts w:ascii="宋体" w:hAnsi="宋体"/>
                <w:szCs w:val="21"/>
                <w:highlight w:val="none"/>
              </w:rPr>
            </w:pPr>
          </w:p>
        </w:tc>
        <w:tc>
          <w:tcPr>
            <w:tcW w:w="1843" w:type="dxa"/>
            <w:vAlign w:val="center"/>
          </w:tcPr>
          <w:p>
            <w:pPr>
              <w:jc w:val="center"/>
              <w:rPr>
                <w:rFonts w:ascii="宋体" w:hAnsi="宋体"/>
                <w:szCs w:val="21"/>
                <w:highlight w:val="none"/>
              </w:rPr>
            </w:pPr>
          </w:p>
        </w:tc>
        <w:tc>
          <w:tcPr>
            <w:tcW w:w="2126" w:type="dxa"/>
            <w:vAlign w:val="center"/>
          </w:tcPr>
          <w:p>
            <w:pPr>
              <w:jc w:val="center"/>
              <w:rPr>
                <w:rFonts w:ascii="宋体" w:hAnsi="宋体"/>
                <w:szCs w:val="21"/>
                <w:highlight w:val="none"/>
              </w:rPr>
            </w:pPr>
          </w:p>
        </w:tc>
      </w:tr>
    </w:tbl>
    <w:p>
      <w:pPr>
        <w:spacing w:line="420" w:lineRule="exact"/>
        <w:rPr>
          <w:rFonts w:ascii="宋体" w:hAnsi="宋体"/>
          <w:szCs w:val="21"/>
          <w:highlight w:val="none"/>
        </w:rPr>
      </w:pPr>
      <w:r>
        <w:rPr>
          <w:rFonts w:hint="eastAsia" w:ascii="宋体" w:hAnsi="宋体"/>
          <w:szCs w:val="21"/>
          <w:highlight w:val="none"/>
        </w:rPr>
        <w:t>本表仅作为合同谈判依据，不作为评标依据。</w:t>
      </w:r>
    </w:p>
    <w:p>
      <w:pPr>
        <w:spacing w:line="420" w:lineRule="exact"/>
        <w:rPr>
          <w:rFonts w:ascii="黑体" w:hAnsi="宋体" w:eastAsia="黑体"/>
          <w:szCs w:val="21"/>
          <w:highlight w:val="none"/>
        </w:rPr>
      </w:pPr>
      <w:r>
        <w:rPr>
          <w:rFonts w:ascii="宋体" w:hAnsi="宋体"/>
          <w:szCs w:val="21"/>
          <w:highlight w:val="none"/>
        </w:rPr>
        <w:br w:type="page"/>
      </w:r>
      <w:r>
        <w:rPr>
          <w:rFonts w:hint="eastAsia" w:ascii="宋体" w:hAnsi="宋体"/>
          <w:b/>
          <w:bCs/>
          <w:szCs w:val="21"/>
          <w:highlight w:val="none"/>
        </w:rPr>
        <w:t>附2：主要项目管理人员简历表</w:t>
      </w:r>
    </w:p>
    <w:tbl>
      <w:tblPr>
        <w:tblStyle w:val="3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岗位名称</w:t>
            </w:r>
          </w:p>
        </w:tc>
        <w:tc>
          <w:tcPr>
            <w:tcW w:w="4360" w:type="dxa"/>
            <w:vAlign w:val="center"/>
          </w:tcPr>
          <w:p>
            <w:pPr>
              <w:spacing w:line="6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姓名</w:t>
            </w:r>
          </w:p>
        </w:tc>
        <w:tc>
          <w:tcPr>
            <w:tcW w:w="4360" w:type="dxa"/>
            <w:vAlign w:val="center"/>
          </w:tcPr>
          <w:p>
            <w:pPr>
              <w:spacing w:line="640" w:lineRule="exact"/>
              <w:rPr>
                <w:rFonts w:ascii="宋体" w:hAnsi="宋体"/>
                <w:szCs w:val="21"/>
                <w:highlight w:val="none"/>
              </w:rPr>
            </w:pPr>
            <w:r>
              <w:rPr>
                <w:rFonts w:hint="eastAsia" w:ascii="宋体" w:hAnsi="宋体"/>
                <w:szCs w:val="21"/>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性    别</w:t>
            </w:r>
          </w:p>
        </w:tc>
        <w:tc>
          <w:tcPr>
            <w:tcW w:w="4360" w:type="dxa"/>
            <w:vAlign w:val="center"/>
          </w:tcPr>
          <w:p>
            <w:pPr>
              <w:spacing w:line="640" w:lineRule="exact"/>
              <w:rPr>
                <w:rFonts w:ascii="宋体" w:hAnsi="宋体"/>
                <w:szCs w:val="21"/>
                <w:highlight w:val="none"/>
              </w:rPr>
            </w:pPr>
            <w:r>
              <w:rPr>
                <w:rFonts w:hint="eastAsia" w:ascii="宋体" w:hAnsi="宋体"/>
                <w:szCs w:val="21"/>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学历和专业</w:t>
            </w:r>
          </w:p>
        </w:tc>
        <w:tc>
          <w:tcPr>
            <w:tcW w:w="4360" w:type="dxa"/>
            <w:vAlign w:val="center"/>
          </w:tcPr>
          <w:p>
            <w:pPr>
              <w:spacing w:line="640" w:lineRule="exact"/>
              <w:rPr>
                <w:rFonts w:ascii="宋体" w:hAnsi="宋体"/>
                <w:szCs w:val="21"/>
                <w:highlight w:val="none"/>
              </w:rPr>
            </w:pPr>
            <w:r>
              <w:rPr>
                <w:rFonts w:hint="eastAsia" w:ascii="宋体" w:hAnsi="宋体"/>
                <w:szCs w:val="21"/>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 xml:space="preserve">拥有的执业资格  </w:t>
            </w:r>
          </w:p>
        </w:tc>
        <w:tc>
          <w:tcPr>
            <w:tcW w:w="4360" w:type="dxa"/>
            <w:vAlign w:val="center"/>
          </w:tcPr>
          <w:p>
            <w:pPr>
              <w:spacing w:line="640" w:lineRule="exact"/>
              <w:rPr>
                <w:rFonts w:ascii="宋体" w:hAnsi="宋体"/>
                <w:szCs w:val="21"/>
                <w:highlight w:val="none"/>
              </w:rPr>
            </w:pPr>
            <w:r>
              <w:rPr>
                <w:rFonts w:hint="eastAsia" w:ascii="宋体" w:hAnsi="宋体"/>
                <w:szCs w:val="21"/>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360" w:type="dxa"/>
            <w:vAlign w:val="center"/>
          </w:tcPr>
          <w:p>
            <w:pPr>
              <w:spacing w:line="640" w:lineRule="exact"/>
              <w:rPr>
                <w:rFonts w:ascii="宋体" w:hAnsi="宋体"/>
                <w:szCs w:val="21"/>
                <w:highlight w:val="none"/>
              </w:rPr>
            </w:pPr>
            <w:r>
              <w:rPr>
                <w:rFonts w:hint="eastAsia" w:ascii="宋体" w:hAnsi="宋体"/>
                <w:szCs w:val="21"/>
                <w:highlight w:val="none"/>
              </w:rPr>
              <w:t xml:space="preserve">执业资格证书编号  </w:t>
            </w:r>
          </w:p>
        </w:tc>
        <w:tc>
          <w:tcPr>
            <w:tcW w:w="4360" w:type="dxa"/>
            <w:vAlign w:val="center"/>
          </w:tcPr>
          <w:p>
            <w:pPr>
              <w:spacing w:line="640" w:lineRule="exact"/>
              <w:rPr>
                <w:rFonts w:ascii="宋体" w:hAnsi="宋体"/>
                <w:szCs w:val="21"/>
                <w:highlight w:val="none"/>
              </w:rPr>
            </w:pPr>
            <w:r>
              <w:rPr>
                <w:rFonts w:hint="eastAsia" w:ascii="宋体" w:hAnsi="宋体"/>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9" w:hRule="atLeast"/>
        </w:trPr>
        <w:tc>
          <w:tcPr>
            <w:tcW w:w="8720" w:type="dxa"/>
            <w:gridSpan w:val="2"/>
          </w:tcPr>
          <w:p>
            <w:pPr>
              <w:spacing w:line="640" w:lineRule="exact"/>
              <w:rPr>
                <w:rFonts w:ascii="宋体" w:hAnsi="宋体"/>
                <w:szCs w:val="21"/>
                <w:highlight w:val="none"/>
              </w:rPr>
            </w:pPr>
            <w:r>
              <w:rPr>
                <w:rFonts w:hint="eastAsia" w:ascii="宋体" w:hAnsi="宋体"/>
                <w:szCs w:val="21"/>
                <w:highlight w:val="none"/>
              </w:rPr>
              <w:t>主要工作业绩及担任的主要工作:</w:t>
            </w:r>
          </w:p>
        </w:tc>
      </w:tr>
    </w:tbl>
    <w:p>
      <w:pPr>
        <w:rPr>
          <w:rFonts w:ascii="黑体" w:hAnsi="宋体" w:eastAsia="黑体"/>
          <w:szCs w:val="21"/>
          <w:highlight w:val="none"/>
        </w:rPr>
      </w:pPr>
      <w:r>
        <w:rPr>
          <w:rFonts w:hint="eastAsia" w:ascii="宋体" w:hAnsi="宋体"/>
          <w:szCs w:val="21"/>
          <w:highlight w:val="none"/>
        </w:rPr>
        <w:t>本表仅作为合同谈判依据，不作为评标依据。</w:t>
      </w:r>
      <w:r>
        <w:rPr>
          <w:rFonts w:hint="eastAsia" w:ascii="黑体" w:hAnsi="宋体" w:eastAsia="黑体"/>
          <w:szCs w:val="21"/>
          <w:highlight w:val="none"/>
        </w:rPr>
        <w:br w:type="page"/>
      </w:r>
      <w:r>
        <w:rPr>
          <w:rFonts w:hint="eastAsia" w:ascii="黑体" w:hAnsi="宋体" w:eastAsia="黑体"/>
          <w:szCs w:val="21"/>
          <w:highlight w:val="none"/>
        </w:rPr>
        <w:t>附3：承诺书</w:t>
      </w:r>
    </w:p>
    <w:p>
      <w:pPr>
        <w:jc w:val="center"/>
        <w:rPr>
          <w:b/>
          <w:bCs/>
          <w:sz w:val="32"/>
          <w:szCs w:val="40"/>
          <w:highlight w:val="none"/>
        </w:rPr>
      </w:pPr>
      <w:bookmarkStart w:id="340" w:name="_Toc28772"/>
      <w:r>
        <w:rPr>
          <w:rFonts w:hint="eastAsia"/>
          <w:b/>
          <w:bCs/>
          <w:sz w:val="32"/>
          <w:szCs w:val="40"/>
          <w:highlight w:val="none"/>
        </w:rPr>
        <w:t>承诺书</w:t>
      </w:r>
      <w:bookmarkEnd w:id="340"/>
    </w:p>
    <w:p>
      <w:pPr>
        <w:spacing w:afterLines="100" w:line="440" w:lineRule="exact"/>
        <w:rPr>
          <w:rFonts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（招标人名称）：</w:t>
      </w:r>
    </w:p>
    <w:p>
      <w:pPr>
        <w:spacing w:line="440" w:lineRule="exact"/>
        <w:ind w:firstLine="420" w:firstLineChars="200"/>
        <w:rPr>
          <w:rFonts w:ascii="宋体" w:hAnsi="宋体"/>
          <w:szCs w:val="21"/>
          <w:highlight w:val="none"/>
        </w:rPr>
      </w:pPr>
      <w:r>
        <w:rPr>
          <w:rFonts w:hint="eastAsia" w:ascii="宋体" w:hAnsi="宋体"/>
          <w:szCs w:val="21"/>
          <w:highlight w:val="none"/>
        </w:rPr>
        <w:t>根据贵方要求和有关规定，我们对项目经理无在建事项在此做出如下郑重声明和承诺：</w:t>
      </w:r>
    </w:p>
    <w:p>
      <w:pPr>
        <w:spacing w:line="440" w:lineRule="exact"/>
        <w:ind w:firstLine="420" w:firstLineChars="200"/>
        <w:rPr>
          <w:rFonts w:ascii="宋体" w:hAnsi="宋体"/>
          <w:szCs w:val="21"/>
          <w:highlight w:val="none"/>
        </w:rPr>
      </w:pPr>
      <w:r>
        <w:rPr>
          <w:rFonts w:hint="eastAsia" w:ascii="宋体" w:hAnsi="宋体"/>
          <w:szCs w:val="21"/>
          <w:highlight w:val="none"/>
        </w:rPr>
        <w:t>1、我方拟派往</w:t>
      </w:r>
      <w:r>
        <w:rPr>
          <w:rFonts w:hint="eastAsia" w:ascii="宋体" w:hAnsi="宋体"/>
          <w:position w:val="-7"/>
          <w:szCs w:val="21"/>
          <w:highlight w:val="none"/>
        </w:rPr>
        <w:t>————</w:t>
      </w:r>
      <w:r>
        <w:rPr>
          <w:rFonts w:hint="eastAsia" w:ascii="宋体" w:hAnsi="宋体"/>
          <w:szCs w:val="21"/>
          <w:highlight w:val="none"/>
        </w:rPr>
        <w:t xml:space="preserve">（项目名称）的项目经理是 </w:t>
      </w:r>
      <w:r>
        <w:rPr>
          <w:rFonts w:hint="eastAsia" w:ascii="宋体" w:hAnsi="宋体"/>
          <w:position w:val="-7"/>
          <w:szCs w:val="21"/>
          <w:highlight w:val="none"/>
        </w:rPr>
        <w:t>————</w:t>
      </w:r>
      <w:r>
        <w:rPr>
          <w:rFonts w:hint="eastAsia" w:ascii="宋体" w:hAnsi="宋体"/>
          <w:szCs w:val="21"/>
          <w:highlight w:val="none"/>
        </w:rPr>
        <w:t>（姓名），专业和级别是</w:t>
      </w:r>
      <w:r>
        <w:rPr>
          <w:rFonts w:hint="eastAsia" w:ascii="宋体" w:hAnsi="宋体"/>
          <w:position w:val="-7"/>
          <w:szCs w:val="21"/>
          <w:highlight w:val="none"/>
        </w:rPr>
        <w:t>————</w:t>
      </w:r>
      <w:r>
        <w:rPr>
          <w:rFonts w:hint="eastAsia" w:ascii="宋体" w:hAnsi="宋体"/>
          <w:szCs w:val="21"/>
          <w:highlight w:val="none"/>
        </w:rPr>
        <w:t>注册证编号是</w:t>
      </w:r>
      <w:r>
        <w:rPr>
          <w:rFonts w:hint="eastAsia" w:ascii="宋体" w:hAnsi="宋体"/>
          <w:position w:val="-7"/>
          <w:szCs w:val="21"/>
          <w:highlight w:val="none"/>
        </w:rPr>
        <w:t>————</w:t>
      </w:r>
      <w:r>
        <w:rPr>
          <w:rFonts w:hint="eastAsia" w:ascii="宋体" w:hAnsi="宋体"/>
          <w:szCs w:val="21"/>
          <w:highlight w:val="none"/>
        </w:rPr>
        <w:t>安全考核合格证编号是</w:t>
      </w:r>
      <w:r>
        <w:rPr>
          <w:rFonts w:hint="eastAsia" w:ascii="宋体" w:hAnsi="宋体"/>
          <w:position w:val="-7"/>
          <w:szCs w:val="21"/>
          <w:highlight w:val="none"/>
        </w:rPr>
        <w:t>————</w:t>
      </w:r>
      <w:r>
        <w:rPr>
          <w:rFonts w:hint="eastAsia" w:ascii="宋体" w:hAnsi="宋体"/>
          <w:szCs w:val="21"/>
          <w:highlight w:val="none"/>
        </w:rPr>
        <w:t>。</w:t>
      </w:r>
    </w:p>
    <w:p>
      <w:pPr>
        <w:spacing w:line="440" w:lineRule="exact"/>
        <w:ind w:firstLine="420" w:firstLineChars="200"/>
        <w:rPr>
          <w:rFonts w:ascii="宋体" w:hAnsi="宋体"/>
          <w:szCs w:val="21"/>
          <w:highlight w:val="none"/>
        </w:rPr>
      </w:pPr>
      <w:r>
        <w:rPr>
          <w:rFonts w:hint="eastAsia" w:ascii="宋体" w:hAnsi="宋体"/>
          <w:szCs w:val="21"/>
          <w:highlight w:val="none"/>
        </w:rPr>
        <w:t>2、我在现阶段没有担任任何在施建设工程项目的项目经理，也无近日与本项目冲突的中标或正在进行合同谈判的项目。</w:t>
      </w:r>
    </w:p>
    <w:p>
      <w:pPr>
        <w:spacing w:line="440" w:lineRule="exact"/>
        <w:ind w:firstLine="420" w:firstLineChars="200"/>
        <w:rPr>
          <w:rFonts w:ascii="宋体" w:hAnsi="宋体"/>
          <w:szCs w:val="21"/>
          <w:highlight w:val="none"/>
        </w:rPr>
      </w:pPr>
      <w:r>
        <w:rPr>
          <w:rFonts w:hint="eastAsia" w:ascii="宋体" w:hAnsi="宋体"/>
          <w:szCs w:val="21"/>
          <w:highlight w:val="none"/>
        </w:rPr>
        <w:t>3、我保证上述信息的真实和准确，并愿意承担因我就此弄虚作假所引起的一切不良和法律后果，包括上报证件的主管部门。</w:t>
      </w:r>
    </w:p>
    <w:p>
      <w:pPr>
        <w:spacing w:line="440" w:lineRule="exact"/>
        <w:ind w:firstLine="420" w:firstLineChars="200"/>
        <w:rPr>
          <w:rFonts w:ascii="宋体" w:hAnsi="宋体"/>
          <w:szCs w:val="21"/>
          <w:highlight w:val="none"/>
        </w:rPr>
      </w:pPr>
      <w:r>
        <w:rPr>
          <w:rFonts w:hint="eastAsia" w:ascii="宋体" w:hAnsi="宋体"/>
          <w:szCs w:val="21"/>
          <w:highlight w:val="none"/>
        </w:rPr>
        <w:t>4、公司也保证上述信息的真实和准确，并愿意承担因我方就此弄虚作假所引起的一切不良和法律后果，以及招标人相应的没收、处罚或向招标人赔偿等经济责任。</w:t>
      </w:r>
    </w:p>
    <w:p>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pPr>
        <w:spacing w:line="440" w:lineRule="exact"/>
        <w:ind w:firstLine="420" w:firstLineChars="200"/>
        <w:rPr>
          <w:rFonts w:ascii="宋体" w:hAnsi="宋体"/>
          <w:szCs w:val="21"/>
          <w:highlight w:val="none"/>
        </w:rPr>
      </w:pPr>
    </w:p>
    <w:p>
      <w:pPr>
        <w:spacing w:line="440" w:lineRule="exact"/>
        <w:ind w:firstLine="420" w:firstLineChars="200"/>
        <w:rPr>
          <w:rFonts w:ascii="宋体" w:hAnsi="宋体"/>
          <w:szCs w:val="21"/>
          <w:highlight w:val="none"/>
        </w:rPr>
      </w:pPr>
    </w:p>
    <w:p>
      <w:pPr>
        <w:spacing w:line="440" w:lineRule="exact"/>
        <w:rPr>
          <w:rFonts w:ascii="宋体" w:hAnsi="宋体"/>
          <w:sz w:val="21"/>
          <w:szCs w:val="21"/>
          <w:highlight w:val="none"/>
        </w:rPr>
      </w:pPr>
    </w:p>
    <w:p>
      <w:pPr>
        <w:autoSpaceDE w:val="0"/>
        <w:autoSpaceDN w:val="0"/>
        <w:adjustRightInd w:val="0"/>
        <w:ind w:right="-20" w:firstLine="420" w:firstLineChars="200"/>
        <w:jc w:val="left"/>
        <w:rPr>
          <w:rFonts w:ascii="宋体" w:hAnsi="宋体" w:cs="MingLiU"/>
          <w:kern w:val="0"/>
          <w:sz w:val="21"/>
          <w:szCs w:val="21"/>
          <w:highlight w:val="none"/>
        </w:rPr>
      </w:pPr>
      <w:r>
        <w:rPr>
          <w:rFonts w:hint="eastAsia" w:ascii="宋体" w:hAnsi="宋体" w:cs="MingLiU"/>
          <w:kern w:val="0"/>
          <w:sz w:val="21"/>
          <w:szCs w:val="21"/>
          <w:highlight w:val="none"/>
        </w:rPr>
        <w:t>投标人：（签章）</w:t>
      </w:r>
    </w:p>
    <w:p>
      <w:pPr>
        <w:autoSpaceDE w:val="0"/>
        <w:autoSpaceDN w:val="0"/>
        <w:adjustRightInd w:val="0"/>
        <w:ind w:right="-20" w:firstLine="420" w:firstLineChars="200"/>
        <w:jc w:val="left"/>
        <w:rPr>
          <w:rFonts w:ascii="宋体" w:hAnsi="宋体" w:cs="MingLiU"/>
          <w:kern w:val="0"/>
          <w:sz w:val="21"/>
          <w:szCs w:val="21"/>
          <w:highlight w:val="none"/>
        </w:rPr>
      </w:pPr>
    </w:p>
    <w:p>
      <w:pPr>
        <w:autoSpaceDE w:val="0"/>
        <w:autoSpaceDN w:val="0"/>
        <w:adjustRightInd w:val="0"/>
        <w:ind w:right="-20" w:firstLine="420" w:firstLineChars="200"/>
        <w:jc w:val="left"/>
        <w:rPr>
          <w:rFonts w:ascii="宋体" w:hAnsi="宋体" w:cs="MingLiU"/>
          <w:kern w:val="0"/>
          <w:sz w:val="21"/>
          <w:szCs w:val="21"/>
          <w:highlight w:val="none"/>
        </w:rPr>
      </w:pPr>
      <w:r>
        <w:rPr>
          <w:rFonts w:hint="eastAsia" w:ascii="宋体" w:hAnsi="宋体" w:cs="MingLiU"/>
          <w:kern w:val="0"/>
          <w:sz w:val="21"/>
          <w:szCs w:val="21"/>
          <w:highlight w:val="none"/>
        </w:rPr>
        <w:t>法定代表人：（签字章）</w:t>
      </w:r>
    </w:p>
    <w:p>
      <w:pPr>
        <w:autoSpaceDE w:val="0"/>
        <w:autoSpaceDN w:val="0"/>
        <w:adjustRightInd w:val="0"/>
        <w:ind w:right="-20" w:firstLine="420" w:firstLineChars="200"/>
        <w:jc w:val="left"/>
        <w:rPr>
          <w:rFonts w:hint="eastAsia" w:ascii="宋体" w:hAnsi="宋体" w:cs="MingLiU"/>
          <w:kern w:val="0"/>
          <w:sz w:val="21"/>
          <w:szCs w:val="21"/>
          <w:highlight w:val="none"/>
        </w:rPr>
      </w:pPr>
    </w:p>
    <w:p>
      <w:pPr>
        <w:autoSpaceDE w:val="0"/>
        <w:autoSpaceDN w:val="0"/>
        <w:adjustRightInd w:val="0"/>
        <w:ind w:right="-20" w:firstLine="420" w:firstLineChars="200"/>
        <w:jc w:val="left"/>
        <w:rPr>
          <w:rFonts w:hint="eastAsia" w:ascii="宋体" w:hAnsi="宋体" w:cs="MingLiU"/>
          <w:kern w:val="0"/>
          <w:sz w:val="21"/>
          <w:szCs w:val="21"/>
          <w:highlight w:val="none"/>
        </w:rPr>
      </w:pPr>
      <w:r>
        <w:rPr>
          <w:rFonts w:hint="eastAsia" w:ascii="宋体" w:hAnsi="宋体" w:cs="MingLiU"/>
          <w:kern w:val="0"/>
          <w:sz w:val="21"/>
          <w:szCs w:val="21"/>
          <w:highlight w:val="none"/>
        </w:rPr>
        <w:t>年</w:t>
      </w:r>
      <w:r>
        <w:rPr>
          <w:rFonts w:hint="eastAsia" w:ascii="宋体" w:hAnsi="宋体" w:cs="MingLiU"/>
          <w:kern w:val="0"/>
          <w:sz w:val="21"/>
          <w:szCs w:val="21"/>
          <w:highlight w:val="none"/>
          <w:lang w:val="en-US" w:eastAsia="zh-CN"/>
        </w:rPr>
        <w:t xml:space="preserve">  </w:t>
      </w:r>
      <w:r>
        <w:rPr>
          <w:rFonts w:hint="eastAsia" w:ascii="宋体" w:hAnsi="宋体" w:cs="MingLiU"/>
          <w:kern w:val="0"/>
          <w:sz w:val="21"/>
          <w:szCs w:val="21"/>
          <w:highlight w:val="none"/>
        </w:rPr>
        <w:t>月</w:t>
      </w:r>
      <w:r>
        <w:rPr>
          <w:rFonts w:hint="eastAsia" w:ascii="宋体" w:hAnsi="宋体" w:cs="MingLiU"/>
          <w:kern w:val="0"/>
          <w:sz w:val="21"/>
          <w:szCs w:val="21"/>
          <w:highlight w:val="none"/>
          <w:lang w:val="en-US" w:eastAsia="zh-CN"/>
        </w:rPr>
        <w:t xml:space="preserve">   </w:t>
      </w:r>
      <w:r>
        <w:rPr>
          <w:rFonts w:hint="eastAsia" w:ascii="宋体" w:hAnsi="宋体" w:cs="MingLiU"/>
          <w:kern w:val="0"/>
          <w:sz w:val="21"/>
          <w:szCs w:val="21"/>
          <w:highlight w:val="none"/>
        </w:rPr>
        <w:t>日</w:t>
      </w:r>
    </w:p>
    <w:p>
      <w:pPr>
        <w:rPr>
          <w:sz w:val="21"/>
          <w:szCs w:val="21"/>
          <w:highlight w:val="none"/>
        </w:rPr>
      </w:pPr>
    </w:p>
    <w:p>
      <w:pPr>
        <w:numPr>
          <w:ilvl w:val="0"/>
          <w:numId w:val="0"/>
        </w:numPr>
        <w:ind w:leftChars="0"/>
        <w:rPr>
          <w:highlight w:val="none"/>
        </w:rPr>
      </w:pPr>
    </w:p>
    <w:p>
      <w:pPr>
        <w:rPr>
          <w:rFonts w:hint="eastAsia" w:ascii="黑体" w:hAnsi="宋体" w:eastAsia="黑体"/>
          <w:szCs w:val="28"/>
          <w:highlight w:val="none"/>
        </w:rPr>
      </w:pPr>
      <w:bookmarkStart w:id="341" w:name="_Toc6731"/>
      <w:r>
        <w:rPr>
          <w:rFonts w:hint="eastAsia" w:ascii="黑体" w:hAnsi="宋体" w:eastAsia="黑体"/>
          <w:szCs w:val="28"/>
          <w:highlight w:val="none"/>
        </w:rPr>
        <w:br w:type="page"/>
      </w:r>
    </w:p>
    <w:p>
      <w:pPr>
        <w:pStyle w:val="4"/>
        <w:jc w:val="center"/>
        <w:rPr>
          <w:rFonts w:ascii="黑体" w:hAnsi="宋体" w:eastAsia="黑体"/>
          <w:szCs w:val="28"/>
          <w:highlight w:val="none"/>
        </w:rPr>
      </w:pPr>
      <w:r>
        <w:rPr>
          <w:rFonts w:hint="eastAsia" w:ascii="黑体" w:hAnsi="宋体" w:eastAsia="黑体"/>
          <w:szCs w:val="28"/>
          <w:highlight w:val="none"/>
          <w:lang w:eastAsia="zh-CN"/>
        </w:rPr>
        <w:t>九</w:t>
      </w:r>
      <w:r>
        <w:rPr>
          <w:rFonts w:hint="eastAsia" w:ascii="黑体" w:hAnsi="宋体" w:eastAsia="黑体"/>
          <w:szCs w:val="28"/>
          <w:highlight w:val="none"/>
        </w:rPr>
        <w:t>、其他材料</w:t>
      </w:r>
      <w:bookmarkEnd w:id="336"/>
      <w:bookmarkEnd w:id="337"/>
      <w:bookmarkEnd w:id="338"/>
      <w:bookmarkEnd w:id="339"/>
      <w:bookmarkEnd w:id="341"/>
    </w:p>
    <w:p>
      <w:pPr>
        <w:rPr>
          <w:highlight w:val="none"/>
        </w:rPr>
      </w:pPr>
    </w:p>
    <w:p>
      <w:pPr>
        <w:numPr>
          <w:ilvl w:val="0"/>
          <w:numId w:val="9"/>
        </w:numPr>
        <w:jc w:val="center"/>
        <w:rPr>
          <w:rFonts w:hint="eastAsia"/>
          <w:b/>
          <w:bCs/>
          <w:highlight w:val="none"/>
          <w:lang w:val="en-US" w:eastAsia="zh-CN"/>
        </w:rPr>
      </w:pPr>
      <w:r>
        <w:rPr>
          <w:rFonts w:hint="eastAsia"/>
          <w:b/>
          <w:bCs/>
          <w:highlight w:val="none"/>
          <w:lang w:val="en-US" w:eastAsia="zh-CN"/>
        </w:rPr>
        <w:t>设备评标辅助表</w:t>
      </w:r>
    </w:p>
    <w:tbl>
      <w:tblPr>
        <w:tblStyle w:val="36"/>
        <w:tblW w:w="8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5"/>
        <w:gridCol w:w="1739"/>
        <w:gridCol w:w="1739"/>
        <w:gridCol w:w="1490"/>
        <w:gridCol w:w="1394"/>
        <w:gridCol w:w="2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9" w:hRule="atLeast"/>
        </w:trPr>
        <w:tc>
          <w:tcPr>
            <w:tcW w:w="435" w:type="dxa"/>
            <w:tcBorders>
              <w:top w:val="single" w:color="auto" w:sz="4" w:space="0"/>
              <w:left w:val="single" w:color="auto" w:sz="4" w:space="0"/>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序号</w:t>
            </w:r>
          </w:p>
        </w:tc>
        <w:tc>
          <w:tcPr>
            <w:tcW w:w="1739" w:type="dxa"/>
            <w:tcBorders>
              <w:top w:val="single" w:color="auto" w:sz="4" w:space="0"/>
              <w:left w:val="nil"/>
              <w:bottom w:val="single" w:color="auto" w:sz="4" w:space="0"/>
              <w:right w:val="single" w:color="auto" w:sz="4" w:space="0"/>
            </w:tcBorders>
          </w:tcPr>
          <w:p>
            <w:pPr>
              <w:jc w:val="center"/>
              <w:rPr>
                <w:rFonts w:hint="eastAsia" w:ascii="宋体" w:hAnsi="宋体" w:eastAsia="宋体" w:cs="Calibri"/>
                <w:sz w:val="24"/>
                <w:szCs w:val="24"/>
                <w:highlight w:val="none"/>
                <w:lang w:val="en-US" w:eastAsia="zh-CN"/>
              </w:rPr>
            </w:pPr>
            <w:r>
              <w:rPr>
                <w:rFonts w:hint="eastAsia" w:ascii="宋体" w:hAnsi="宋体" w:cs="Calibri"/>
                <w:sz w:val="24"/>
                <w:szCs w:val="24"/>
                <w:highlight w:val="none"/>
                <w:lang w:val="en-US" w:eastAsia="zh-CN"/>
              </w:rPr>
              <w:t>设备名称</w:t>
            </w:r>
          </w:p>
        </w:tc>
        <w:tc>
          <w:tcPr>
            <w:tcW w:w="1739" w:type="dxa"/>
            <w:tcBorders>
              <w:top w:val="single" w:color="auto" w:sz="4" w:space="0"/>
              <w:left w:val="nil"/>
              <w:bottom w:val="single" w:color="auto" w:sz="4" w:space="0"/>
              <w:right w:val="single" w:color="auto" w:sz="4" w:space="0"/>
            </w:tcBorders>
          </w:tcPr>
          <w:p>
            <w:pPr>
              <w:jc w:val="center"/>
              <w:rPr>
                <w:rFonts w:hint="eastAsia" w:ascii="宋体" w:hAnsi="宋体" w:eastAsia="宋体" w:cs="Calibri"/>
                <w:sz w:val="24"/>
                <w:szCs w:val="24"/>
                <w:highlight w:val="none"/>
                <w:lang w:eastAsia="zh-CN"/>
              </w:rPr>
            </w:pPr>
            <w:r>
              <w:rPr>
                <w:rFonts w:hint="eastAsia" w:ascii="宋体" w:hAnsi="宋体" w:cs="宋体"/>
                <w:b w:val="0"/>
                <w:bCs w:val="0"/>
                <w:sz w:val="21"/>
                <w:szCs w:val="21"/>
                <w:highlight w:val="none"/>
                <w:lang w:val="en-US" w:eastAsia="zh-CN"/>
              </w:rPr>
              <w:t>是否为</w:t>
            </w:r>
            <w:r>
              <w:rPr>
                <w:rFonts w:hint="eastAsia" w:ascii="宋体" w:hAnsi="宋体" w:cs="宋体"/>
                <w:b w:val="0"/>
                <w:bCs w:val="0"/>
                <w:sz w:val="21"/>
                <w:szCs w:val="21"/>
                <w:highlight w:val="none"/>
                <w:lang w:eastAsia="zh-CN"/>
              </w:rPr>
              <w:t>节能产品</w:t>
            </w:r>
          </w:p>
        </w:tc>
        <w:tc>
          <w:tcPr>
            <w:tcW w:w="1490"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宋体"/>
                <w:b w:val="0"/>
                <w:bCs w:val="0"/>
                <w:sz w:val="21"/>
                <w:szCs w:val="21"/>
                <w:highlight w:val="none"/>
                <w:lang w:eastAsia="zh-CN"/>
              </w:rPr>
              <w:t>是否为环境标志产品</w:t>
            </w:r>
          </w:p>
        </w:tc>
        <w:tc>
          <w:tcPr>
            <w:tcW w:w="1394" w:type="dxa"/>
            <w:tcBorders>
              <w:top w:val="single" w:color="auto" w:sz="4" w:space="0"/>
              <w:left w:val="nil"/>
              <w:bottom w:val="single" w:color="auto" w:sz="4" w:space="0"/>
              <w:right w:val="single" w:color="auto" w:sz="4" w:space="0"/>
            </w:tcBorders>
          </w:tcPr>
          <w:p>
            <w:pPr>
              <w:jc w:val="center"/>
              <w:rPr>
                <w:rFonts w:hint="eastAsia" w:ascii="宋体" w:hAnsi="宋体" w:eastAsia="宋体" w:cs="Calibri"/>
                <w:sz w:val="24"/>
                <w:szCs w:val="24"/>
                <w:highlight w:val="none"/>
                <w:lang w:val="en-US" w:eastAsia="zh-CN"/>
              </w:rPr>
            </w:pPr>
            <w:r>
              <w:rPr>
                <w:rFonts w:hint="eastAsia" w:ascii="宋体" w:hAnsi="宋体" w:cs="Calibri"/>
                <w:sz w:val="24"/>
                <w:szCs w:val="24"/>
                <w:highlight w:val="none"/>
                <w:lang w:val="en-US" w:eastAsia="zh-CN"/>
              </w:rPr>
              <w:t>证明材料所在页码</w:t>
            </w:r>
          </w:p>
        </w:tc>
        <w:tc>
          <w:tcPr>
            <w:tcW w:w="2201" w:type="dxa"/>
            <w:tcBorders>
              <w:top w:val="single" w:color="auto" w:sz="4" w:space="0"/>
              <w:left w:val="nil"/>
              <w:bottom w:val="single" w:color="auto" w:sz="4" w:space="0"/>
              <w:right w:val="single" w:color="auto" w:sz="4" w:space="0"/>
            </w:tcBorders>
          </w:tcPr>
          <w:p>
            <w:pPr>
              <w:jc w:val="center"/>
              <w:rPr>
                <w:rFonts w:ascii="宋体" w:hAnsi="宋体" w:cs="Calibri"/>
                <w:sz w:val="24"/>
                <w:szCs w:val="24"/>
                <w:highlight w:val="none"/>
              </w:rPr>
            </w:pPr>
            <w:r>
              <w:rPr>
                <w:rFonts w:hint="eastAsia" w:ascii="宋体" w:hAnsi="宋体" w:cs="Calibri"/>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81"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31吨纯电动车厢可卸式垃圾车</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18吨纯电动压缩垃圾车</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10吨纯电动压缩垃圾车</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18吨纯电动吸污车</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厨余垃圾处理设备</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空气净化设备</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大件垃圾处理设备</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叉车</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r>
              <w:rPr>
                <w:rFonts w:hint="eastAsia" w:ascii="宋体" w:hAnsi="宋体" w:eastAsia="宋体" w:cs="宋体"/>
                <w:i w:val="0"/>
                <w:iCs w:val="0"/>
                <w:color w:val="000000"/>
                <w:kern w:val="0"/>
                <w:sz w:val="18"/>
                <w:szCs w:val="18"/>
                <w:highlight w:val="none"/>
                <w:u w:val="none"/>
                <w:lang w:val="en-US" w:eastAsia="zh-CN" w:bidi="ar"/>
              </w:rPr>
              <w:t>18方整体压缩机</w:t>
            </w:r>
          </w:p>
        </w:tc>
        <w:tc>
          <w:tcPr>
            <w:tcW w:w="17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Calibri"/>
                <w:sz w:val="24"/>
                <w:szCs w:val="24"/>
                <w:highlight w:val="none"/>
              </w:rPr>
            </w:pPr>
          </w:p>
        </w:tc>
        <w:tc>
          <w:tcPr>
            <w:tcW w:w="1490"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1394"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c>
          <w:tcPr>
            <w:tcW w:w="2201" w:type="dxa"/>
            <w:tcBorders>
              <w:top w:val="single" w:color="auto" w:sz="4" w:space="0"/>
              <w:left w:val="nil"/>
              <w:bottom w:val="single" w:color="auto" w:sz="4" w:space="0"/>
              <w:right w:val="single" w:color="auto" w:sz="4" w:space="0"/>
            </w:tcBorders>
          </w:tcPr>
          <w:p>
            <w:pPr>
              <w:ind w:firstLine="720"/>
              <w:rPr>
                <w:rFonts w:ascii="宋体" w:hAnsi="宋体" w:cs="Calibri"/>
                <w:sz w:val="24"/>
                <w:szCs w:val="24"/>
                <w:highlight w:val="none"/>
              </w:rPr>
            </w:pPr>
          </w:p>
        </w:tc>
      </w:tr>
    </w:tbl>
    <w:p>
      <w:pPr>
        <w:numPr>
          <w:ilvl w:val="0"/>
          <w:numId w:val="0"/>
        </w:numPr>
        <w:rPr>
          <w:rFonts w:hint="eastAsia"/>
          <w:highlight w:val="none"/>
          <w:lang w:val="en-US" w:eastAsia="zh-CN"/>
        </w:rPr>
      </w:pPr>
    </w:p>
    <w:p>
      <w:pPr>
        <w:numPr>
          <w:ilvl w:val="0"/>
          <w:numId w:val="0"/>
        </w:numPr>
        <w:rPr>
          <w:rFonts w:hint="eastAsia"/>
          <w:highlight w:val="none"/>
          <w:lang w:val="en-US" w:eastAsia="zh-CN"/>
        </w:rPr>
      </w:pPr>
    </w:p>
    <w:p>
      <w:pPr>
        <w:rPr>
          <w:rFonts w:hint="eastAsia" w:ascii="宋体" w:hAnsi="宋体"/>
          <w:highlight w:val="none"/>
          <w:lang w:val="en-US" w:eastAsia="zh-CN"/>
        </w:rPr>
      </w:pPr>
      <w:r>
        <w:rPr>
          <w:rFonts w:hint="eastAsia" w:ascii="宋体" w:hAnsi="宋体"/>
          <w:highlight w:val="none"/>
          <w:lang w:val="en-US" w:eastAsia="zh-CN"/>
        </w:rPr>
        <w:br w:type="page"/>
      </w:r>
    </w:p>
    <w:p>
      <w:pPr>
        <w:jc w:val="center"/>
        <w:rPr>
          <w:rFonts w:ascii="宋体" w:hAnsi="宋体"/>
          <w:b/>
          <w:bCs/>
          <w:highlight w:val="none"/>
        </w:rPr>
      </w:pPr>
      <w:r>
        <w:rPr>
          <w:rFonts w:hint="eastAsia" w:ascii="宋体" w:hAnsi="宋体"/>
          <w:b/>
          <w:bCs/>
          <w:highlight w:val="none"/>
          <w:lang w:val="en-US" w:eastAsia="zh-CN"/>
        </w:rPr>
        <w:t>2、</w:t>
      </w:r>
      <w:r>
        <w:rPr>
          <w:rFonts w:hint="eastAsia" w:ascii="宋体" w:hAnsi="宋体"/>
          <w:b/>
          <w:bCs/>
          <w:highlight w:val="none"/>
        </w:rPr>
        <w:t>投标人认为有必要提供的资</w:t>
      </w:r>
      <w:bookmarkStart w:id="342" w:name="_Toc146947714"/>
      <w:bookmarkEnd w:id="342"/>
      <w:bookmarkStart w:id="343" w:name="_Toc46237135"/>
      <w:bookmarkEnd w:id="343"/>
      <w:bookmarkStart w:id="344" w:name="_Toc146949468"/>
      <w:r>
        <w:rPr>
          <w:rFonts w:hint="eastAsia" w:ascii="宋体" w:hAnsi="宋体"/>
          <w:b/>
          <w:bCs/>
          <w:highlight w:val="none"/>
        </w:rPr>
        <w:t>料</w:t>
      </w:r>
      <w:bookmarkEnd w:id="344"/>
      <w:r>
        <w:rPr>
          <w:rFonts w:hint="eastAsia" w:ascii="宋体" w:hAnsi="宋体"/>
          <w:b/>
          <w:bCs/>
          <w:highlight w:val="none"/>
        </w:rPr>
        <w:t>。</w:t>
      </w:r>
    </w:p>
    <w:p>
      <w:pPr>
        <w:pStyle w:val="2"/>
        <w:jc w:val="center"/>
        <w:rPr>
          <w:highlight w:val="none"/>
        </w:rPr>
      </w:pPr>
      <w:r>
        <w:rPr>
          <w:highlight w:val="none"/>
        </w:rPr>
        <w:br w:type="page"/>
      </w:r>
      <w:bookmarkStart w:id="345" w:name="_Toc841"/>
      <w:bookmarkStart w:id="346" w:name="_Toc14845_WPSOffice_Level1"/>
      <w:r>
        <w:rPr>
          <w:rFonts w:hint="eastAsia"/>
          <w:highlight w:val="none"/>
        </w:rPr>
        <w:t xml:space="preserve">第七章 </w:t>
      </w:r>
      <w:bookmarkEnd w:id="345"/>
      <w:r>
        <w:rPr>
          <w:rFonts w:hint="eastAsia"/>
          <w:highlight w:val="none"/>
        </w:rPr>
        <w:t>政采领域优化营商环境相关政策</w:t>
      </w:r>
      <w:bookmarkEnd w:id="346"/>
    </w:p>
    <w:p>
      <w:pPr>
        <w:rPr>
          <w:highlight w:val="none"/>
        </w:rPr>
      </w:pPr>
      <w:r>
        <w:rPr>
          <w:rFonts w:hint="eastAsia"/>
          <w:highlight w:val="none"/>
        </w:rPr>
        <w:br w:type="page"/>
      </w:r>
    </w:p>
    <w:p>
      <w:pPr>
        <w:spacing w:line="360" w:lineRule="auto"/>
        <w:ind w:firstLine="480" w:firstLineChars="200"/>
        <w:rPr>
          <w:rFonts w:ascii="仿宋" w:hAnsi="仿宋" w:eastAsia="仿宋" w:cs="仿宋"/>
          <w:sz w:val="24"/>
          <w:szCs w:val="24"/>
          <w:highlight w:val="none"/>
        </w:rPr>
      </w:pPr>
      <w:bookmarkStart w:id="347" w:name="_Toc11325"/>
      <w:r>
        <w:rPr>
          <w:rFonts w:hint="eastAsia" w:ascii="仿宋" w:hAnsi="仿宋" w:eastAsia="仿宋" w:cs="仿宋"/>
          <w:sz w:val="24"/>
          <w:szCs w:val="24"/>
          <w:highlight w:val="none"/>
        </w:rPr>
        <w:t>一、落实四个“一日办”精神：</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按照《平顶山市财政局关于压减政府采购各环节时限 进一步优化政府采购营商环境的通知》（平财购〔2021〕34号）通知，落实四个“一日办”精神：</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（1）在评审结束后1日内确定采购结果，同时对中标单位发出中标或成交通知书，并在网上进行公告；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（2）中标或成交通知书发出后，1日内与中标或成交供应商签订合同，合同签订当日完成合同备案工作；</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（3）政府采购项目供应商履约完成后，采购人应在供应商提出验收申请1个工作日内完成验收，同时在平顶山市政府采购网发布验收结果公告；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（4）验收合格具备付款条件的项目，采购人要在1个工作日内按照合同约定支付项目资金。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注：签合同需法定代表人携带本人身份证（如为授权委托人，则携带法定代表人授权委托书及本人身份证）、单位公章、合同纸质版本一式六份及合同电子版。</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二、维护企业在政府采购活动中的知情权</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三、提供中小企业声明函格式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在采购文件中，采购代理机构应按照财政部、工信部印发的《政府采购促进中小企业发展管理办法》的通知精神（财库〔2020〕46号）提供中小企业声明函格式。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四、推广政府采购合同融资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要求采购人和代理机构将“政府采购合同融资告知函”写入招标文件，鼓励中标供应商凭借采购合同申请贷款，助力解决中小企业融资难、融资贵的问题。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五、落实预留采购份额</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六、落实价格评审优惠政策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p>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pPr>
        <w:pStyle w:val="3"/>
        <w:rPr>
          <w:rFonts w:ascii="仿宋" w:hAnsi="仿宋" w:eastAsia="仿宋"/>
          <w:bCs/>
          <w:szCs w:val="32"/>
          <w:highlight w:val="none"/>
        </w:rPr>
      </w:pPr>
      <w:bookmarkStart w:id="348" w:name="_Toc32521_WPSOffice_Level1"/>
      <w:bookmarkStart w:id="349" w:name="_Toc30719_WPSOffice_Level1"/>
      <w:r>
        <w:rPr>
          <w:rFonts w:hint="eastAsia" w:ascii="仿宋" w:hAnsi="仿宋" w:eastAsia="仿宋"/>
          <w:spacing w:val="6"/>
          <w:szCs w:val="32"/>
          <w:highlight w:val="none"/>
        </w:rPr>
        <w:t>附件1：</w:t>
      </w:r>
      <w:r>
        <w:rPr>
          <w:rFonts w:hint="eastAsia" w:ascii="仿宋_GB2312" w:hAnsi="宋体" w:eastAsia="仿宋_GB2312"/>
          <w:szCs w:val="32"/>
          <w:highlight w:val="none"/>
        </w:rPr>
        <w:t>中小企业声明函</w:t>
      </w:r>
      <w:bookmarkEnd w:id="347"/>
      <w:bookmarkEnd w:id="348"/>
      <w:bookmarkEnd w:id="349"/>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none"/>
        </w:rPr>
      </w:pPr>
      <w:r>
        <w:rPr>
          <w:rFonts w:hint="eastAsia"/>
          <w:highlight w:val="none"/>
        </w:rPr>
        <w:br w:type="page"/>
      </w:r>
    </w:p>
    <w:p>
      <w:pPr>
        <w:pStyle w:val="3"/>
        <w:rPr>
          <w:rFonts w:ascii="仿宋_GB2312" w:hAnsi="仿宋" w:eastAsia="仿宋_GB2312"/>
          <w:spacing w:val="6"/>
          <w:szCs w:val="32"/>
          <w:highlight w:val="none"/>
        </w:rPr>
      </w:pPr>
      <w:bookmarkStart w:id="350" w:name="_Toc31115"/>
      <w:bookmarkStart w:id="351" w:name="_Toc16142_WPSOffice_Level1"/>
      <w:bookmarkStart w:id="352" w:name="_Toc773_WPSOffice_Level1"/>
      <w:r>
        <w:rPr>
          <w:rFonts w:hint="eastAsia" w:ascii="仿宋_GB2312" w:hAnsi="仿宋" w:eastAsia="仿宋_GB2312"/>
          <w:spacing w:val="6"/>
          <w:szCs w:val="32"/>
          <w:highlight w:val="none"/>
        </w:rPr>
        <w:t>附件2</w:t>
      </w:r>
      <w:r>
        <w:rPr>
          <w:rFonts w:ascii="仿宋_GB2312" w:hAnsi="仿宋" w:eastAsia="仿宋_GB2312"/>
          <w:spacing w:val="6"/>
          <w:szCs w:val="32"/>
          <w:highlight w:val="none"/>
        </w:rPr>
        <w:t>：</w:t>
      </w:r>
      <w:r>
        <w:rPr>
          <w:rFonts w:hint="eastAsia" w:ascii="仿宋_GB2312" w:hAnsi="仿宋" w:eastAsia="仿宋_GB2312"/>
          <w:spacing w:val="6"/>
          <w:szCs w:val="32"/>
          <w:highlight w:val="none"/>
        </w:rPr>
        <w:t>残疾人福利性单位声明函</w:t>
      </w:r>
      <w:bookmarkEnd w:id="350"/>
      <w:bookmarkEnd w:id="351"/>
      <w:bookmarkEnd w:id="352"/>
    </w:p>
    <w:p>
      <w:pPr>
        <w:spacing w:line="360" w:lineRule="auto"/>
        <w:jc w:val="center"/>
        <w:rPr>
          <w:rFonts w:ascii="仿宋_GB2312" w:hAnsi="仿宋" w:eastAsia="仿宋_GB2312"/>
          <w:b/>
          <w:spacing w:val="6"/>
          <w:sz w:val="32"/>
          <w:szCs w:val="32"/>
          <w:highlight w:val="none"/>
        </w:rPr>
      </w:pPr>
      <w:bookmarkStart w:id="353" w:name="OLE_LINK13"/>
      <w:bookmarkStart w:id="354" w:name="OLE_LINK14"/>
      <w:r>
        <w:rPr>
          <w:rFonts w:hint="eastAsia" w:ascii="仿宋_GB2312" w:hAnsi="仿宋" w:eastAsia="仿宋_GB2312"/>
          <w:b/>
          <w:spacing w:val="6"/>
          <w:sz w:val="32"/>
          <w:szCs w:val="32"/>
          <w:highlight w:val="none"/>
        </w:rPr>
        <w:t>残疾人福利性单位声明函</w:t>
      </w:r>
    </w:p>
    <w:bookmarkEnd w:id="353"/>
    <w:bookmarkEnd w:id="354"/>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rPr>
          <w:highlight w:val="none"/>
        </w:rPr>
      </w:pPr>
      <w:r>
        <w:rPr>
          <w:rFonts w:hint="eastAsia"/>
          <w:highlight w:val="none"/>
        </w:rPr>
        <w:br w:type="page"/>
      </w:r>
    </w:p>
    <w:p>
      <w:pPr>
        <w:pStyle w:val="3"/>
        <w:rPr>
          <w:rFonts w:ascii="仿宋_GB2312" w:hAnsi="仿宋" w:eastAsia="仿宋_GB2312"/>
          <w:spacing w:val="6"/>
          <w:szCs w:val="32"/>
          <w:highlight w:val="none"/>
          <w:lang w:val="zh-CN"/>
        </w:rPr>
      </w:pPr>
      <w:bookmarkStart w:id="355" w:name="_Toc17694_WPSOffice_Level1"/>
      <w:bookmarkStart w:id="356" w:name="_Toc11055_WPSOffice_Level1"/>
      <w:bookmarkStart w:id="357" w:name="_Toc8283_WPSOffice_Level1"/>
      <w:bookmarkStart w:id="358" w:name="_Toc7504"/>
      <w:r>
        <w:rPr>
          <w:rFonts w:hint="eastAsia" w:ascii="仿宋_GB2312" w:hAnsi="仿宋" w:eastAsia="仿宋_GB2312"/>
          <w:spacing w:val="6"/>
          <w:szCs w:val="32"/>
          <w:highlight w:val="none"/>
        </w:rPr>
        <w:t>附件3：</w:t>
      </w:r>
      <w:r>
        <w:rPr>
          <w:rFonts w:hint="eastAsia" w:ascii="仿宋_GB2312" w:hAnsi="仿宋" w:eastAsia="仿宋_GB2312"/>
          <w:spacing w:val="6"/>
          <w:szCs w:val="32"/>
          <w:highlight w:val="none"/>
          <w:lang w:val="zh-CN"/>
        </w:rPr>
        <w:t>监狱企业的证明文件</w:t>
      </w:r>
      <w:bookmarkEnd w:id="355"/>
      <w:bookmarkEnd w:id="356"/>
    </w:p>
    <w:p>
      <w:pPr>
        <w:pStyle w:val="44"/>
        <w:rPr>
          <w:rFonts w:ascii="宋体" w:hAnsi="宋体" w:cs="宋体"/>
          <w:highlight w:val="none"/>
          <w:lang w:val="zh-CN"/>
        </w:rPr>
      </w:pPr>
    </w:p>
    <w:p>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1、政府采购政策</w:t>
      </w:r>
    </w:p>
    <w:p>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财政部、司法部关于政府采购支持监狱企业发展有关问题的通知（财库【2014】68 号）</w:t>
      </w:r>
    </w:p>
    <w:p>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2、附证明材料</w:t>
      </w:r>
    </w:p>
    <w:p>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提供由省级以上监狱管理局、戒毒管理局（含新疆生产建设兵团）出具的属于监狱企业的证明文件. </w:t>
      </w:r>
    </w:p>
    <w:p>
      <w:pPr>
        <w:autoSpaceDE w:val="0"/>
        <w:autoSpaceDN w:val="0"/>
        <w:adjustRightInd w:val="0"/>
        <w:snapToGri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w:t>
      </w:r>
    </w:p>
    <w:p>
      <w:pPr>
        <w:rPr>
          <w:rFonts w:ascii="宋体" w:hAnsi="宋体"/>
          <w:bCs/>
          <w:szCs w:val="32"/>
          <w:highlight w:val="none"/>
        </w:rPr>
      </w:pPr>
      <w:r>
        <w:rPr>
          <w:rFonts w:hint="eastAsia" w:ascii="宋体" w:hAnsi="宋体"/>
          <w:bCs/>
          <w:szCs w:val="32"/>
          <w:highlight w:val="none"/>
        </w:rPr>
        <w:br w:type="page"/>
      </w:r>
    </w:p>
    <w:p>
      <w:pPr>
        <w:pStyle w:val="3"/>
        <w:rPr>
          <w:rFonts w:ascii="宋体" w:hAnsi="宋体" w:eastAsia="宋体"/>
          <w:bCs/>
          <w:szCs w:val="32"/>
          <w:highlight w:val="none"/>
        </w:rPr>
      </w:pPr>
      <w:bookmarkStart w:id="359" w:name="_Toc5420_WPSOffice_Level1"/>
      <w:bookmarkStart w:id="360" w:name="_Toc16065_WPSOffice_Level1"/>
      <w:r>
        <w:rPr>
          <w:rFonts w:hint="eastAsia" w:ascii="宋体" w:hAnsi="宋体"/>
          <w:bCs/>
          <w:szCs w:val="32"/>
          <w:highlight w:val="none"/>
        </w:rPr>
        <w:t>附件</w:t>
      </w:r>
      <w:bookmarkEnd w:id="357"/>
      <w:r>
        <w:rPr>
          <w:rFonts w:hint="eastAsia" w:ascii="仿宋_GB2312" w:hAnsi="仿宋" w:eastAsia="仿宋_GB2312"/>
          <w:spacing w:val="6"/>
          <w:szCs w:val="32"/>
          <w:highlight w:val="none"/>
        </w:rPr>
        <w:t>4：政府采购合同融资政策</w:t>
      </w:r>
      <w:bookmarkEnd w:id="358"/>
      <w:bookmarkEnd w:id="359"/>
      <w:bookmarkEnd w:id="360"/>
    </w:p>
    <w:p>
      <w:pPr>
        <w:spacing w:line="360" w:lineRule="auto"/>
        <w:ind w:firstLine="446" w:firstLineChars="200"/>
        <w:jc w:val="center"/>
        <w:rPr>
          <w:rFonts w:hAnsi="宋体" w:cs="宋体"/>
          <w:b/>
          <w:bCs/>
          <w:spacing w:val="6"/>
          <w:highlight w:val="none"/>
        </w:rPr>
      </w:pPr>
      <w:r>
        <w:rPr>
          <w:rFonts w:hint="eastAsia" w:hAnsi="宋体" w:cs="宋体"/>
          <w:b/>
          <w:bCs/>
          <w:spacing w:val="6"/>
          <w:highlight w:val="none"/>
        </w:rPr>
        <w:t xml:space="preserve"> </w:t>
      </w:r>
    </w:p>
    <w:p>
      <w:pPr>
        <w:widowControl/>
        <w:jc w:val="center"/>
        <w:rPr>
          <w:rFonts w:hAnsi="宋体" w:cs="宋体"/>
          <w:b/>
          <w:bCs/>
          <w:highlight w:val="none"/>
        </w:rPr>
      </w:pPr>
      <w:bookmarkStart w:id="361" w:name="_Toc11074_WPSOffice_Level1"/>
      <w:r>
        <w:rPr>
          <w:rFonts w:hint="eastAsia" w:hAnsi="宋体" w:cs="宋体"/>
          <w:b/>
          <w:bCs/>
          <w:highlight w:val="none"/>
        </w:rPr>
        <w:t>河南省政府采购合同融资政策告知函</w:t>
      </w:r>
      <w:bookmarkEnd w:id="361"/>
    </w:p>
    <w:p>
      <w:pPr>
        <w:widowControl/>
        <w:adjustRightInd w:val="0"/>
        <w:snapToGrid w:val="0"/>
        <w:spacing w:beforeLines="50" w:line="360" w:lineRule="auto"/>
        <w:ind w:firstLine="420" w:firstLineChars="200"/>
        <w:jc w:val="left"/>
        <w:rPr>
          <w:rFonts w:hAnsi="宋体" w:cs="宋体"/>
          <w:highlight w:val="none"/>
        </w:rPr>
      </w:pPr>
      <w:r>
        <w:rPr>
          <w:rFonts w:hint="eastAsia" w:hAnsi="宋体" w:cs="宋体"/>
          <w:highlight w:val="none"/>
        </w:rPr>
        <w:t>各供应商：</w:t>
      </w:r>
    </w:p>
    <w:p>
      <w:pPr>
        <w:widowControl/>
        <w:adjustRightInd w:val="0"/>
        <w:snapToGrid w:val="0"/>
        <w:spacing w:beforeLines="50" w:line="360" w:lineRule="auto"/>
        <w:ind w:firstLine="420" w:firstLineChars="200"/>
        <w:jc w:val="left"/>
        <w:rPr>
          <w:rFonts w:hAnsi="宋体" w:cs="宋体"/>
          <w:highlight w:val="none"/>
        </w:rPr>
      </w:pPr>
      <w:r>
        <w:rPr>
          <w:rFonts w:hint="eastAsia" w:hAnsi="宋体" w:cs="宋体"/>
          <w:highlight w:val="none"/>
        </w:rPr>
        <w:t>欢迎贵公司参与河南省政府采购活动！</w:t>
      </w:r>
    </w:p>
    <w:p>
      <w:pPr>
        <w:widowControl/>
        <w:adjustRightInd w:val="0"/>
        <w:snapToGrid w:val="0"/>
        <w:spacing w:beforeLines="50" w:line="360" w:lineRule="auto"/>
        <w:ind w:firstLine="420" w:firstLineChars="200"/>
        <w:jc w:val="left"/>
        <w:rPr>
          <w:rFonts w:hAnsi="宋体" w:cs="宋体"/>
          <w:highlight w:val="none"/>
        </w:rPr>
      </w:pPr>
      <w:r>
        <w:rPr>
          <w:rFonts w:hint="eastAsia" w:hAnsi="宋体" w:cs="宋体"/>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adjustRightInd w:val="0"/>
        <w:snapToGrid w:val="0"/>
        <w:spacing w:beforeLines="50" w:line="360" w:lineRule="auto"/>
        <w:ind w:firstLine="420" w:firstLineChars="200"/>
        <w:jc w:val="left"/>
        <w:rPr>
          <w:rFonts w:hAnsi="宋体" w:cs="宋体"/>
          <w:highlight w:val="none"/>
        </w:rPr>
      </w:pPr>
      <w:r>
        <w:rPr>
          <w:rFonts w:hint="eastAsia" w:hAnsi="宋体" w:cs="宋体"/>
          <w:highlight w:val="none"/>
        </w:rPr>
        <w:t>贷款渠道和提供贷款的金融机构，可在河南省政府采购网“河南省政府采购合同融资平台”查询联系。</w:t>
      </w:r>
    </w:p>
    <w:p>
      <w:pPr>
        <w:rPr>
          <w:highlight w:val="none"/>
        </w:rPr>
      </w:pPr>
      <w:r>
        <w:rPr>
          <w:rFonts w:hint="eastAsia"/>
          <w:highlight w:val="none"/>
        </w:rPr>
        <w:br w:type="page"/>
      </w:r>
    </w:p>
    <w:p>
      <w:pPr>
        <w:pStyle w:val="3"/>
        <w:rPr>
          <w:rFonts w:ascii="宋体" w:hAnsi="宋体"/>
          <w:bCs/>
          <w:szCs w:val="32"/>
          <w:highlight w:val="none"/>
        </w:rPr>
      </w:pPr>
      <w:bookmarkStart w:id="362" w:name="_Toc5570_WPSOffice_Level1"/>
      <w:bookmarkStart w:id="363" w:name="_Toc26369"/>
      <w:bookmarkStart w:id="364" w:name="_Toc29510_WPSOffice_Level1"/>
      <w:r>
        <w:rPr>
          <w:rFonts w:hint="eastAsia" w:ascii="宋体" w:hAnsi="宋体"/>
          <w:bCs/>
          <w:szCs w:val="32"/>
          <w:highlight w:val="none"/>
        </w:rPr>
        <w:t>附件5：</w:t>
      </w:r>
      <w:r>
        <w:rPr>
          <w:rFonts w:ascii="宋体" w:hAnsi="宋体"/>
          <w:bCs/>
          <w:szCs w:val="32"/>
          <w:highlight w:val="none"/>
        </w:rPr>
        <w:t>关于印发中小企业划型标准规定的通知</w:t>
      </w:r>
      <w:bookmarkEnd w:id="362"/>
      <w:bookmarkEnd w:id="363"/>
      <w:bookmarkEnd w:id="364"/>
    </w:p>
    <w:p>
      <w:pPr>
        <w:widowControl/>
        <w:spacing w:line="432"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工信部联企业〔2011〕300号</w:t>
      </w:r>
    </w:p>
    <w:p>
      <w:pPr>
        <w:spacing w:line="560" w:lineRule="exact"/>
        <w:rPr>
          <w:rFonts w:ascii="宋体" w:hAnsi="宋体" w:cs="宋体"/>
          <w:szCs w:val="21"/>
          <w:highlight w:val="none"/>
        </w:rPr>
      </w:pPr>
      <w:r>
        <w:rPr>
          <w:rFonts w:ascii="宋体" w:hAnsi="宋体" w:cs="宋体"/>
          <w:szCs w:val="21"/>
          <w:highlight w:val="none"/>
        </w:rPr>
        <w:t>各省、自治区、直辖市人民政府，国务院各部委、各直属机构及有关单位：</w:t>
      </w:r>
    </w:p>
    <w:p>
      <w:pPr>
        <w:spacing w:line="560" w:lineRule="exact"/>
        <w:ind w:firstLine="420" w:firstLineChars="200"/>
        <w:rPr>
          <w:rFonts w:ascii="宋体" w:hAnsi="宋体" w:cs="宋体"/>
          <w:szCs w:val="21"/>
          <w:highlight w:val="none"/>
        </w:rPr>
      </w:pPr>
      <w:r>
        <w:rPr>
          <w:rFonts w:ascii="宋体" w:hAnsi="宋体" w:cs="宋体"/>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工业和信息化部</w:t>
      </w:r>
    </w:p>
    <w:p>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国家统计局</w:t>
      </w:r>
    </w:p>
    <w:p>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国家发展和改革委员会</w:t>
      </w:r>
    </w:p>
    <w:p>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财政部</w:t>
      </w:r>
    </w:p>
    <w:p>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二○一一年六月十八日</w:t>
      </w:r>
    </w:p>
    <w:p>
      <w:pPr>
        <w:spacing w:line="560" w:lineRule="exact"/>
        <w:jc w:val="center"/>
        <w:rPr>
          <w:rFonts w:ascii="宋体" w:hAnsi="宋体" w:cs="宋体"/>
          <w:szCs w:val="21"/>
          <w:highlight w:val="none"/>
        </w:rPr>
      </w:pPr>
      <w:bookmarkStart w:id="365" w:name="_Toc20281_WPSOffice_Level1"/>
      <w:bookmarkStart w:id="366" w:name="_Toc31222_WPSOffice_Level1"/>
      <w:r>
        <w:rPr>
          <w:rFonts w:ascii="宋体" w:hAnsi="宋体" w:cs="宋体"/>
          <w:szCs w:val="21"/>
          <w:highlight w:val="none"/>
        </w:rPr>
        <w:t>中小企业划型标准规定</w:t>
      </w:r>
      <w:bookmarkEnd w:id="365"/>
      <w:bookmarkEnd w:id="366"/>
    </w:p>
    <w:p>
      <w:pPr>
        <w:spacing w:line="560" w:lineRule="exact"/>
        <w:ind w:firstLine="420" w:firstLineChars="200"/>
        <w:rPr>
          <w:rFonts w:ascii="宋体" w:hAnsi="宋体" w:cs="宋体"/>
          <w:szCs w:val="21"/>
          <w:highlight w:val="none"/>
        </w:rPr>
      </w:pPr>
      <w:r>
        <w:rPr>
          <w:rFonts w:ascii="宋体" w:hAnsi="宋体" w:cs="宋体"/>
          <w:szCs w:val="21"/>
          <w:highlight w:val="none"/>
        </w:rPr>
        <w:t>一、根据《中华人民共和国中小企业促进法》和《国务院关于进一步促进中小企业发展的若干意见》(国发〔2009〕36号)，制定本规定。</w:t>
      </w:r>
    </w:p>
    <w:p>
      <w:pPr>
        <w:spacing w:line="560" w:lineRule="exact"/>
        <w:ind w:firstLine="420" w:firstLineChars="200"/>
        <w:rPr>
          <w:rFonts w:ascii="宋体" w:hAnsi="宋体" w:cs="宋体"/>
          <w:szCs w:val="21"/>
          <w:highlight w:val="none"/>
        </w:rPr>
      </w:pPr>
      <w:r>
        <w:rPr>
          <w:rFonts w:ascii="宋体" w:hAnsi="宋体" w:cs="宋体"/>
          <w:szCs w:val="21"/>
          <w:highlight w:val="none"/>
        </w:rPr>
        <w:t>二、中小企业划分为中型、小型、微型三种类型，具体标准根据企业从业人员、营业收入、资产总额等指标，结合行业特点制定。</w:t>
      </w:r>
    </w:p>
    <w:p>
      <w:pPr>
        <w:spacing w:line="560" w:lineRule="exact"/>
        <w:ind w:firstLine="420" w:firstLineChars="200"/>
        <w:rPr>
          <w:rFonts w:ascii="宋体" w:hAnsi="宋体" w:cs="宋体"/>
          <w:szCs w:val="21"/>
          <w:highlight w:val="none"/>
        </w:rPr>
      </w:pPr>
      <w:r>
        <w:rPr>
          <w:rFonts w:ascii="宋体" w:hAnsi="宋体" w:cs="宋体"/>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60" w:lineRule="exact"/>
        <w:ind w:firstLine="420" w:firstLineChars="200"/>
        <w:rPr>
          <w:rFonts w:ascii="宋体" w:hAnsi="宋体" w:cs="宋体"/>
          <w:szCs w:val="21"/>
          <w:highlight w:val="none"/>
        </w:rPr>
      </w:pPr>
      <w:r>
        <w:rPr>
          <w:rFonts w:ascii="宋体" w:hAnsi="宋体" w:cs="宋体"/>
          <w:szCs w:val="21"/>
          <w:highlight w:val="none"/>
        </w:rPr>
        <w:t>四、各行业划型标准为：</w:t>
      </w:r>
    </w:p>
    <w:p>
      <w:pPr>
        <w:spacing w:line="560" w:lineRule="exact"/>
        <w:ind w:firstLine="420" w:firstLineChars="200"/>
        <w:rPr>
          <w:rFonts w:ascii="宋体" w:hAnsi="宋体" w:cs="宋体"/>
          <w:szCs w:val="21"/>
          <w:highlight w:val="none"/>
        </w:rPr>
      </w:pPr>
      <w:r>
        <w:rPr>
          <w:rFonts w:ascii="宋体" w:hAnsi="宋体" w:cs="宋体"/>
          <w:szCs w:val="21"/>
          <w:highlight w:val="none"/>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20" w:firstLineChars="200"/>
        <w:rPr>
          <w:rFonts w:ascii="宋体" w:hAnsi="宋体" w:cs="宋体"/>
          <w:szCs w:val="21"/>
          <w:highlight w:val="none"/>
        </w:rPr>
      </w:pPr>
      <w:r>
        <w:rPr>
          <w:rFonts w:ascii="宋体" w:hAnsi="宋体" w:cs="宋体"/>
          <w:szCs w:val="21"/>
          <w:highlight w:val="none"/>
        </w:rPr>
        <w:t>五、企业类型的划分以统计部门的统计数据为依据。</w:t>
      </w:r>
    </w:p>
    <w:p>
      <w:pPr>
        <w:spacing w:line="560" w:lineRule="exact"/>
        <w:ind w:firstLine="420" w:firstLineChars="200"/>
        <w:rPr>
          <w:rFonts w:ascii="宋体" w:hAnsi="宋体" w:cs="宋体"/>
          <w:szCs w:val="21"/>
          <w:highlight w:val="none"/>
        </w:rPr>
      </w:pPr>
      <w:r>
        <w:rPr>
          <w:rFonts w:ascii="宋体" w:hAnsi="宋体" w:cs="宋体"/>
          <w:szCs w:val="21"/>
          <w:highlight w:val="none"/>
        </w:rPr>
        <w:t>六、本规定适用于在中华人民共和国境内依法设立的各类所有制和各种组织形式的企业。个体工商户和本规定以外的行业，参照本规定进行划型。</w:t>
      </w:r>
    </w:p>
    <w:p>
      <w:pPr>
        <w:spacing w:line="560" w:lineRule="exact"/>
        <w:ind w:firstLine="420" w:firstLineChars="200"/>
        <w:rPr>
          <w:rFonts w:ascii="宋体" w:hAnsi="宋体" w:cs="宋体"/>
          <w:szCs w:val="21"/>
          <w:highlight w:val="none"/>
        </w:rPr>
      </w:pPr>
      <w:r>
        <w:rPr>
          <w:rFonts w:ascii="宋体" w:hAnsi="宋体" w:cs="宋体"/>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20" w:firstLineChars="200"/>
        <w:rPr>
          <w:rFonts w:ascii="宋体" w:hAnsi="宋体" w:cs="宋体"/>
          <w:szCs w:val="21"/>
          <w:highlight w:val="none"/>
        </w:rPr>
      </w:pPr>
      <w:r>
        <w:rPr>
          <w:rFonts w:ascii="宋体" w:hAnsi="宋体" w:cs="宋体"/>
          <w:szCs w:val="21"/>
          <w:highlight w:val="none"/>
        </w:rPr>
        <w:t>八、本规定由工业和信息化部、国家统计局会同有关部门根据《国民经济行业分类》修订情况和企业发展变化情况适时修订。</w:t>
      </w:r>
    </w:p>
    <w:p>
      <w:pPr>
        <w:spacing w:line="560" w:lineRule="exact"/>
        <w:ind w:firstLine="420" w:firstLineChars="200"/>
        <w:rPr>
          <w:rFonts w:ascii="宋体" w:hAnsi="宋体" w:cs="宋体"/>
          <w:szCs w:val="21"/>
          <w:highlight w:val="none"/>
        </w:rPr>
      </w:pPr>
      <w:r>
        <w:rPr>
          <w:rFonts w:ascii="宋体" w:hAnsi="宋体" w:cs="宋体"/>
          <w:szCs w:val="21"/>
          <w:highlight w:val="none"/>
        </w:rPr>
        <w:t>九、本规定由工业和信息化部、国家统计局会同有关部门负责解释。</w:t>
      </w:r>
    </w:p>
    <w:p>
      <w:pPr>
        <w:spacing w:line="560" w:lineRule="exact"/>
        <w:ind w:firstLine="420" w:firstLineChars="200"/>
        <w:rPr>
          <w:rFonts w:ascii="宋体" w:hAnsi="宋体" w:cs="宋体"/>
          <w:szCs w:val="21"/>
          <w:highlight w:val="none"/>
        </w:rPr>
      </w:pPr>
      <w:r>
        <w:rPr>
          <w:rFonts w:ascii="宋体" w:hAnsi="宋体" w:cs="宋体"/>
          <w:szCs w:val="21"/>
          <w:highlight w:val="none"/>
        </w:rPr>
        <w:t>十、本规定自发布之日起执行，原国家经贸委、原国家计委、财政部和国家统计局2003年颁布的《中小企业标准暂行规定》同时废止。</w:t>
      </w:r>
    </w:p>
    <w:p>
      <w:pPr>
        <w:pStyle w:val="3"/>
        <w:rPr>
          <w:highlight w:val="none"/>
        </w:rPr>
      </w:pPr>
    </w:p>
    <w:p>
      <w:pPr>
        <w:widowControl/>
        <w:adjustRightInd w:val="0"/>
        <w:snapToGrid w:val="0"/>
        <w:spacing w:beforeLines="50" w:line="360" w:lineRule="auto"/>
        <w:ind w:firstLine="420" w:firstLineChars="200"/>
        <w:jc w:val="left"/>
        <w:rPr>
          <w:rFonts w:hAnsi="宋体" w:cs="宋体"/>
          <w:highlight w:val="none"/>
        </w:rPr>
      </w:pPr>
    </w:p>
    <w:p>
      <w:pPr>
        <w:rPr>
          <w:highlight w:val="none"/>
        </w:rPr>
      </w:pPr>
    </w:p>
    <w:p>
      <w:pPr>
        <w:rPr>
          <w:highlight w:val="none"/>
        </w:rPr>
      </w:pP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0000000000000000000"/>
    <w:charset w:val="00"/>
    <w:family w:val="roman"/>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0000000000000000000"/>
    <w:charset w:val="86"/>
    <w:family w:val="auto"/>
    <w:pitch w:val="default"/>
    <w:sig w:usb0="00000000" w:usb1="00000000" w:usb2="00000000" w:usb3="00000000" w:csb0="00040000" w:csb1="00000000"/>
  </w:font>
  <w:font w:name="方正美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3C018"/>
    <w:multiLevelType w:val="singleLevel"/>
    <w:tmpl w:val="ACB3C018"/>
    <w:lvl w:ilvl="0" w:tentative="0">
      <w:start w:val="2"/>
      <w:numFmt w:val="decimal"/>
      <w:suff w:val="nothing"/>
      <w:lvlText w:val="%1、"/>
      <w:lvlJc w:val="left"/>
    </w:lvl>
  </w:abstractNum>
  <w:abstractNum w:abstractNumId="1">
    <w:nsid w:val="B8DFBDA2"/>
    <w:multiLevelType w:val="singleLevel"/>
    <w:tmpl w:val="B8DFBDA2"/>
    <w:lvl w:ilvl="0" w:tentative="0">
      <w:start w:val="1"/>
      <w:numFmt w:val="chineseCounting"/>
      <w:suff w:val="nothing"/>
      <w:lvlText w:val="%1、"/>
      <w:lvlJc w:val="left"/>
      <w:rPr>
        <w:rFonts w:hint="eastAsia"/>
      </w:rPr>
    </w:lvl>
  </w:abstractNum>
  <w:abstractNum w:abstractNumId="2">
    <w:nsid w:val="F0467FC1"/>
    <w:multiLevelType w:val="singleLevel"/>
    <w:tmpl w:val="F0467FC1"/>
    <w:lvl w:ilvl="0" w:tentative="0">
      <w:start w:val="5"/>
      <w:numFmt w:val="chineseCounting"/>
      <w:suff w:val="nothing"/>
      <w:lvlText w:val="%1、"/>
      <w:lvlJc w:val="left"/>
      <w:rPr>
        <w:rFonts w:hint="eastAsia"/>
      </w:rPr>
    </w:lvl>
  </w:abstractNum>
  <w:abstractNum w:abstractNumId="3">
    <w:nsid w:val="00000009"/>
    <w:multiLevelType w:val="singleLevel"/>
    <w:tmpl w:val="00000009"/>
    <w:lvl w:ilvl="0" w:tentative="0">
      <w:start w:val="1"/>
      <w:numFmt w:val="chineseCounting"/>
      <w:suff w:val="nothing"/>
      <w:lvlText w:val="（%1）"/>
      <w:lvlJc w:val="left"/>
    </w:lvl>
  </w:abstractNum>
  <w:abstractNum w:abstractNumId="4">
    <w:nsid w:val="00000014"/>
    <w:multiLevelType w:val="singleLevel"/>
    <w:tmpl w:val="00000014"/>
    <w:lvl w:ilvl="0" w:tentative="0">
      <w:start w:val="2"/>
      <w:numFmt w:val="chineseCounting"/>
      <w:suff w:val="nothing"/>
      <w:lvlText w:val="（%1）"/>
      <w:lvlJc w:val="left"/>
    </w:lvl>
  </w:abstractNum>
  <w:abstractNum w:abstractNumId="5">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6"/>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1FDA9556"/>
    <w:multiLevelType w:val="singleLevel"/>
    <w:tmpl w:val="1FDA9556"/>
    <w:lvl w:ilvl="0" w:tentative="0">
      <w:start w:val="1"/>
      <w:numFmt w:val="decimal"/>
      <w:suff w:val="nothing"/>
      <w:lvlText w:val="%1、"/>
      <w:lvlJc w:val="left"/>
    </w:lvl>
  </w:abstractNum>
  <w:abstractNum w:abstractNumId="7">
    <w:nsid w:val="5384642F"/>
    <w:multiLevelType w:val="singleLevel"/>
    <w:tmpl w:val="5384642F"/>
    <w:lvl w:ilvl="0" w:tentative="0">
      <w:start w:val="2"/>
      <w:numFmt w:val="decimal"/>
      <w:suff w:val="nothing"/>
      <w:lvlText w:val="(%1）"/>
      <w:lvlJc w:val="left"/>
    </w:lvl>
  </w:abstractNum>
  <w:abstractNum w:abstractNumId="8">
    <w:nsid w:val="74926F5A"/>
    <w:multiLevelType w:val="singleLevel"/>
    <w:tmpl w:val="74926F5A"/>
    <w:lvl w:ilvl="0" w:tentative="0">
      <w:start w:val="1"/>
      <w:numFmt w:val="decimal"/>
      <w:suff w:val="nothing"/>
      <w:lvlText w:val="%1、"/>
      <w:lvlJc w:val="left"/>
    </w:lvl>
  </w:abstractNum>
  <w:num w:numId="1">
    <w:abstractNumId w:val="5"/>
  </w:num>
  <w:num w:numId="2">
    <w:abstractNumId w:val="0"/>
  </w:num>
  <w:num w:numId="3">
    <w:abstractNumId w:val="8"/>
  </w:num>
  <w:num w:numId="4">
    <w:abstractNumId w:val="7"/>
  </w:num>
  <w:num w:numId="5">
    <w:abstractNumId w:val="2"/>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mU3NmY3YWI1ZjU2MGQxYmRkMzIyNzMzNDUzNzMifQ=="/>
  </w:docVars>
  <w:rsids>
    <w:rsidRoot w:val="6ED143DF"/>
    <w:rsid w:val="00380A44"/>
    <w:rsid w:val="007A2E9D"/>
    <w:rsid w:val="007C513C"/>
    <w:rsid w:val="009841B2"/>
    <w:rsid w:val="009A42D6"/>
    <w:rsid w:val="00A446F2"/>
    <w:rsid w:val="00A96DA6"/>
    <w:rsid w:val="00B6518C"/>
    <w:rsid w:val="00B8521C"/>
    <w:rsid w:val="00BB2216"/>
    <w:rsid w:val="00BB5F99"/>
    <w:rsid w:val="00BD6B2C"/>
    <w:rsid w:val="00BE72BA"/>
    <w:rsid w:val="00E15531"/>
    <w:rsid w:val="00F32EA5"/>
    <w:rsid w:val="018832AE"/>
    <w:rsid w:val="01920C09"/>
    <w:rsid w:val="019C703D"/>
    <w:rsid w:val="01BC326E"/>
    <w:rsid w:val="01D42333"/>
    <w:rsid w:val="026766C6"/>
    <w:rsid w:val="026C6B8F"/>
    <w:rsid w:val="0273440B"/>
    <w:rsid w:val="02770D28"/>
    <w:rsid w:val="02BA4B49"/>
    <w:rsid w:val="036E1C54"/>
    <w:rsid w:val="03971FF9"/>
    <w:rsid w:val="03C56E70"/>
    <w:rsid w:val="03D15BD1"/>
    <w:rsid w:val="03D175AA"/>
    <w:rsid w:val="05104EFD"/>
    <w:rsid w:val="05371DFF"/>
    <w:rsid w:val="05BA0066"/>
    <w:rsid w:val="05D21213"/>
    <w:rsid w:val="05F308DC"/>
    <w:rsid w:val="06266975"/>
    <w:rsid w:val="06756F9B"/>
    <w:rsid w:val="0682777D"/>
    <w:rsid w:val="06B455AA"/>
    <w:rsid w:val="06C35138"/>
    <w:rsid w:val="074C582B"/>
    <w:rsid w:val="074E2C76"/>
    <w:rsid w:val="07D375F4"/>
    <w:rsid w:val="07D91234"/>
    <w:rsid w:val="07EC1B7E"/>
    <w:rsid w:val="0820033C"/>
    <w:rsid w:val="08781BE5"/>
    <w:rsid w:val="08DD7B92"/>
    <w:rsid w:val="093B2DCD"/>
    <w:rsid w:val="094A5D3A"/>
    <w:rsid w:val="094B32C4"/>
    <w:rsid w:val="098F1CC5"/>
    <w:rsid w:val="09A41046"/>
    <w:rsid w:val="09C744CE"/>
    <w:rsid w:val="09D731EC"/>
    <w:rsid w:val="09E60903"/>
    <w:rsid w:val="0A015154"/>
    <w:rsid w:val="0A3165AC"/>
    <w:rsid w:val="0A9E5530"/>
    <w:rsid w:val="0B132456"/>
    <w:rsid w:val="0B13554A"/>
    <w:rsid w:val="0B263BBF"/>
    <w:rsid w:val="0B305806"/>
    <w:rsid w:val="0B504CBC"/>
    <w:rsid w:val="0B770DC7"/>
    <w:rsid w:val="0BCA14D2"/>
    <w:rsid w:val="0BCB04EA"/>
    <w:rsid w:val="0BDF7E70"/>
    <w:rsid w:val="0BF47232"/>
    <w:rsid w:val="0C103E5D"/>
    <w:rsid w:val="0C5616F6"/>
    <w:rsid w:val="0C9F1A2D"/>
    <w:rsid w:val="0CC1331E"/>
    <w:rsid w:val="0D096665"/>
    <w:rsid w:val="0D4312F9"/>
    <w:rsid w:val="0D4E2719"/>
    <w:rsid w:val="0D752852"/>
    <w:rsid w:val="0D80220E"/>
    <w:rsid w:val="0D8524FD"/>
    <w:rsid w:val="0D92338F"/>
    <w:rsid w:val="0DAE686D"/>
    <w:rsid w:val="0E5B7A06"/>
    <w:rsid w:val="0E852299"/>
    <w:rsid w:val="0E942A02"/>
    <w:rsid w:val="0F0A1277"/>
    <w:rsid w:val="0F2F3F73"/>
    <w:rsid w:val="0F384902"/>
    <w:rsid w:val="0F993D6F"/>
    <w:rsid w:val="0FBC3D33"/>
    <w:rsid w:val="0FDC2F15"/>
    <w:rsid w:val="0FF408C6"/>
    <w:rsid w:val="10125CE4"/>
    <w:rsid w:val="101809F6"/>
    <w:rsid w:val="108337D9"/>
    <w:rsid w:val="1099301E"/>
    <w:rsid w:val="10BF0318"/>
    <w:rsid w:val="10DE4764"/>
    <w:rsid w:val="112213B5"/>
    <w:rsid w:val="11271087"/>
    <w:rsid w:val="115A19DC"/>
    <w:rsid w:val="12107109"/>
    <w:rsid w:val="121C07E7"/>
    <w:rsid w:val="12917BEC"/>
    <w:rsid w:val="12945E29"/>
    <w:rsid w:val="13286036"/>
    <w:rsid w:val="13793575"/>
    <w:rsid w:val="138E0BF6"/>
    <w:rsid w:val="13F73491"/>
    <w:rsid w:val="14080349"/>
    <w:rsid w:val="14317163"/>
    <w:rsid w:val="14544DA2"/>
    <w:rsid w:val="147B4E8F"/>
    <w:rsid w:val="147E45ED"/>
    <w:rsid w:val="14D00959"/>
    <w:rsid w:val="14D360D7"/>
    <w:rsid w:val="14D814A8"/>
    <w:rsid w:val="14EF49CC"/>
    <w:rsid w:val="14F6131A"/>
    <w:rsid w:val="150C3C2C"/>
    <w:rsid w:val="150E67E4"/>
    <w:rsid w:val="15313D54"/>
    <w:rsid w:val="160475D0"/>
    <w:rsid w:val="166A7498"/>
    <w:rsid w:val="16CE5293"/>
    <w:rsid w:val="17106926"/>
    <w:rsid w:val="173077B1"/>
    <w:rsid w:val="17334DD2"/>
    <w:rsid w:val="179F33AD"/>
    <w:rsid w:val="17F70FA3"/>
    <w:rsid w:val="1840777F"/>
    <w:rsid w:val="185B6662"/>
    <w:rsid w:val="18AD7830"/>
    <w:rsid w:val="18BE2B94"/>
    <w:rsid w:val="19B01C63"/>
    <w:rsid w:val="19BE1A8C"/>
    <w:rsid w:val="19FD57CF"/>
    <w:rsid w:val="1A367A19"/>
    <w:rsid w:val="1A6341BA"/>
    <w:rsid w:val="1B721C95"/>
    <w:rsid w:val="1B8E70BD"/>
    <w:rsid w:val="1BB34810"/>
    <w:rsid w:val="1C7A0918"/>
    <w:rsid w:val="1D4D4E04"/>
    <w:rsid w:val="1D503192"/>
    <w:rsid w:val="1D8D5363"/>
    <w:rsid w:val="1D98224C"/>
    <w:rsid w:val="1DEC7E07"/>
    <w:rsid w:val="1E343EB8"/>
    <w:rsid w:val="1E621BEF"/>
    <w:rsid w:val="1E801A97"/>
    <w:rsid w:val="1E88582D"/>
    <w:rsid w:val="1EB337F6"/>
    <w:rsid w:val="1ED43222"/>
    <w:rsid w:val="1F5A3745"/>
    <w:rsid w:val="200520AA"/>
    <w:rsid w:val="202D3985"/>
    <w:rsid w:val="20597D6A"/>
    <w:rsid w:val="205C73AC"/>
    <w:rsid w:val="20702529"/>
    <w:rsid w:val="20852024"/>
    <w:rsid w:val="20912DE6"/>
    <w:rsid w:val="20A613BC"/>
    <w:rsid w:val="20B96D9B"/>
    <w:rsid w:val="21012738"/>
    <w:rsid w:val="21891E99"/>
    <w:rsid w:val="21B41E96"/>
    <w:rsid w:val="21B82DDA"/>
    <w:rsid w:val="228B2E60"/>
    <w:rsid w:val="2297656C"/>
    <w:rsid w:val="22BC0B5F"/>
    <w:rsid w:val="22E86DBF"/>
    <w:rsid w:val="234F6862"/>
    <w:rsid w:val="237175D1"/>
    <w:rsid w:val="23800A53"/>
    <w:rsid w:val="239E5281"/>
    <w:rsid w:val="23E12F84"/>
    <w:rsid w:val="24831808"/>
    <w:rsid w:val="24936DFC"/>
    <w:rsid w:val="24B5084B"/>
    <w:rsid w:val="259C09D8"/>
    <w:rsid w:val="25B72B1E"/>
    <w:rsid w:val="25CB09F0"/>
    <w:rsid w:val="263477E4"/>
    <w:rsid w:val="265A55E1"/>
    <w:rsid w:val="266307ED"/>
    <w:rsid w:val="28486112"/>
    <w:rsid w:val="2891203A"/>
    <w:rsid w:val="28C7006B"/>
    <w:rsid w:val="293E7ABE"/>
    <w:rsid w:val="29BD3F8C"/>
    <w:rsid w:val="29CD23AB"/>
    <w:rsid w:val="29CE54D8"/>
    <w:rsid w:val="29E8079A"/>
    <w:rsid w:val="2A357194"/>
    <w:rsid w:val="2A4C61CD"/>
    <w:rsid w:val="2A5326E7"/>
    <w:rsid w:val="2A671492"/>
    <w:rsid w:val="2AEF765B"/>
    <w:rsid w:val="2B1002B1"/>
    <w:rsid w:val="2B4518D9"/>
    <w:rsid w:val="2B4726AA"/>
    <w:rsid w:val="2C183BD1"/>
    <w:rsid w:val="2C2A79AF"/>
    <w:rsid w:val="2C482C7A"/>
    <w:rsid w:val="2C6E577E"/>
    <w:rsid w:val="2D104533"/>
    <w:rsid w:val="2D174DDA"/>
    <w:rsid w:val="2D322CFA"/>
    <w:rsid w:val="2DA455ED"/>
    <w:rsid w:val="2DBB649F"/>
    <w:rsid w:val="2DEA1848"/>
    <w:rsid w:val="2DFA61F5"/>
    <w:rsid w:val="2E5C68C9"/>
    <w:rsid w:val="2E8B643F"/>
    <w:rsid w:val="2F086FEE"/>
    <w:rsid w:val="2F0A49C3"/>
    <w:rsid w:val="2F2F1152"/>
    <w:rsid w:val="2F492E2F"/>
    <w:rsid w:val="2FA1187F"/>
    <w:rsid w:val="2FA8623B"/>
    <w:rsid w:val="2FEA2CCE"/>
    <w:rsid w:val="301A0400"/>
    <w:rsid w:val="30484ED4"/>
    <w:rsid w:val="306759FA"/>
    <w:rsid w:val="30BF0F33"/>
    <w:rsid w:val="30CD311A"/>
    <w:rsid w:val="30D17BC6"/>
    <w:rsid w:val="30FF56FF"/>
    <w:rsid w:val="311C5EB2"/>
    <w:rsid w:val="31B37C0B"/>
    <w:rsid w:val="31C80964"/>
    <w:rsid w:val="31DC4866"/>
    <w:rsid w:val="32336131"/>
    <w:rsid w:val="32886247"/>
    <w:rsid w:val="33123037"/>
    <w:rsid w:val="33133931"/>
    <w:rsid w:val="33667A96"/>
    <w:rsid w:val="33684A30"/>
    <w:rsid w:val="33873E4C"/>
    <w:rsid w:val="339078BF"/>
    <w:rsid w:val="33A67D8F"/>
    <w:rsid w:val="33E617E7"/>
    <w:rsid w:val="342B6533"/>
    <w:rsid w:val="345F602F"/>
    <w:rsid w:val="34856C22"/>
    <w:rsid w:val="34985C97"/>
    <w:rsid w:val="354C0DA8"/>
    <w:rsid w:val="355636AE"/>
    <w:rsid w:val="356B2694"/>
    <w:rsid w:val="35867AFB"/>
    <w:rsid w:val="35A272C1"/>
    <w:rsid w:val="35F447E1"/>
    <w:rsid w:val="366D10A9"/>
    <w:rsid w:val="3670462D"/>
    <w:rsid w:val="36745910"/>
    <w:rsid w:val="367E3DCF"/>
    <w:rsid w:val="368D5B3F"/>
    <w:rsid w:val="36A46EC4"/>
    <w:rsid w:val="37084E21"/>
    <w:rsid w:val="37D50CB3"/>
    <w:rsid w:val="37D60DC8"/>
    <w:rsid w:val="37EA1E3C"/>
    <w:rsid w:val="37FC5541"/>
    <w:rsid w:val="38025BE4"/>
    <w:rsid w:val="3841554B"/>
    <w:rsid w:val="38536553"/>
    <w:rsid w:val="385A13D8"/>
    <w:rsid w:val="38F442C9"/>
    <w:rsid w:val="39261643"/>
    <w:rsid w:val="3947198D"/>
    <w:rsid w:val="395B2441"/>
    <w:rsid w:val="397077CA"/>
    <w:rsid w:val="39CF7AD1"/>
    <w:rsid w:val="3A6804A6"/>
    <w:rsid w:val="3A6E7D91"/>
    <w:rsid w:val="3ABF6BB0"/>
    <w:rsid w:val="3AE1095A"/>
    <w:rsid w:val="3B0F2B8D"/>
    <w:rsid w:val="3B100D14"/>
    <w:rsid w:val="3B5A0E09"/>
    <w:rsid w:val="3C1E6A1B"/>
    <w:rsid w:val="3C306200"/>
    <w:rsid w:val="3C634365"/>
    <w:rsid w:val="3C69217A"/>
    <w:rsid w:val="3C772BCF"/>
    <w:rsid w:val="3CEB7728"/>
    <w:rsid w:val="3CEF4208"/>
    <w:rsid w:val="3CFD2136"/>
    <w:rsid w:val="3D154811"/>
    <w:rsid w:val="3D18743F"/>
    <w:rsid w:val="3D191940"/>
    <w:rsid w:val="3D3651B7"/>
    <w:rsid w:val="3D4A6A3E"/>
    <w:rsid w:val="3D781ACF"/>
    <w:rsid w:val="3DD374A5"/>
    <w:rsid w:val="3DEA43D1"/>
    <w:rsid w:val="3DEC0EF8"/>
    <w:rsid w:val="3E0D4970"/>
    <w:rsid w:val="3E31421F"/>
    <w:rsid w:val="3E367B3B"/>
    <w:rsid w:val="3E56246E"/>
    <w:rsid w:val="3EDF5C0E"/>
    <w:rsid w:val="3EF064B9"/>
    <w:rsid w:val="3F5A4113"/>
    <w:rsid w:val="3F713419"/>
    <w:rsid w:val="3F7326A6"/>
    <w:rsid w:val="3F8777A0"/>
    <w:rsid w:val="3FE377C2"/>
    <w:rsid w:val="3FFC1F4A"/>
    <w:rsid w:val="400702D1"/>
    <w:rsid w:val="400D5696"/>
    <w:rsid w:val="40363F4D"/>
    <w:rsid w:val="403B449D"/>
    <w:rsid w:val="403E57B7"/>
    <w:rsid w:val="40F153D2"/>
    <w:rsid w:val="415D197D"/>
    <w:rsid w:val="41704488"/>
    <w:rsid w:val="419B77A1"/>
    <w:rsid w:val="42361E73"/>
    <w:rsid w:val="426052B1"/>
    <w:rsid w:val="42693748"/>
    <w:rsid w:val="42CB79C0"/>
    <w:rsid w:val="42E465ED"/>
    <w:rsid w:val="4304784C"/>
    <w:rsid w:val="432019FF"/>
    <w:rsid w:val="43434638"/>
    <w:rsid w:val="43456E3E"/>
    <w:rsid w:val="43473E6F"/>
    <w:rsid w:val="43570530"/>
    <w:rsid w:val="437C475F"/>
    <w:rsid w:val="43836B1F"/>
    <w:rsid w:val="43FC5790"/>
    <w:rsid w:val="444F4665"/>
    <w:rsid w:val="44707A26"/>
    <w:rsid w:val="448A21C4"/>
    <w:rsid w:val="44B17E39"/>
    <w:rsid w:val="451E7DE7"/>
    <w:rsid w:val="4552385F"/>
    <w:rsid w:val="45A74278"/>
    <w:rsid w:val="45C66051"/>
    <w:rsid w:val="4654532B"/>
    <w:rsid w:val="466F5263"/>
    <w:rsid w:val="4728328C"/>
    <w:rsid w:val="47BF59CE"/>
    <w:rsid w:val="47DD7215"/>
    <w:rsid w:val="480A6239"/>
    <w:rsid w:val="48386DF5"/>
    <w:rsid w:val="48BC46B3"/>
    <w:rsid w:val="49140D13"/>
    <w:rsid w:val="494E0463"/>
    <w:rsid w:val="49736F85"/>
    <w:rsid w:val="4978719B"/>
    <w:rsid w:val="49875199"/>
    <w:rsid w:val="49D308D2"/>
    <w:rsid w:val="49EC1D58"/>
    <w:rsid w:val="4A2A7011"/>
    <w:rsid w:val="4A40232E"/>
    <w:rsid w:val="4A901EB6"/>
    <w:rsid w:val="4AA47225"/>
    <w:rsid w:val="4AC421D0"/>
    <w:rsid w:val="4AC629D8"/>
    <w:rsid w:val="4B093BFF"/>
    <w:rsid w:val="4B680E06"/>
    <w:rsid w:val="4B9131FC"/>
    <w:rsid w:val="4B922F10"/>
    <w:rsid w:val="4BDC4ACD"/>
    <w:rsid w:val="4BE27E91"/>
    <w:rsid w:val="4BF4714D"/>
    <w:rsid w:val="4C030432"/>
    <w:rsid w:val="4C10349A"/>
    <w:rsid w:val="4C300310"/>
    <w:rsid w:val="4C7D60E1"/>
    <w:rsid w:val="4C8F40BF"/>
    <w:rsid w:val="4CCA02AF"/>
    <w:rsid w:val="4D222166"/>
    <w:rsid w:val="4D39427F"/>
    <w:rsid w:val="4D6F0A70"/>
    <w:rsid w:val="4D8E4993"/>
    <w:rsid w:val="4DC975D3"/>
    <w:rsid w:val="4E247693"/>
    <w:rsid w:val="4E4F78E6"/>
    <w:rsid w:val="4E5519EF"/>
    <w:rsid w:val="4E6C1054"/>
    <w:rsid w:val="4ED04A67"/>
    <w:rsid w:val="4F777C92"/>
    <w:rsid w:val="505E2DD7"/>
    <w:rsid w:val="508305DB"/>
    <w:rsid w:val="509332C4"/>
    <w:rsid w:val="50F62F45"/>
    <w:rsid w:val="50FF2F85"/>
    <w:rsid w:val="517A3CF9"/>
    <w:rsid w:val="517B193D"/>
    <w:rsid w:val="51B86C58"/>
    <w:rsid w:val="51D0248C"/>
    <w:rsid w:val="520D2047"/>
    <w:rsid w:val="523B0C2D"/>
    <w:rsid w:val="52A656A1"/>
    <w:rsid w:val="53123849"/>
    <w:rsid w:val="53530CC7"/>
    <w:rsid w:val="53767A24"/>
    <w:rsid w:val="537B1E8D"/>
    <w:rsid w:val="53812C72"/>
    <w:rsid w:val="53AF3B1D"/>
    <w:rsid w:val="543E1C13"/>
    <w:rsid w:val="54452DCD"/>
    <w:rsid w:val="54DD5E1F"/>
    <w:rsid w:val="54EA58EB"/>
    <w:rsid w:val="55002ABE"/>
    <w:rsid w:val="552449E0"/>
    <w:rsid w:val="552D6B14"/>
    <w:rsid w:val="556F5E3B"/>
    <w:rsid w:val="55A801D9"/>
    <w:rsid w:val="55DC36BF"/>
    <w:rsid w:val="55EC0EA4"/>
    <w:rsid w:val="561A0C37"/>
    <w:rsid w:val="562C492F"/>
    <w:rsid w:val="56477D84"/>
    <w:rsid w:val="565C7E27"/>
    <w:rsid w:val="56647828"/>
    <w:rsid w:val="566975FC"/>
    <w:rsid w:val="56EC1371"/>
    <w:rsid w:val="570C3B9D"/>
    <w:rsid w:val="571C051F"/>
    <w:rsid w:val="573A5EA1"/>
    <w:rsid w:val="57820E76"/>
    <w:rsid w:val="57C837E8"/>
    <w:rsid w:val="57EB5A28"/>
    <w:rsid w:val="580E7831"/>
    <w:rsid w:val="58153265"/>
    <w:rsid w:val="583F0447"/>
    <w:rsid w:val="58987DCC"/>
    <w:rsid w:val="599A6948"/>
    <w:rsid w:val="59B44FC4"/>
    <w:rsid w:val="59DB6CB6"/>
    <w:rsid w:val="59E57744"/>
    <w:rsid w:val="5A161244"/>
    <w:rsid w:val="5A8926B6"/>
    <w:rsid w:val="5AD70573"/>
    <w:rsid w:val="5B2B06FA"/>
    <w:rsid w:val="5B43798A"/>
    <w:rsid w:val="5B7374E2"/>
    <w:rsid w:val="5B7830E4"/>
    <w:rsid w:val="5B960BEB"/>
    <w:rsid w:val="5BD4006F"/>
    <w:rsid w:val="5C2C5241"/>
    <w:rsid w:val="5C7557DB"/>
    <w:rsid w:val="5CBB0FD3"/>
    <w:rsid w:val="5CDB777B"/>
    <w:rsid w:val="5CF67809"/>
    <w:rsid w:val="5CF90651"/>
    <w:rsid w:val="5D8D5174"/>
    <w:rsid w:val="5DEA03F9"/>
    <w:rsid w:val="5E2923F6"/>
    <w:rsid w:val="5E350A96"/>
    <w:rsid w:val="5F130201"/>
    <w:rsid w:val="5F1F4DC8"/>
    <w:rsid w:val="5F3063D5"/>
    <w:rsid w:val="5F524731"/>
    <w:rsid w:val="5F6533FA"/>
    <w:rsid w:val="5F790351"/>
    <w:rsid w:val="5FBB4B14"/>
    <w:rsid w:val="5FF17FB3"/>
    <w:rsid w:val="6016117F"/>
    <w:rsid w:val="60252C64"/>
    <w:rsid w:val="605D1473"/>
    <w:rsid w:val="60790732"/>
    <w:rsid w:val="60A72FB3"/>
    <w:rsid w:val="60E07105"/>
    <w:rsid w:val="612C7132"/>
    <w:rsid w:val="61651D73"/>
    <w:rsid w:val="624357C0"/>
    <w:rsid w:val="624539D2"/>
    <w:rsid w:val="624A5B9D"/>
    <w:rsid w:val="62515207"/>
    <w:rsid w:val="637B517C"/>
    <w:rsid w:val="63FF6A56"/>
    <w:rsid w:val="64012677"/>
    <w:rsid w:val="645A21DB"/>
    <w:rsid w:val="64F4073D"/>
    <w:rsid w:val="6551032B"/>
    <w:rsid w:val="6582793A"/>
    <w:rsid w:val="65CF59A5"/>
    <w:rsid w:val="65FC6460"/>
    <w:rsid w:val="662F646E"/>
    <w:rsid w:val="66520FA0"/>
    <w:rsid w:val="66D63C3E"/>
    <w:rsid w:val="67227A3E"/>
    <w:rsid w:val="675B47E2"/>
    <w:rsid w:val="67717307"/>
    <w:rsid w:val="677B4389"/>
    <w:rsid w:val="679421E1"/>
    <w:rsid w:val="67AB69ED"/>
    <w:rsid w:val="67BC1C2C"/>
    <w:rsid w:val="67F34DB0"/>
    <w:rsid w:val="67F421CD"/>
    <w:rsid w:val="680028B9"/>
    <w:rsid w:val="6863755E"/>
    <w:rsid w:val="68EA743D"/>
    <w:rsid w:val="69282794"/>
    <w:rsid w:val="694375A8"/>
    <w:rsid w:val="694C40EE"/>
    <w:rsid w:val="695D21DB"/>
    <w:rsid w:val="6A483F11"/>
    <w:rsid w:val="6A800C81"/>
    <w:rsid w:val="6ADA0A78"/>
    <w:rsid w:val="6AE31E23"/>
    <w:rsid w:val="6B0A00AD"/>
    <w:rsid w:val="6B430771"/>
    <w:rsid w:val="6B604AAA"/>
    <w:rsid w:val="6B714CB9"/>
    <w:rsid w:val="6B876582"/>
    <w:rsid w:val="6BE86945"/>
    <w:rsid w:val="6BEC78DC"/>
    <w:rsid w:val="6BFE35AB"/>
    <w:rsid w:val="6C182D5A"/>
    <w:rsid w:val="6C313378"/>
    <w:rsid w:val="6C5A4261"/>
    <w:rsid w:val="6CEB32CF"/>
    <w:rsid w:val="6D626E71"/>
    <w:rsid w:val="6DEB496C"/>
    <w:rsid w:val="6E794EB4"/>
    <w:rsid w:val="6EC07B1E"/>
    <w:rsid w:val="6ED143DF"/>
    <w:rsid w:val="6ED258E7"/>
    <w:rsid w:val="6EE721FC"/>
    <w:rsid w:val="6EE74CE6"/>
    <w:rsid w:val="6F0138BC"/>
    <w:rsid w:val="6F24740B"/>
    <w:rsid w:val="6F250D7D"/>
    <w:rsid w:val="6F264866"/>
    <w:rsid w:val="6F4C1E7C"/>
    <w:rsid w:val="6F9602BE"/>
    <w:rsid w:val="6FAB1139"/>
    <w:rsid w:val="6FD23394"/>
    <w:rsid w:val="6FE71612"/>
    <w:rsid w:val="6FEA07E1"/>
    <w:rsid w:val="70180B22"/>
    <w:rsid w:val="704C2207"/>
    <w:rsid w:val="70587143"/>
    <w:rsid w:val="706A0EB6"/>
    <w:rsid w:val="70890A7F"/>
    <w:rsid w:val="716A53DF"/>
    <w:rsid w:val="71956C97"/>
    <w:rsid w:val="71972CB9"/>
    <w:rsid w:val="7201773D"/>
    <w:rsid w:val="722B43B9"/>
    <w:rsid w:val="72463A54"/>
    <w:rsid w:val="72CF1ADB"/>
    <w:rsid w:val="73511DA3"/>
    <w:rsid w:val="73680930"/>
    <w:rsid w:val="73921139"/>
    <w:rsid w:val="73E874C4"/>
    <w:rsid w:val="740315C7"/>
    <w:rsid w:val="74155244"/>
    <w:rsid w:val="745622FE"/>
    <w:rsid w:val="746C079B"/>
    <w:rsid w:val="7490370B"/>
    <w:rsid w:val="74D363BF"/>
    <w:rsid w:val="75346601"/>
    <w:rsid w:val="7576521A"/>
    <w:rsid w:val="759C64F7"/>
    <w:rsid w:val="75CC68B9"/>
    <w:rsid w:val="76674885"/>
    <w:rsid w:val="769339B8"/>
    <w:rsid w:val="769E45E6"/>
    <w:rsid w:val="76F215C3"/>
    <w:rsid w:val="77335B49"/>
    <w:rsid w:val="775C1CF0"/>
    <w:rsid w:val="777B4075"/>
    <w:rsid w:val="778515B2"/>
    <w:rsid w:val="77C4370A"/>
    <w:rsid w:val="77C47975"/>
    <w:rsid w:val="77CD448B"/>
    <w:rsid w:val="7857031B"/>
    <w:rsid w:val="7862655F"/>
    <w:rsid w:val="78743471"/>
    <w:rsid w:val="788F1B77"/>
    <w:rsid w:val="78964FAD"/>
    <w:rsid w:val="79217B5A"/>
    <w:rsid w:val="795514F4"/>
    <w:rsid w:val="795D1B28"/>
    <w:rsid w:val="798113A7"/>
    <w:rsid w:val="79DE22D9"/>
    <w:rsid w:val="79F879A4"/>
    <w:rsid w:val="7A135350"/>
    <w:rsid w:val="7A927161"/>
    <w:rsid w:val="7A9E2C9D"/>
    <w:rsid w:val="7ADA3909"/>
    <w:rsid w:val="7AEB7033"/>
    <w:rsid w:val="7AED1F90"/>
    <w:rsid w:val="7B044AAE"/>
    <w:rsid w:val="7B510838"/>
    <w:rsid w:val="7B527388"/>
    <w:rsid w:val="7B5F2248"/>
    <w:rsid w:val="7B9513D2"/>
    <w:rsid w:val="7BC3707F"/>
    <w:rsid w:val="7C0D1405"/>
    <w:rsid w:val="7C204F50"/>
    <w:rsid w:val="7C5F7671"/>
    <w:rsid w:val="7CD173E7"/>
    <w:rsid w:val="7CFF0611"/>
    <w:rsid w:val="7D0B50FF"/>
    <w:rsid w:val="7D6853E5"/>
    <w:rsid w:val="7DAC4E78"/>
    <w:rsid w:val="7DB873FD"/>
    <w:rsid w:val="7DDC7159"/>
    <w:rsid w:val="7ED2473B"/>
    <w:rsid w:val="7EE066E8"/>
    <w:rsid w:val="7EEF0A6E"/>
    <w:rsid w:val="7F2F2103"/>
    <w:rsid w:val="7F3D0030"/>
    <w:rsid w:val="7F49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sz w:val="24"/>
    </w:rPr>
  </w:style>
  <w:style w:type="paragraph" w:styleId="5">
    <w:name w:val="heading 4"/>
    <w:basedOn w:val="1"/>
    <w:next w:val="1"/>
    <w:link w:val="52"/>
    <w:qFormat/>
    <w:uiPriority w:val="0"/>
    <w:pPr>
      <w:keepNext/>
      <w:keepLines/>
      <w:spacing w:line="360" w:lineRule="auto"/>
      <w:outlineLvl w:val="3"/>
    </w:pPr>
    <w:rPr>
      <w:rFonts w:ascii="Arial" w:hAnsi="Arial"/>
      <w:b/>
      <w:kern w:val="0"/>
      <w:sz w:val="20"/>
    </w:rPr>
  </w:style>
  <w:style w:type="paragraph" w:styleId="6">
    <w:name w:val="heading 6"/>
    <w:basedOn w:val="1"/>
    <w:next w:val="1"/>
    <w:qFormat/>
    <w:uiPriority w:val="0"/>
    <w:pPr>
      <w:keepNext/>
      <w:keepLines/>
      <w:numPr>
        <w:ilvl w:val="5"/>
        <w:numId w:val="1"/>
      </w:numPr>
      <w:tabs>
        <w:tab w:val="left" w:pos="1152"/>
      </w:tabs>
      <w:spacing w:line="317"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First Indent"/>
    <w:basedOn w:val="8"/>
    <w:next w:val="11"/>
    <w:unhideWhenUsed/>
    <w:qFormat/>
    <w:uiPriority w:val="99"/>
    <w:pPr>
      <w:ind w:firstLine="420" w:firstLineChars="100"/>
    </w:pPr>
  </w:style>
  <w:style w:type="paragraph" w:styleId="8">
    <w:name w:val="Body Text"/>
    <w:basedOn w:val="1"/>
    <w:next w:val="9"/>
    <w:qFormat/>
    <w:uiPriority w:val="0"/>
    <w:pPr>
      <w:spacing w:after="120"/>
    </w:pPr>
  </w:style>
  <w:style w:type="paragraph" w:customStyle="1" w:styleId="9">
    <w:name w:val="style4"/>
    <w:basedOn w:val="1"/>
    <w:next w:val="10"/>
    <w:qFormat/>
    <w:uiPriority w:val="0"/>
    <w:pPr>
      <w:widowControl/>
      <w:autoSpaceDE w:val="0"/>
      <w:spacing w:before="280" w:after="280"/>
    </w:pPr>
    <w:rPr>
      <w:rFonts w:ascii="宋体" w:hAnsi="宋体" w:cs="宋体"/>
      <w:sz w:val="18"/>
      <w:szCs w:val="18"/>
    </w:rPr>
  </w:style>
  <w:style w:type="paragraph" w:customStyle="1" w:styleId="10">
    <w:name w:val="2"/>
    <w:basedOn w:val="1"/>
    <w:next w:val="1"/>
    <w:qFormat/>
    <w:uiPriority w:val="0"/>
    <w:rPr>
      <w:kern w:val="0"/>
    </w:rPr>
  </w:style>
  <w:style w:type="paragraph" w:styleId="11">
    <w:name w:val="Body Text First Indent 2"/>
    <w:basedOn w:val="12"/>
    <w:next w:val="14"/>
    <w:qFormat/>
    <w:uiPriority w:val="0"/>
    <w:pPr>
      <w:adjustRightInd w:val="0"/>
      <w:spacing w:line="360" w:lineRule="auto"/>
      <w:ind w:firstLine="210"/>
      <w:textAlignment w:val="baseline"/>
    </w:pPr>
    <w:rPr>
      <w:rFonts w:ascii="Book Antiqua" w:hAnsi="Book Antiqua"/>
    </w:rPr>
  </w:style>
  <w:style w:type="paragraph" w:styleId="12">
    <w:name w:val="Body Text Indent"/>
    <w:basedOn w:val="1"/>
    <w:next w:val="13"/>
    <w:qFormat/>
    <w:uiPriority w:val="0"/>
    <w:pPr>
      <w:spacing w:line="480" w:lineRule="exact"/>
      <w:ind w:firstLine="480" w:firstLineChars="200"/>
    </w:pPr>
    <w:rPr>
      <w:rFonts w:ascii="宋体" w:hAnsi="宋体"/>
      <w:sz w:val="24"/>
    </w:rPr>
  </w:style>
  <w:style w:type="paragraph" w:styleId="13">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 w:type="paragraph" w:styleId="14">
    <w:name w:val="Normal Indent"/>
    <w:basedOn w:val="1"/>
    <w:next w:val="15"/>
    <w:unhideWhenUsed/>
    <w:qFormat/>
    <w:uiPriority w:val="0"/>
    <w:pPr>
      <w:ind w:firstLine="420"/>
    </w:pPr>
  </w:style>
  <w:style w:type="paragraph" w:styleId="15">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6">
    <w:name w:val="caption"/>
    <w:basedOn w:val="1"/>
    <w:next w:val="1"/>
    <w:qFormat/>
    <w:uiPriority w:val="99"/>
    <w:rPr>
      <w:rFonts w:ascii="Cambria" w:hAnsi="Cambria" w:eastAsia="黑体"/>
      <w:sz w:val="20"/>
    </w:rPr>
  </w:style>
  <w:style w:type="paragraph" w:styleId="17">
    <w:name w:val="toa heading"/>
    <w:basedOn w:val="1"/>
    <w:next w:val="1"/>
    <w:qFormat/>
    <w:uiPriority w:val="0"/>
    <w:pPr>
      <w:spacing w:before="120"/>
    </w:pPr>
    <w:rPr>
      <w:rFonts w:ascii="Arial" w:hAnsi="Arial" w:cs="Arial"/>
      <w:sz w:val="24"/>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qFormat/>
    <w:uiPriority w:val="39"/>
    <w:pPr>
      <w:ind w:left="840" w:leftChars="400"/>
    </w:pPr>
  </w:style>
  <w:style w:type="paragraph" w:styleId="20">
    <w:name w:val="Body Text Indent 2"/>
    <w:basedOn w:val="1"/>
    <w:next w:val="1"/>
    <w:unhideWhenUsed/>
    <w:qFormat/>
    <w:uiPriority w:val="99"/>
    <w:pPr>
      <w:spacing w:before="100" w:beforeAutospacing="1" w:after="120" w:line="480" w:lineRule="auto"/>
      <w:ind w:left="420" w:leftChars="200"/>
    </w:pPr>
  </w:style>
  <w:style w:type="paragraph" w:styleId="21">
    <w:name w:val="Balloon Text"/>
    <w:basedOn w:val="1"/>
    <w:link w:val="43"/>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toc 2"/>
    <w:basedOn w:val="1"/>
    <w:next w:val="1"/>
    <w:unhideWhenUsed/>
    <w:qFormat/>
    <w:uiPriority w:val="39"/>
    <w:pPr>
      <w:ind w:left="420" w:leftChars="200"/>
    </w:p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1F3149"/>
      <w:u w:val="none"/>
    </w:rPr>
  </w:style>
  <w:style w:type="character" w:styleId="31">
    <w:name w:val="HTML Definition"/>
    <w:basedOn w:val="27"/>
    <w:qFormat/>
    <w:uiPriority w:val="0"/>
    <w:rPr>
      <w:i/>
      <w:iCs/>
    </w:rPr>
  </w:style>
  <w:style w:type="character" w:styleId="32">
    <w:name w:val="Hyperlink"/>
    <w:basedOn w:val="27"/>
    <w:qFormat/>
    <w:uiPriority w:val="99"/>
    <w:rPr>
      <w:color w:val="1F3149"/>
      <w:u w:val="none"/>
    </w:rPr>
  </w:style>
  <w:style w:type="character" w:styleId="33">
    <w:name w:val="HTML Code"/>
    <w:basedOn w:val="27"/>
    <w:qFormat/>
    <w:uiPriority w:val="0"/>
    <w:rPr>
      <w:rFonts w:ascii="Consolas" w:hAnsi="Consolas" w:eastAsia="Consolas" w:cs="Consolas"/>
      <w:color w:val="C7254E"/>
      <w:sz w:val="21"/>
      <w:szCs w:val="21"/>
      <w:shd w:val="clear" w:fill="F9F2F4"/>
    </w:rPr>
  </w:style>
  <w:style w:type="character" w:styleId="34">
    <w:name w:val="HTML Keyboard"/>
    <w:basedOn w:val="27"/>
    <w:qFormat/>
    <w:uiPriority w:val="0"/>
    <w:rPr>
      <w:rFonts w:hint="default" w:ascii="Consolas" w:hAnsi="Consolas" w:eastAsia="Consolas" w:cs="Consolas"/>
      <w:color w:val="FFFFFF"/>
      <w:sz w:val="21"/>
      <w:szCs w:val="21"/>
      <w:shd w:val="clear" w:fill="333333"/>
    </w:rPr>
  </w:style>
  <w:style w:type="character" w:styleId="35">
    <w:name w:val="HTML Sample"/>
    <w:basedOn w:val="27"/>
    <w:qFormat/>
    <w:uiPriority w:val="0"/>
    <w:rPr>
      <w:rFonts w:hint="default" w:ascii="Consolas" w:hAnsi="Consolas" w:eastAsia="Consolas" w:cs="Consolas"/>
      <w:sz w:val="21"/>
      <w:szCs w:val="21"/>
    </w:rPr>
  </w:style>
  <w:style w:type="table" w:styleId="37">
    <w:name w:val="Table Grid"/>
    <w:basedOn w:val="3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ody text|1"/>
    <w:basedOn w:val="1"/>
    <w:qFormat/>
    <w:uiPriority w:val="0"/>
    <w:pPr>
      <w:spacing w:line="437" w:lineRule="auto"/>
    </w:pPr>
    <w:rPr>
      <w:rFonts w:ascii="宋体" w:hAnsi="宋体" w:cs="宋体"/>
      <w:sz w:val="20"/>
      <w:lang w:val="zh-CN" w:bidi="zh-CN"/>
    </w:rPr>
  </w:style>
  <w:style w:type="paragraph" w:customStyle="1" w:styleId="40">
    <w:name w:val="p"/>
    <w:basedOn w:val="1"/>
    <w:qFormat/>
    <w:uiPriority w:val="0"/>
    <w:pPr>
      <w:widowControl/>
      <w:spacing w:line="432" w:lineRule="auto"/>
      <w:jc w:val="left"/>
    </w:pPr>
    <w:rPr>
      <w:rFonts w:ascii="宋体" w:hAnsi="宋体" w:cs="宋体"/>
      <w:kern w:val="0"/>
      <w:sz w:val="24"/>
      <w:szCs w:val="24"/>
    </w:rPr>
  </w:style>
  <w:style w:type="character" w:customStyle="1" w:styleId="41">
    <w:name w:val="标题 4 Char"/>
    <w:link w:val="5"/>
    <w:qFormat/>
    <w:uiPriority w:val="0"/>
    <w:rPr>
      <w:rFonts w:ascii="Arial" w:hAnsi="Arial"/>
      <w:b/>
      <w:kern w:val="0"/>
      <w:sz w:val="20"/>
    </w:rPr>
  </w:style>
  <w:style w:type="paragraph" w:customStyle="1" w:styleId="42">
    <w:name w:val="节标题"/>
    <w:basedOn w:val="1"/>
    <w:next w:val="1"/>
    <w:qFormat/>
    <w:uiPriority w:val="0"/>
    <w:pPr>
      <w:widowControl/>
      <w:spacing w:line="578" w:lineRule="atLeast"/>
      <w:jc w:val="center"/>
      <w:textAlignment w:val="baseline"/>
    </w:pPr>
    <w:rPr>
      <w:color w:val="000000"/>
      <w:sz w:val="28"/>
      <w:u w:color="000000"/>
    </w:rPr>
  </w:style>
  <w:style w:type="character" w:customStyle="1" w:styleId="43">
    <w:name w:val="批注框文本 Char"/>
    <w:basedOn w:val="27"/>
    <w:link w:val="21"/>
    <w:qFormat/>
    <w:uiPriority w:val="0"/>
    <w:rPr>
      <w:kern w:val="2"/>
      <w:sz w:val="18"/>
      <w:szCs w:val="18"/>
    </w:rPr>
  </w:style>
  <w:style w:type="paragraph" w:customStyle="1" w:styleId="44">
    <w:name w:val="无间隔1"/>
    <w:basedOn w:val="45"/>
    <w:next w:val="16"/>
    <w:qFormat/>
    <w:uiPriority w:val="1"/>
    <w:pPr>
      <w:spacing w:line="400" w:lineRule="exact"/>
    </w:pPr>
    <w:rPr>
      <w:sz w:val="24"/>
    </w:rPr>
  </w:style>
  <w:style w:type="paragraph" w:customStyle="1" w:styleId="45">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Table Paragraph"/>
    <w:basedOn w:val="1"/>
    <w:qFormat/>
    <w:uiPriority w:val="0"/>
  </w:style>
  <w:style w:type="paragraph" w:customStyle="1" w:styleId="48">
    <w:name w:val="p0"/>
    <w:basedOn w:val="1"/>
    <w:unhideWhenUsed/>
    <w:qFormat/>
    <w:uiPriority w:val="0"/>
    <w:pPr>
      <w:widowControl/>
    </w:pPr>
    <w:rPr>
      <w:rFonts w:hint="eastAsia"/>
    </w:rPr>
  </w:style>
  <w:style w:type="character" w:customStyle="1" w:styleId="49">
    <w:name w:val="NormalCharacter"/>
    <w:semiHidden/>
    <w:qFormat/>
    <w:uiPriority w:val="0"/>
    <w:rPr>
      <w:kern w:val="2"/>
      <w:sz w:val="21"/>
      <w:szCs w:val="21"/>
      <w:lang w:val="en-US" w:eastAsia="zh-CN" w:bidi="ar-SA"/>
    </w:rPr>
  </w:style>
  <w:style w:type="paragraph" w:styleId="50">
    <w:name w:val="List Paragraph"/>
    <w:basedOn w:val="1"/>
    <w:qFormat/>
    <w:uiPriority w:val="99"/>
    <w:pPr>
      <w:ind w:firstLine="420" w:firstLineChars="200"/>
    </w:pPr>
  </w:style>
  <w:style w:type="character" w:customStyle="1" w:styleId="51">
    <w:name w:val="fontstyle01"/>
    <w:qFormat/>
    <w:uiPriority w:val="0"/>
    <w:rPr>
      <w:rFonts w:hint="eastAsia" w:ascii="黑体" w:hAnsi="宋体" w:eastAsia="黑体" w:cs="黑体"/>
      <w:color w:val="000000"/>
      <w:sz w:val="22"/>
      <w:szCs w:val="22"/>
    </w:rPr>
  </w:style>
  <w:style w:type="character" w:customStyle="1" w:styleId="52">
    <w:name w:val="标题 4 Char1"/>
    <w:link w:val="5"/>
    <w:qFormat/>
    <w:uiPriority w:val="0"/>
    <w:rPr>
      <w:rFonts w:ascii="Arial" w:hAnsi="Arial"/>
      <w:b/>
      <w:kern w:val="0"/>
      <w:sz w:val="20"/>
    </w:rPr>
  </w:style>
  <w:style w:type="paragraph" w:customStyle="1" w:styleId="53">
    <w:name w:val="List Paragraph1"/>
    <w:basedOn w:val="1"/>
    <w:next w:val="1"/>
    <w:qFormat/>
    <w:uiPriority w:val="0"/>
    <w:pPr>
      <w:widowControl/>
      <w:spacing w:line="360" w:lineRule="auto"/>
      <w:ind w:firstLine="480" w:firstLineChars="200"/>
      <w:jc w:val="left"/>
    </w:pPr>
    <w:rPr>
      <w:rFonts w:ascii="宋体" w:hAnsi="宋体"/>
      <w:sz w:val="24"/>
    </w:rPr>
  </w:style>
  <w:style w:type="paragraph" w:customStyle="1" w:styleId="54">
    <w:name w:val="MSG_EN_FONT_STYLE_NAME_TEMPLATE_ROLE_NUMBER MSG_EN_FONT_STYLE_NAME_BY_ROLE_TEXT 21"/>
    <w:basedOn w:val="1"/>
    <w:qFormat/>
    <w:uiPriority w:val="0"/>
    <w:pPr>
      <w:shd w:val="clear" w:color="auto" w:fill="FFFFFF"/>
      <w:spacing w:before="240" w:line="355" w:lineRule="exact"/>
    </w:pPr>
    <w:rPr>
      <w:rFonts w:ascii="宋体" w:hAnsi="宋体" w:eastAsia="宋体"/>
      <w:color w:val="auto"/>
      <w:sz w:val="20"/>
      <w:szCs w:val="20"/>
      <w:lang w:bidi="ar-SA"/>
    </w:rPr>
  </w:style>
  <w:style w:type="paragraph" w:customStyle="1" w:styleId="55">
    <w:name w:val="BodyTextIndent2"/>
    <w:basedOn w:val="1"/>
    <w:qFormat/>
    <w:uiPriority w:val="0"/>
    <w:pPr>
      <w:spacing w:after="120" w:line="480" w:lineRule="auto"/>
      <w:ind w:left="420" w:leftChars="200"/>
    </w:pPr>
  </w:style>
  <w:style w:type="character" w:customStyle="1" w:styleId="56">
    <w:name w:val="first-child1"/>
    <w:basedOn w:val="27"/>
    <w:qFormat/>
    <w:uiPriority w:val="0"/>
  </w:style>
  <w:style w:type="character" w:customStyle="1" w:styleId="57">
    <w:name w:val="l_8"/>
    <w:basedOn w:val="27"/>
    <w:qFormat/>
    <w:uiPriority w:val="0"/>
  </w:style>
  <w:style w:type="character" w:customStyle="1" w:styleId="58">
    <w:name w:val="l_81"/>
    <w:basedOn w:val="27"/>
    <w:qFormat/>
    <w:uiPriority w:val="0"/>
  </w:style>
  <w:style w:type="character" w:customStyle="1" w:styleId="59">
    <w:name w:val="l_6"/>
    <w:basedOn w:val="27"/>
    <w:qFormat/>
    <w:uiPriority w:val="0"/>
  </w:style>
  <w:style w:type="character" w:customStyle="1" w:styleId="60">
    <w:name w:val="m-text"/>
    <w:basedOn w:val="27"/>
    <w:uiPriority w:val="0"/>
  </w:style>
  <w:style w:type="character" w:customStyle="1" w:styleId="61">
    <w:name w:val="l_3"/>
    <w:basedOn w:val="27"/>
    <w:uiPriority w:val="0"/>
  </w:style>
  <w:style w:type="character" w:customStyle="1" w:styleId="62">
    <w:name w:val="l_12"/>
    <w:basedOn w:val="27"/>
    <w:qFormat/>
    <w:uiPriority w:val="0"/>
  </w:style>
  <w:style w:type="character" w:customStyle="1" w:styleId="63">
    <w:name w:val="l_0"/>
    <w:basedOn w:val="27"/>
    <w:qFormat/>
    <w:uiPriority w:val="0"/>
  </w:style>
  <w:style w:type="character" w:customStyle="1" w:styleId="64">
    <w:name w:val="l_01"/>
    <w:basedOn w:val="27"/>
    <w:qFormat/>
    <w:uiPriority w:val="0"/>
  </w:style>
  <w:style w:type="character" w:customStyle="1" w:styleId="65">
    <w:name w:val="l_1"/>
    <w:basedOn w:val="27"/>
    <w:qFormat/>
    <w:uiPriority w:val="0"/>
  </w:style>
  <w:style w:type="character" w:customStyle="1" w:styleId="66">
    <w:name w:val="icon_gzkj"/>
    <w:basedOn w:val="27"/>
    <w:uiPriority w:val="0"/>
  </w:style>
  <w:style w:type="character" w:customStyle="1" w:styleId="67">
    <w:name w:val="l_7"/>
    <w:basedOn w:val="27"/>
    <w:qFormat/>
    <w:uiPriority w:val="0"/>
  </w:style>
  <w:style w:type="character" w:customStyle="1" w:styleId="68">
    <w:name w:val="color-blue"/>
    <w:basedOn w:val="27"/>
    <w:qFormat/>
    <w:uiPriority w:val="0"/>
    <w:rPr>
      <w:color w:val="1890FF"/>
      <w:sz w:val="18"/>
      <w:szCs w:val="18"/>
      <w:bdr w:val="single" w:color="1890FF" w:sz="6" w:space="0"/>
    </w:rPr>
  </w:style>
  <w:style w:type="character" w:customStyle="1" w:styleId="69">
    <w:name w:val="l_4"/>
    <w:basedOn w:val="27"/>
    <w:qFormat/>
    <w:uiPriority w:val="0"/>
  </w:style>
  <w:style w:type="character" w:customStyle="1" w:styleId="70">
    <w:name w:val="l_41"/>
    <w:basedOn w:val="27"/>
    <w:qFormat/>
    <w:uiPriority w:val="0"/>
  </w:style>
  <w:style w:type="character" w:customStyle="1" w:styleId="71">
    <w:name w:val="layui-laypage-curr"/>
    <w:basedOn w:val="27"/>
    <w:qFormat/>
    <w:uiPriority w:val="0"/>
  </w:style>
  <w:style w:type="character" w:customStyle="1" w:styleId="72">
    <w:name w:val="l_11"/>
    <w:basedOn w:val="27"/>
    <w:qFormat/>
    <w:uiPriority w:val="0"/>
  </w:style>
  <w:style w:type="character" w:customStyle="1" w:styleId="73">
    <w:name w:val="icon_xzry"/>
    <w:basedOn w:val="27"/>
    <w:qFormat/>
    <w:uiPriority w:val="0"/>
  </w:style>
  <w:style w:type="character" w:customStyle="1" w:styleId="74">
    <w:name w:val="l_10"/>
    <w:basedOn w:val="27"/>
    <w:qFormat/>
    <w:uiPriority w:val="0"/>
  </w:style>
  <w:style w:type="character" w:customStyle="1" w:styleId="75">
    <w:name w:val="l_101"/>
    <w:basedOn w:val="27"/>
    <w:qFormat/>
    <w:uiPriority w:val="0"/>
  </w:style>
  <w:style w:type="character" w:customStyle="1" w:styleId="76">
    <w:name w:val="l_13"/>
    <w:basedOn w:val="27"/>
    <w:qFormat/>
    <w:uiPriority w:val="0"/>
  </w:style>
  <w:style w:type="character" w:customStyle="1" w:styleId="77">
    <w:name w:val="l_131"/>
    <w:basedOn w:val="27"/>
    <w:qFormat/>
    <w:uiPriority w:val="0"/>
  </w:style>
  <w:style w:type="character" w:customStyle="1" w:styleId="78">
    <w:name w:val="l_5"/>
    <w:basedOn w:val="27"/>
    <w:qFormat/>
    <w:uiPriority w:val="0"/>
  </w:style>
  <w:style w:type="character" w:customStyle="1" w:styleId="79">
    <w:name w:val="l_51"/>
    <w:basedOn w:val="27"/>
    <w:qFormat/>
    <w:uiPriority w:val="0"/>
  </w:style>
  <w:style w:type="character" w:customStyle="1" w:styleId="80">
    <w:name w:val="l_2"/>
    <w:basedOn w:val="27"/>
    <w:qFormat/>
    <w:uiPriority w:val="0"/>
  </w:style>
  <w:style w:type="character" w:customStyle="1" w:styleId="81">
    <w:name w:val="l_21"/>
    <w:basedOn w:val="27"/>
    <w:qFormat/>
    <w:uiPriority w:val="0"/>
  </w:style>
  <w:style w:type="character" w:customStyle="1" w:styleId="82">
    <w:name w:val="l_9"/>
    <w:basedOn w:val="27"/>
    <w:qFormat/>
    <w:uiPriority w:val="0"/>
  </w:style>
  <w:style w:type="character" w:customStyle="1" w:styleId="83">
    <w:name w:val="l_91"/>
    <w:basedOn w:val="27"/>
    <w:qFormat/>
    <w:uiPriority w:val="0"/>
  </w:style>
  <w:style w:type="character" w:customStyle="1" w:styleId="84">
    <w:name w:val="l_14"/>
    <w:basedOn w:val="27"/>
    <w:uiPriority w:val="0"/>
  </w:style>
  <w:style w:type="character" w:customStyle="1" w:styleId="85">
    <w:name w:val="l_141"/>
    <w:basedOn w:val="27"/>
    <w:qFormat/>
    <w:uiPriority w:val="0"/>
  </w:style>
  <w:style w:type="character" w:customStyle="1" w:styleId="86">
    <w:name w:val="l_15"/>
    <w:basedOn w:val="27"/>
    <w:qFormat/>
    <w:uiPriority w:val="0"/>
  </w:style>
  <w:style w:type="character" w:customStyle="1" w:styleId="87">
    <w:name w:val="l_151"/>
    <w:basedOn w:val="27"/>
    <w:qFormat/>
    <w:uiPriority w:val="0"/>
  </w:style>
  <w:style w:type="character" w:customStyle="1" w:styleId="88">
    <w:name w:val="color-yellow"/>
    <w:basedOn w:val="27"/>
    <w:qFormat/>
    <w:uiPriority w:val="0"/>
    <w:rPr>
      <w:color w:val="FAAD14"/>
      <w:sz w:val="18"/>
      <w:szCs w:val="18"/>
      <w:bdr w:val="single" w:color="FAAD14" w:sz="6" w:space="0"/>
    </w:rPr>
  </w:style>
  <w:style w:type="character" w:customStyle="1" w:styleId="89">
    <w:name w:val="color-yellow1"/>
    <w:basedOn w:val="27"/>
    <w:qFormat/>
    <w:uiPriority w:val="0"/>
    <w:rPr>
      <w:color w:val="FAAD14"/>
      <w:sz w:val="18"/>
      <w:szCs w:val="18"/>
      <w:bdr w:val="single" w:color="FAAD14" w:sz="6" w:space="0"/>
    </w:rPr>
  </w:style>
  <w:style w:type="character" w:customStyle="1" w:styleId="90">
    <w:name w:val="icon_cxkcyry"/>
    <w:basedOn w:val="27"/>
    <w:qFormat/>
    <w:uiPriority w:val="0"/>
  </w:style>
  <w:style w:type="character" w:customStyle="1" w:styleId="91">
    <w:name w:val="icon_dljg"/>
    <w:basedOn w:val="27"/>
    <w:qFormat/>
    <w:uiPriority w:val="0"/>
  </w:style>
  <w:style w:type="character" w:customStyle="1" w:styleId="92">
    <w:name w:val="icon_cxktbr"/>
    <w:basedOn w:val="27"/>
    <w:qFormat/>
    <w:uiPriority w:val="0"/>
  </w:style>
  <w:style w:type="character" w:customStyle="1" w:styleId="93">
    <w:name w:val="icon_lzrz"/>
    <w:basedOn w:val="27"/>
    <w:qFormat/>
    <w:uiPriority w:val="0"/>
  </w:style>
  <w:style w:type="character" w:customStyle="1" w:styleId="94">
    <w:name w:val="icon_xglc"/>
    <w:basedOn w:val="27"/>
    <w:qFormat/>
    <w:uiPriority w:val="0"/>
  </w:style>
  <w:style w:type="character" w:customStyle="1" w:styleId="95">
    <w:name w:val="color_cdyy"/>
    <w:basedOn w:val="27"/>
    <w:qFormat/>
    <w:uiPriority w:val="0"/>
    <w:rPr>
      <w:color w:val="FFFFFF"/>
      <w:bdr w:val="single" w:color="FFFFFF" w:sz="6" w:space="0"/>
    </w:rPr>
  </w:style>
  <w:style w:type="character" w:customStyle="1" w:styleId="96">
    <w:name w:val="l_31"/>
    <w:basedOn w:val="27"/>
    <w:qFormat/>
    <w:uiPriority w:val="0"/>
  </w:style>
  <w:style w:type="character" w:customStyle="1" w:styleId="97">
    <w:name w:val="l_71"/>
    <w:basedOn w:val="27"/>
    <w:qFormat/>
    <w:uiPriority w:val="0"/>
  </w:style>
  <w:style w:type="character" w:customStyle="1" w:styleId="98">
    <w:name w:val="l_61"/>
    <w:basedOn w:val="27"/>
    <w:qFormat/>
    <w:uiPriority w:val="0"/>
  </w:style>
  <w:style w:type="character" w:customStyle="1" w:styleId="99">
    <w:name w:val="l_121"/>
    <w:basedOn w:val="27"/>
    <w:qFormat/>
    <w:uiPriority w:val="0"/>
  </w:style>
  <w:style w:type="character" w:customStyle="1" w:styleId="100">
    <w:name w:val="l_111"/>
    <w:basedOn w:val="27"/>
    <w:qFormat/>
    <w:uiPriority w:val="0"/>
  </w:style>
  <w:style w:type="character" w:customStyle="1" w:styleId="101">
    <w:name w:val="l_112"/>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4839</Words>
  <Characters>27583</Characters>
  <Lines>229</Lines>
  <Paragraphs>64</Paragraphs>
  <TotalTime>3</TotalTime>
  <ScaleCrop>false</ScaleCrop>
  <LinksUpToDate>false</LinksUpToDate>
  <CharactersWithSpaces>32358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2020-08-04T01:27:00Z</dcterms:created>
  <dc:creator>河南华明工程造价咨询有限公司:陈志成</dc:creator>
  <cp:lastModifiedBy>金广涛</cp:lastModifiedBy>
  <cp:lastPrinted>2022-11-18T04:13:00Z</cp:lastPrinted>
  <dcterms:modified xsi:type="dcterms:W3CDTF">2023-11-10T03:12:58Z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44D60D87F67F4F62A280FC3DA8DB6171</vt:lpwstr>
  </property>
</Properties>
</file>