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80F648">
      <w:pPr>
        <w:ind w:left="141" w:leftChars="67"/>
        <w:jc w:val="center"/>
        <w:rPr>
          <w:rFonts w:hint="eastAsia" w:ascii="仿宋" w:hAnsi="仿宋" w:eastAsia="仿宋"/>
          <w:b/>
          <w:bCs/>
          <w:sz w:val="44"/>
          <w:szCs w:val="44"/>
        </w:rPr>
      </w:pPr>
      <w:bookmarkStart w:id="358" w:name="_GoBack"/>
      <w:bookmarkEnd w:id="358"/>
      <w:r>
        <w:drawing>
          <wp:anchor distT="0" distB="0" distL="114300" distR="114300" simplePos="0" relativeHeight="251659264" behindDoc="0" locked="0" layoutInCell="1" allowOverlap="1">
            <wp:simplePos x="0" y="0"/>
            <wp:positionH relativeFrom="column">
              <wp:posOffset>-529590</wp:posOffset>
            </wp:positionH>
            <wp:positionV relativeFrom="paragraph">
              <wp:posOffset>-426085</wp:posOffset>
            </wp:positionV>
            <wp:extent cx="6850380" cy="9552305"/>
            <wp:effectExtent l="0" t="0" r="7620" b="1079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6850380" cy="9552305"/>
                    </a:xfrm>
                    <a:prstGeom prst="rect">
                      <a:avLst/>
                    </a:prstGeom>
                    <a:noFill/>
                    <a:ln>
                      <a:noFill/>
                    </a:ln>
                  </pic:spPr>
                </pic:pic>
              </a:graphicData>
            </a:graphic>
          </wp:anchor>
        </w:drawing>
      </w:r>
      <w:r>
        <w:rPr>
          <w:rFonts w:hint="eastAsia" w:ascii="仿宋" w:hAnsi="仿宋" w:eastAsia="仿宋"/>
          <w:b/>
          <w:bCs/>
          <w:sz w:val="44"/>
          <w:szCs w:val="44"/>
        </w:rPr>
        <w:t>平顶山市新华区住房和城乡建设局平顶山市新华区城市更新实施方案编制项目</w:t>
      </w:r>
    </w:p>
    <w:p w14:paraId="242DCF6D">
      <w:pPr>
        <w:ind w:left="141" w:leftChars="67" w:right="-57" w:rightChars="-27"/>
        <w:rPr>
          <w:rFonts w:ascii="仿宋" w:hAnsi="仿宋" w:eastAsia="仿宋"/>
          <w:sz w:val="22"/>
          <w:szCs w:val="21"/>
        </w:rPr>
      </w:pPr>
    </w:p>
    <w:p w14:paraId="34F1F259">
      <w:pPr>
        <w:ind w:left="141" w:leftChars="67" w:right="-57" w:rightChars="-27"/>
        <w:rPr>
          <w:rFonts w:ascii="仿宋" w:hAnsi="仿宋" w:eastAsia="仿宋"/>
        </w:rPr>
      </w:pPr>
    </w:p>
    <w:p w14:paraId="244248BD">
      <w:pPr>
        <w:ind w:left="141" w:leftChars="67"/>
        <w:jc w:val="center"/>
        <w:rPr>
          <w:rFonts w:hint="eastAsia" w:ascii="仿宋" w:hAnsi="仿宋" w:eastAsia="仿宋"/>
          <w:b/>
          <w:bCs/>
          <w:sz w:val="70"/>
          <w:szCs w:val="70"/>
        </w:rPr>
      </w:pPr>
    </w:p>
    <w:p w14:paraId="021B3768">
      <w:pPr>
        <w:ind w:left="141" w:leftChars="67"/>
        <w:jc w:val="center"/>
        <w:rPr>
          <w:rFonts w:ascii="仿宋" w:hAnsi="仿宋" w:eastAsia="仿宋"/>
          <w:b/>
          <w:bCs/>
          <w:sz w:val="70"/>
          <w:szCs w:val="70"/>
        </w:rPr>
      </w:pPr>
      <w:r>
        <w:rPr>
          <w:rFonts w:hint="eastAsia" w:ascii="仿宋" w:hAnsi="仿宋" w:eastAsia="仿宋"/>
          <w:b/>
          <w:bCs/>
          <w:sz w:val="70"/>
          <w:szCs w:val="70"/>
        </w:rPr>
        <w:t>竞争性磋商文件</w:t>
      </w:r>
    </w:p>
    <w:p w14:paraId="137ADCA3">
      <w:pPr>
        <w:ind w:firstLine="420"/>
        <w:jc w:val="center"/>
        <w:rPr>
          <w:rFonts w:ascii="仿宋" w:hAnsi="仿宋" w:eastAsia="仿宋" w:cs="仿宋"/>
          <w:sz w:val="32"/>
          <w:szCs w:val="32"/>
        </w:rPr>
      </w:pPr>
    </w:p>
    <w:p w14:paraId="15671628">
      <w:pPr>
        <w:ind w:firstLine="420"/>
        <w:jc w:val="center"/>
        <w:rPr>
          <w:rFonts w:ascii="仿宋" w:hAnsi="仿宋" w:eastAsia="仿宋" w:cs="仿宋"/>
          <w:sz w:val="32"/>
          <w:szCs w:val="32"/>
        </w:rPr>
      </w:pPr>
    </w:p>
    <w:p w14:paraId="0B0A9255">
      <w:pPr>
        <w:ind w:firstLine="420"/>
        <w:jc w:val="center"/>
        <w:rPr>
          <w:rFonts w:ascii="仿宋" w:hAnsi="仿宋" w:eastAsia="仿宋" w:cs="仿宋"/>
          <w:sz w:val="32"/>
          <w:szCs w:val="32"/>
        </w:rPr>
      </w:pPr>
      <w:r>
        <w:drawing>
          <wp:inline distT="0" distB="0" distL="0" distR="0">
            <wp:extent cx="3856990" cy="1804035"/>
            <wp:effectExtent l="0" t="0" r="0" b="5715"/>
            <wp:docPr id="812524948" name="图片 3"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524948" name="图片 3" descr="徽标&#10;&#10;描述已自动生成"/>
                    <pic:cNvPicPr>
                      <a:picLocks noChangeAspect="1" noChangeArrowheads="1"/>
                    </pic:cNvPicPr>
                  </pic:nvPicPr>
                  <pic:blipFill>
                    <a:blip r:embed="rId9" cstate="print"/>
                    <a:srcRect/>
                    <a:stretch>
                      <a:fillRect/>
                    </a:stretch>
                  </pic:blipFill>
                  <pic:spPr>
                    <a:xfrm>
                      <a:off x="0" y="0"/>
                      <a:ext cx="3856990" cy="1804035"/>
                    </a:xfrm>
                    <a:prstGeom prst="rect">
                      <a:avLst/>
                    </a:prstGeom>
                    <a:noFill/>
                    <a:ln>
                      <a:noFill/>
                    </a:ln>
                  </pic:spPr>
                </pic:pic>
              </a:graphicData>
            </a:graphic>
          </wp:inline>
        </w:drawing>
      </w:r>
    </w:p>
    <w:p w14:paraId="2F9C7496">
      <w:pPr>
        <w:ind w:firstLine="420"/>
        <w:jc w:val="center"/>
        <w:rPr>
          <w:rFonts w:ascii="仿宋" w:hAnsi="仿宋" w:eastAsia="仿宋" w:cs="仿宋"/>
          <w:sz w:val="32"/>
          <w:szCs w:val="32"/>
        </w:rPr>
      </w:pPr>
    </w:p>
    <w:p w14:paraId="203170B1">
      <w:pPr>
        <w:ind w:firstLine="420"/>
        <w:jc w:val="center"/>
        <w:rPr>
          <w:rFonts w:ascii="仿宋" w:hAnsi="仿宋" w:eastAsia="仿宋" w:cs="仿宋"/>
          <w:sz w:val="32"/>
          <w:szCs w:val="32"/>
        </w:rPr>
      </w:pPr>
    </w:p>
    <w:p w14:paraId="2B6BE4A1">
      <w:pPr>
        <w:ind w:firstLine="420"/>
        <w:jc w:val="center"/>
        <w:rPr>
          <w:rFonts w:ascii="仿宋" w:hAnsi="仿宋" w:eastAsia="仿宋" w:cs="仿宋"/>
          <w:sz w:val="32"/>
          <w:szCs w:val="32"/>
        </w:rPr>
      </w:pPr>
    </w:p>
    <w:p w14:paraId="4F5581B9">
      <w:pPr>
        <w:jc w:val="center"/>
        <w:rPr>
          <w:rFonts w:hint="eastAsia" w:ascii="仿宋" w:hAnsi="仿宋" w:eastAsia="仿宋" w:cs="仿宋"/>
          <w:sz w:val="32"/>
          <w:szCs w:val="32"/>
        </w:rPr>
      </w:pPr>
    </w:p>
    <w:p w14:paraId="3197E701">
      <w:pPr>
        <w:jc w:val="center"/>
        <w:rPr>
          <w:rFonts w:hint="eastAsia" w:ascii="仿宋" w:hAnsi="仿宋" w:eastAsia="仿宋" w:cs="仿宋"/>
          <w:sz w:val="32"/>
          <w:szCs w:val="32"/>
        </w:rPr>
      </w:pPr>
    </w:p>
    <w:p w14:paraId="23BCF3BE">
      <w:pPr>
        <w:jc w:val="center"/>
        <w:rPr>
          <w:rFonts w:ascii="仿宋" w:hAnsi="仿宋" w:eastAsia="仿宋" w:cs="仿宋"/>
          <w:sz w:val="32"/>
          <w:szCs w:val="32"/>
        </w:rPr>
      </w:pPr>
      <w:r>
        <w:rPr>
          <w:rFonts w:hint="eastAsia" w:ascii="仿宋" w:hAnsi="仿宋" w:eastAsia="仿宋" w:cs="仿宋"/>
          <w:sz w:val="32"/>
          <w:szCs w:val="32"/>
        </w:rPr>
        <w:t>采购人：平顶山市新华区住房和城乡建设局</w:t>
      </w:r>
    </w:p>
    <w:p w14:paraId="22DF97C4">
      <w:pPr>
        <w:jc w:val="center"/>
        <w:rPr>
          <w:rFonts w:ascii="仿宋" w:hAnsi="仿宋" w:eastAsia="仿宋" w:cs="仿宋"/>
          <w:sz w:val="32"/>
          <w:szCs w:val="32"/>
        </w:rPr>
      </w:pPr>
      <w:r>
        <w:rPr>
          <w:rFonts w:hint="eastAsia" w:ascii="仿宋" w:hAnsi="仿宋" w:eastAsia="仿宋" w:cs="仿宋"/>
          <w:sz w:val="32"/>
          <w:szCs w:val="32"/>
        </w:rPr>
        <w:t>采购代理机构：河南致诚弘亿工程管理有限公司</w:t>
      </w:r>
    </w:p>
    <w:p w14:paraId="6867D98F">
      <w:pPr>
        <w:spacing w:line="360" w:lineRule="auto"/>
        <w:jc w:val="center"/>
      </w:pPr>
      <w:r>
        <w:rPr>
          <w:rFonts w:hint="eastAsia" w:ascii="仿宋" w:hAnsi="仿宋" w:eastAsia="仿宋" w:cs="仿宋"/>
          <w:sz w:val="32"/>
          <w:szCs w:val="32"/>
        </w:rPr>
        <w:t>二〇二</w:t>
      </w:r>
      <w:r>
        <w:rPr>
          <w:rFonts w:hint="eastAsia" w:ascii="仿宋" w:hAnsi="仿宋" w:eastAsia="仿宋" w:cs="仿宋"/>
          <w:sz w:val="32"/>
          <w:szCs w:val="32"/>
          <w:lang w:val="en-US" w:eastAsia="zh-CN"/>
        </w:rPr>
        <w:t>六</w:t>
      </w:r>
      <w:r>
        <w:rPr>
          <w:rFonts w:hint="eastAsia" w:ascii="仿宋" w:hAnsi="仿宋" w:eastAsia="仿宋" w:cs="仿宋"/>
          <w:sz w:val="32"/>
          <w:szCs w:val="32"/>
        </w:rPr>
        <w:t>年</w:t>
      </w:r>
      <w:r>
        <w:rPr>
          <w:rFonts w:hint="eastAsia" w:ascii="仿宋" w:hAnsi="仿宋" w:eastAsia="仿宋" w:cs="仿宋"/>
          <w:sz w:val="32"/>
          <w:szCs w:val="32"/>
          <w:lang w:val="en-US" w:eastAsia="zh-CN"/>
        </w:rPr>
        <w:t>五</w:t>
      </w:r>
      <w:r>
        <w:rPr>
          <w:rFonts w:hint="eastAsia" w:ascii="仿宋" w:hAnsi="仿宋" w:eastAsia="仿宋" w:cs="仿宋"/>
          <w:sz w:val="32"/>
          <w:szCs w:val="32"/>
        </w:rPr>
        <w:t>月</w:t>
      </w:r>
    </w:p>
    <w:p w14:paraId="731232AA">
      <w:pPr>
        <w:sectPr>
          <w:headerReference r:id="rId3" w:type="default"/>
          <w:footerReference r:id="rId4" w:type="default"/>
          <w:pgSz w:w="11906" w:h="16838"/>
          <w:pgMar w:top="1440" w:right="1800" w:bottom="1440" w:left="1800" w:header="851" w:footer="992" w:gutter="0"/>
          <w:cols w:space="425" w:num="1"/>
          <w:docGrid w:type="lines" w:linePitch="312" w:charSpace="0"/>
        </w:sectPr>
      </w:pPr>
    </w:p>
    <w:p w14:paraId="7197B2E7">
      <w:pPr>
        <w:pStyle w:val="78"/>
        <w:jc w:val="center"/>
        <w:rPr>
          <w:rFonts w:ascii="仿宋" w:hAnsi="仿宋" w:eastAsia="仿宋"/>
          <w:b/>
          <w:bCs/>
          <w:color w:val="auto"/>
          <w:sz w:val="44"/>
          <w:szCs w:val="44"/>
          <w:lang w:val="zh-CN"/>
        </w:rPr>
      </w:pPr>
      <w:r>
        <w:rPr>
          <w:rFonts w:ascii="仿宋" w:hAnsi="仿宋" w:eastAsia="仿宋"/>
          <w:b/>
          <w:bCs/>
          <w:color w:val="auto"/>
          <w:sz w:val="44"/>
          <w:szCs w:val="44"/>
          <w:lang w:val="zh-CN"/>
        </w:rPr>
        <w:t>目</w:t>
      </w:r>
      <w:r>
        <w:rPr>
          <w:rFonts w:hint="eastAsia" w:ascii="仿宋" w:hAnsi="仿宋" w:eastAsia="仿宋"/>
          <w:b/>
          <w:bCs/>
          <w:color w:val="auto"/>
          <w:sz w:val="44"/>
          <w:szCs w:val="44"/>
          <w:lang w:val="zh-CN"/>
        </w:rPr>
        <w:t xml:space="preserve"> </w:t>
      </w:r>
      <w:r>
        <w:rPr>
          <w:rFonts w:ascii="仿宋" w:hAnsi="仿宋" w:eastAsia="仿宋"/>
          <w:b/>
          <w:bCs/>
          <w:color w:val="auto"/>
          <w:sz w:val="44"/>
          <w:szCs w:val="44"/>
          <w:lang w:val="zh-CN"/>
        </w:rPr>
        <w:t>录</w:t>
      </w:r>
    </w:p>
    <w:p w14:paraId="63B733F7">
      <w:pPr>
        <w:rPr>
          <w:lang w:val="zh-CN"/>
        </w:rPr>
      </w:pPr>
    </w:p>
    <w:p w14:paraId="06516D44">
      <w:pPr>
        <w:pStyle w:val="61"/>
        <w:tabs>
          <w:tab w:val="right" w:leader="dot" w:pos="8824"/>
        </w:tabs>
        <w:ind w:firstLine="280"/>
        <w:rPr>
          <w:rFonts w:ascii="仿宋" w:hAnsi="仿宋" w:eastAsia="仿宋"/>
          <w:sz w:val="31"/>
          <w:szCs w:val="32"/>
        </w:rPr>
      </w:pPr>
      <w:r>
        <w:rPr>
          <w:rFonts w:ascii="仿宋" w:hAnsi="仿宋" w:eastAsia="仿宋"/>
          <w:sz w:val="28"/>
          <w:szCs w:val="28"/>
        </w:rPr>
        <w:fldChar w:fldCharType="begin"/>
      </w:r>
      <w:r>
        <w:rPr>
          <w:rFonts w:ascii="仿宋" w:hAnsi="仿宋" w:eastAsia="仿宋"/>
          <w:sz w:val="28"/>
          <w:szCs w:val="28"/>
        </w:rPr>
        <w:instrText xml:space="preserve"> TOC \o "1-1" \h \z \u </w:instrText>
      </w:r>
      <w:r>
        <w:rPr>
          <w:rFonts w:ascii="仿宋" w:hAnsi="仿宋" w:eastAsia="仿宋"/>
          <w:sz w:val="28"/>
          <w:szCs w:val="28"/>
        </w:rPr>
        <w:fldChar w:fldCharType="separate"/>
      </w:r>
      <w:r>
        <w:fldChar w:fldCharType="begin"/>
      </w:r>
      <w:r>
        <w:instrText xml:space="preserve"> HYPERLINK \l "_Toc41326535" </w:instrText>
      </w:r>
      <w:r>
        <w:fldChar w:fldCharType="separate"/>
      </w:r>
      <w:r>
        <w:rPr>
          <w:rStyle w:val="32"/>
          <w:rFonts w:ascii="仿宋" w:hAnsi="仿宋" w:eastAsia="仿宋" w:cs="仿宋"/>
          <w:sz w:val="31"/>
          <w:szCs w:val="30"/>
        </w:rPr>
        <w:t>第一章 、竞争性磋商公告</w:t>
      </w:r>
      <w:r>
        <w:rPr>
          <w:rFonts w:ascii="仿宋" w:hAnsi="仿宋" w:eastAsia="仿宋"/>
          <w:sz w:val="31"/>
          <w:szCs w:val="30"/>
        </w:rPr>
        <w:tab/>
      </w:r>
      <w:r>
        <w:rPr>
          <w:rFonts w:ascii="仿宋" w:hAnsi="仿宋" w:eastAsia="仿宋"/>
          <w:sz w:val="31"/>
          <w:szCs w:val="30"/>
        </w:rPr>
        <w:fldChar w:fldCharType="begin"/>
      </w:r>
      <w:r>
        <w:rPr>
          <w:rFonts w:ascii="仿宋" w:hAnsi="仿宋" w:eastAsia="仿宋"/>
          <w:sz w:val="31"/>
          <w:szCs w:val="30"/>
        </w:rPr>
        <w:instrText xml:space="preserve"> PAGEREF _Toc41326535 \h </w:instrText>
      </w:r>
      <w:r>
        <w:rPr>
          <w:rFonts w:ascii="仿宋" w:hAnsi="仿宋" w:eastAsia="仿宋"/>
          <w:sz w:val="31"/>
          <w:szCs w:val="30"/>
        </w:rPr>
        <w:fldChar w:fldCharType="separate"/>
      </w:r>
      <w:r>
        <w:rPr>
          <w:rFonts w:ascii="仿宋" w:hAnsi="仿宋" w:eastAsia="仿宋"/>
          <w:sz w:val="31"/>
          <w:szCs w:val="30"/>
        </w:rPr>
        <w:t>3</w:t>
      </w:r>
      <w:r>
        <w:rPr>
          <w:rFonts w:ascii="仿宋" w:hAnsi="仿宋" w:eastAsia="仿宋"/>
          <w:sz w:val="31"/>
          <w:szCs w:val="30"/>
        </w:rPr>
        <w:fldChar w:fldCharType="end"/>
      </w:r>
      <w:r>
        <w:rPr>
          <w:rFonts w:ascii="仿宋" w:hAnsi="仿宋" w:eastAsia="仿宋"/>
          <w:sz w:val="31"/>
          <w:szCs w:val="30"/>
        </w:rPr>
        <w:fldChar w:fldCharType="end"/>
      </w:r>
    </w:p>
    <w:p w14:paraId="7CD977B5">
      <w:pPr>
        <w:pStyle w:val="61"/>
        <w:tabs>
          <w:tab w:val="right" w:leader="dot" w:pos="8824"/>
        </w:tabs>
        <w:ind w:firstLine="200"/>
        <w:rPr>
          <w:rFonts w:ascii="仿宋" w:hAnsi="仿宋" w:eastAsia="仿宋"/>
          <w:sz w:val="31"/>
          <w:szCs w:val="32"/>
        </w:rPr>
      </w:pPr>
      <w:r>
        <w:fldChar w:fldCharType="begin"/>
      </w:r>
      <w:r>
        <w:instrText xml:space="preserve"> HYPERLINK \l "_Toc41326536" </w:instrText>
      </w:r>
      <w:r>
        <w:fldChar w:fldCharType="separate"/>
      </w:r>
      <w:r>
        <w:rPr>
          <w:rStyle w:val="32"/>
          <w:rFonts w:ascii="仿宋" w:hAnsi="仿宋" w:eastAsia="仿宋" w:cs="仿宋"/>
          <w:sz w:val="31"/>
          <w:szCs w:val="30"/>
        </w:rPr>
        <w:t>第二章</w:t>
      </w:r>
      <w:r>
        <w:rPr>
          <w:rStyle w:val="32"/>
          <w:rFonts w:ascii="仿宋" w:hAnsi="仿宋" w:eastAsia="仿宋"/>
          <w:sz w:val="31"/>
          <w:szCs w:val="30"/>
        </w:rPr>
        <w:t xml:space="preserve"> 、供应商须知</w:t>
      </w:r>
      <w:r>
        <w:rPr>
          <w:rFonts w:ascii="仿宋" w:hAnsi="仿宋" w:eastAsia="仿宋"/>
          <w:sz w:val="31"/>
          <w:szCs w:val="30"/>
        </w:rPr>
        <w:tab/>
      </w:r>
      <w:r>
        <w:rPr>
          <w:rFonts w:ascii="仿宋" w:hAnsi="仿宋" w:eastAsia="仿宋"/>
          <w:sz w:val="31"/>
          <w:szCs w:val="30"/>
        </w:rPr>
        <w:fldChar w:fldCharType="begin"/>
      </w:r>
      <w:r>
        <w:rPr>
          <w:rFonts w:ascii="仿宋" w:hAnsi="仿宋" w:eastAsia="仿宋"/>
          <w:sz w:val="31"/>
          <w:szCs w:val="30"/>
        </w:rPr>
        <w:instrText xml:space="preserve"> PAGEREF _Toc41326536 \h </w:instrText>
      </w:r>
      <w:r>
        <w:rPr>
          <w:rFonts w:ascii="仿宋" w:hAnsi="仿宋" w:eastAsia="仿宋"/>
          <w:sz w:val="31"/>
          <w:szCs w:val="30"/>
        </w:rPr>
        <w:fldChar w:fldCharType="separate"/>
      </w:r>
      <w:r>
        <w:rPr>
          <w:rFonts w:ascii="仿宋" w:hAnsi="仿宋" w:eastAsia="仿宋"/>
          <w:sz w:val="31"/>
          <w:szCs w:val="30"/>
        </w:rPr>
        <w:t>9</w:t>
      </w:r>
      <w:r>
        <w:rPr>
          <w:rFonts w:ascii="仿宋" w:hAnsi="仿宋" w:eastAsia="仿宋"/>
          <w:sz w:val="31"/>
          <w:szCs w:val="30"/>
        </w:rPr>
        <w:fldChar w:fldCharType="end"/>
      </w:r>
      <w:r>
        <w:rPr>
          <w:rFonts w:ascii="仿宋" w:hAnsi="仿宋" w:eastAsia="仿宋"/>
          <w:sz w:val="31"/>
          <w:szCs w:val="30"/>
        </w:rPr>
        <w:fldChar w:fldCharType="end"/>
      </w:r>
    </w:p>
    <w:p w14:paraId="3DD248D3">
      <w:pPr>
        <w:pStyle w:val="61"/>
        <w:tabs>
          <w:tab w:val="right" w:leader="dot" w:pos="8824"/>
        </w:tabs>
        <w:ind w:firstLine="200"/>
        <w:rPr>
          <w:rFonts w:ascii="仿宋" w:hAnsi="仿宋" w:eastAsia="仿宋"/>
          <w:sz w:val="31"/>
          <w:szCs w:val="32"/>
        </w:rPr>
      </w:pPr>
      <w:r>
        <w:fldChar w:fldCharType="begin"/>
      </w:r>
      <w:r>
        <w:instrText xml:space="preserve"> HYPERLINK \l "_Toc41326537" </w:instrText>
      </w:r>
      <w:r>
        <w:fldChar w:fldCharType="separate"/>
      </w:r>
      <w:r>
        <w:rPr>
          <w:rStyle w:val="32"/>
          <w:rFonts w:ascii="仿宋" w:hAnsi="仿宋" w:eastAsia="仿宋" w:cs="仿宋"/>
          <w:sz w:val="31"/>
          <w:szCs w:val="30"/>
        </w:rPr>
        <w:t>第三章 、磋商办法</w:t>
      </w:r>
      <w:r>
        <w:rPr>
          <w:rFonts w:ascii="仿宋" w:hAnsi="仿宋" w:eastAsia="仿宋"/>
          <w:sz w:val="31"/>
          <w:szCs w:val="30"/>
        </w:rPr>
        <w:tab/>
      </w:r>
      <w:r>
        <w:rPr>
          <w:rFonts w:ascii="仿宋" w:hAnsi="仿宋" w:eastAsia="仿宋"/>
          <w:sz w:val="31"/>
          <w:szCs w:val="30"/>
        </w:rPr>
        <w:fldChar w:fldCharType="begin"/>
      </w:r>
      <w:r>
        <w:rPr>
          <w:rFonts w:ascii="仿宋" w:hAnsi="仿宋" w:eastAsia="仿宋"/>
          <w:sz w:val="31"/>
          <w:szCs w:val="30"/>
        </w:rPr>
        <w:instrText xml:space="preserve"> PAGEREF _Toc41326537 \h </w:instrText>
      </w:r>
      <w:r>
        <w:rPr>
          <w:rFonts w:ascii="仿宋" w:hAnsi="仿宋" w:eastAsia="仿宋"/>
          <w:sz w:val="31"/>
          <w:szCs w:val="30"/>
        </w:rPr>
        <w:fldChar w:fldCharType="separate"/>
      </w:r>
      <w:r>
        <w:rPr>
          <w:rFonts w:ascii="仿宋" w:hAnsi="仿宋" w:eastAsia="仿宋"/>
          <w:sz w:val="31"/>
          <w:szCs w:val="30"/>
        </w:rPr>
        <w:t>29</w:t>
      </w:r>
      <w:r>
        <w:rPr>
          <w:rFonts w:ascii="仿宋" w:hAnsi="仿宋" w:eastAsia="仿宋"/>
          <w:sz w:val="31"/>
          <w:szCs w:val="30"/>
        </w:rPr>
        <w:fldChar w:fldCharType="end"/>
      </w:r>
      <w:r>
        <w:rPr>
          <w:rFonts w:ascii="仿宋" w:hAnsi="仿宋" w:eastAsia="仿宋"/>
          <w:sz w:val="31"/>
          <w:szCs w:val="30"/>
        </w:rPr>
        <w:fldChar w:fldCharType="end"/>
      </w:r>
    </w:p>
    <w:p w14:paraId="47409A0C">
      <w:pPr>
        <w:pStyle w:val="61"/>
        <w:tabs>
          <w:tab w:val="right" w:leader="dot" w:pos="8824"/>
        </w:tabs>
        <w:ind w:firstLine="200"/>
        <w:rPr>
          <w:rFonts w:ascii="仿宋" w:hAnsi="仿宋" w:eastAsia="仿宋"/>
          <w:sz w:val="31"/>
          <w:szCs w:val="32"/>
        </w:rPr>
      </w:pPr>
      <w:r>
        <w:fldChar w:fldCharType="begin"/>
      </w:r>
      <w:r>
        <w:instrText xml:space="preserve"> HYPERLINK \l "_Toc41326539" </w:instrText>
      </w:r>
      <w:r>
        <w:fldChar w:fldCharType="separate"/>
      </w:r>
      <w:r>
        <w:rPr>
          <w:rStyle w:val="32"/>
          <w:rFonts w:ascii="仿宋" w:hAnsi="仿宋" w:eastAsia="仿宋" w:cs="仿宋"/>
          <w:sz w:val="31"/>
          <w:szCs w:val="30"/>
        </w:rPr>
        <w:t>第四章 、合同条款及格式</w:t>
      </w:r>
      <w:r>
        <w:rPr>
          <w:rFonts w:ascii="仿宋" w:hAnsi="仿宋" w:eastAsia="仿宋"/>
          <w:sz w:val="31"/>
          <w:szCs w:val="30"/>
        </w:rPr>
        <w:tab/>
      </w:r>
      <w:r>
        <w:rPr>
          <w:rFonts w:ascii="仿宋" w:hAnsi="仿宋" w:eastAsia="仿宋"/>
          <w:sz w:val="31"/>
          <w:szCs w:val="30"/>
        </w:rPr>
        <w:fldChar w:fldCharType="begin"/>
      </w:r>
      <w:r>
        <w:rPr>
          <w:rFonts w:ascii="仿宋" w:hAnsi="仿宋" w:eastAsia="仿宋"/>
          <w:sz w:val="31"/>
          <w:szCs w:val="30"/>
        </w:rPr>
        <w:instrText xml:space="preserve"> PAGEREF _Toc41326539 \h </w:instrText>
      </w:r>
      <w:r>
        <w:rPr>
          <w:rFonts w:ascii="仿宋" w:hAnsi="仿宋" w:eastAsia="仿宋"/>
          <w:sz w:val="31"/>
          <w:szCs w:val="30"/>
        </w:rPr>
        <w:fldChar w:fldCharType="separate"/>
      </w:r>
      <w:r>
        <w:rPr>
          <w:rFonts w:ascii="仿宋" w:hAnsi="仿宋" w:eastAsia="仿宋"/>
          <w:sz w:val="31"/>
          <w:szCs w:val="30"/>
        </w:rPr>
        <w:t>37</w:t>
      </w:r>
      <w:r>
        <w:rPr>
          <w:rFonts w:ascii="仿宋" w:hAnsi="仿宋" w:eastAsia="仿宋"/>
          <w:sz w:val="31"/>
          <w:szCs w:val="30"/>
        </w:rPr>
        <w:fldChar w:fldCharType="end"/>
      </w:r>
      <w:r>
        <w:rPr>
          <w:rFonts w:ascii="仿宋" w:hAnsi="仿宋" w:eastAsia="仿宋"/>
          <w:sz w:val="31"/>
          <w:szCs w:val="30"/>
        </w:rPr>
        <w:fldChar w:fldCharType="end"/>
      </w:r>
    </w:p>
    <w:p w14:paraId="14629E92">
      <w:pPr>
        <w:pStyle w:val="61"/>
        <w:tabs>
          <w:tab w:val="right" w:leader="dot" w:pos="8824"/>
        </w:tabs>
        <w:ind w:firstLine="200"/>
        <w:rPr>
          <w:rFonts w:ascii="仿宋" w:hAnsi="仿宋" w:eastAsia="仿宋"/>
          <w:sz w:val="31"/>
          <w:szCs w:val="32"/>
        </w:rPr>
      </w:pPr>
      <w:r>
        <w:fldChar w:fldCharType="begin"/>
      </w:r>
      <w:r>
        <w:instrText xml:space="preserve"> HYPERLINK \l "_Toc41326540" </w:instrText>
      </w:r>
      <w:r>
        <w:fldChar w:fldCharType="separate"/>
      </w:r>
      <w:r>
        <w:rPr>
          <w:rStyle w:val="32"/>
          <w:rFonts w:ascii="仿宋" w:hAnsi="仿宋" w:eastAsia="仿宋" w:cs="仿宋"/>
          <w:sz w:val="31"/>
          <w:szCs w:val="30"/>
        </w:rPr>
        <w:t>第五章 、</w:t>
      </w:r>
      <w:r>
        <w:rPr>
          <w:rStyle w:val="32"/>
          <w:rFonts w:hint="eastAsia" w:ascii="仿宋" w:hAnsi="仿宋" w:eastAsia="仿宋" w:cs="仿宋"/>
          <w:sz w:val="31"/>
          <w:szCs w:val="30"/>
          <w:lang w:val="en-US" w:eastAsia="zh-CN"/>
        </w:rPr>
        <w:t>服务内容</w:t>
      </w:r>
      <w:r>
        <w:rPr>
          <w:rStyle w:val="32"/>
          <w:rFonts w:ascii="仿宋" w:hAnsi="仿宋" w:eastAsia="仿宋" w:cs="仿宋"/>
          <w:sz w:val="31"/>
          <w:szCs w:val="30"/>
        </w:rPr>
        <w:t>和要求</w:t>
      </w:r>
      <w:r>
        <w:rPr>
          <w:rFonts w:ascii="仿宋" w:hAnsi="仿宋" w:eastAsia="仿宋"/>
          <w:sz w:val="31"/>
          <w:szCs w:val="30"/>
        </w:rPr>
        <w:tab/>
      </w:r>
      <w:r>
        <w:rPr>
          <w:rFonts w:ascii="仿宋" w:hAnsi="仿宋" w:eastAsia="仿宋"/>
          <w:sz w:val="31"/>
          <w:szCs w:val="30"/>
        </w:rPr>
        <w:fldChar w:fldCharType="begin"/>
      </w:r>
      <w:r>
        <w:rPr>
          <w:rFonts w:ascii="仿宋" w:hAnsi="仿宋" w:eastAsia="仿宋"/>
          <w:sz w:val="31"/>
          <w:szCs w:val="30"/>
        </w:rPr>
        <w:instrText xml:space="preserve"> PAGEREF _Toc41326540 \h </w:instrText>
      </w:r>
      <w:r>
        <w:rPr>
          <w:rFonts w:ascii="仿宋" w:hAnsi="仿宋" w:eastAsia="仿宋"/>
          <w:sz w:val="31"/>
          <w:szCs w:val="30"/>
        </w:rPr>
        <w:fldChar w:fldCharType="separate"/>
      </w:r>
      <w:r>
        <w:rPr>
          <w:rFonts w:ascii="仿宋" w:hAnsi="仿宋" w:eastAsia="仿宋"/>
          <w:sz w:val="31"/>
          <w:szCs w:val="30"/>
        </w:rPr>
        <w:t>39</w:t>
      </w:r>
      <w:r>
        <w:rPr>
          <w:rFonts w:ascii="仿宋" w:hAnsi="仿宋" w:eastAsia="仿宋"/>
          <w:sz w:val="31"/>
          <w:szCs w:val="30"/>
        </w:rPr>
        <w:fldChar w:fldCharType="end"/>
      </w:r>
      <w:r>
        <w:rPr>
          <w:rFonts w:ascii="仿宋" w:hAnsi="仿宋" w:eastAsia="仿宋"/>
          <w:sz w:val="31"/>
          <w:szCs w:val="30"/>
        </w:rPr>
        <w:fldChar w:fldCharType="end"/>
      </w:r>
    </w:p>
    <w:p w14:paraId="266A0335">
      <w:pPr>
        <w:pStyle w:val="61"/>
        <w:tabs>
          <w:tab w:val="right" w:leader="dot" w:pos="8824"/>
        </w:tabs>
        <w:ind w:firstLine="200"/>
        <w:rPr>
          <w:rFonts w:ascii="仿宋" w:hAnsi="仿宋" w:eastAsia="仿宋"/>
          <w:sz w:val="31"/>
          <w:szCs w:val="32"/>
        </w:rPr>
      </w:pPr>
      <w:r>
        <w:fldChar w:fldCharType="begin"/>
      </w:r>
      <w:r>
        <w:instrText xml:space="preserve"> HYPERLINK \l "_Toc41326541" </w:instrText>
      </w:r>
      <w:r>
        <w:fldChar w:fldCharType="separate"/>
      </w:r>
      <w:r>
        <w:rPr>
          <w:rStyle w:val="32"/>
          <w:rFonts w:ascii="仿宋" w:hAnsi="仿宋" w:eastAsia="仿宋" w:cs="仿宋"/>
          <w:sz w:val="31"/>
          <w:szCs w:val="30"/>
        </w:rPr>
        <w:t>第六章 、响应文件格式</w:t>
      </w:r>
      <w:r>
        <w:rPr>
          <w:rFonts w:ascii="仿宋" w:hAnsi="仿宋" w:eastAsia="仿宋"/>
          <w:sz w:val="31"/>
          <w:szCs w:val="30"/>
        </w:rPr>
        <w:tab/>
      </w:r>
      <w:r>
        <w:rPr>
          <w:rFonts w:ascii="仿宋" w:hAnsi="仿宋" w:eastAsia="仿宋"/>
          <w:sz w:val="31"/>
          <w:szCs w:val="30"/>
        </w:rPr>
        <w:fldChar w:fldCharType="begin"/>
      </w:r>
      <w:r>
        <w:rPr>
          <w:rFonts w:ascii="仿宋" w:hAnsi="仿宋" w:eastAsia="仿宋"/>
          <w:sz w:val="31"/>
          <w:szCs w:val="30"/>
        </w:rPr>
        <w:instrText xml:space="preserve"> PAGEREF _Toc41326541 \h </w:instrText>
      </w:r>
      <w:r>
        <w:rPr>
          <w:rFonts w:ascii="仿宋" w:hAnsi="仿宋" w:eastAsia="仿宋"/>
          <w:sz w:val="31"/>
          <w:szCs w:val="30"/>
        </w:rPr>
        <w:fldChar w:fldCharType="separate"/>
      </w:r>
      <w:r>
        <w:rPr>
          <w:rFonts w:ascii="仿宋" w:hAnsi="仿宋" w:eastAsia="仿宋"/>
          <w:sz w:val="31"/>
          <w:szCs w:val="30"/>
        </w:rPr>
        <w:t>40</w:t>
      </w:r>
      <w:r>
        <w:rPr>
          <w:rFonts w:ascii="仿宋" w:hAnsi="仿宋" w:eastAsia="仿宋"/>
          <w:sz w:val="31"/>
          <w:szCs w:val="30"/>
        </w:rPr>
        <w:fldChar w:fldCharType="end"/>
      </w:r>
      <w:r>
        <w:rPr>
          <w:rFonts w:ascii="仿宋" w:hAnsi="仿宋" w:eastAsia="仿宋"/>
          <w:sz w:val="31"/>
          <w:szCs w:val="30"/>
        </w:rPr>
        <w:fldChar w:fldCharType="end"/>
      </w:r>
    </w:p>
    <w:p w14:paraId="4C09DC9F">
      <w:pPr>
        <w:jc w:val="center"/>
        <w:rPr>
          <w:rStyle w:val="50"/>
          <w:rFonts w:ascii="仿宋" w:hAnsi="仿宋" w:eastAsia="仿宋" w:cs="仿宋"/>
        </w:rPr>
      </w:pPr>
      <w:r>
        <w:rPr>
          <w:rFonts w:ascii="仿宋" w:hAnsi="仿宋" w:eastAsia="仿宋"/>
          <w:sz w:val="28"/>
          <w:szCs w:val="28"/>
        </w:rPr>
        <w:fldChar w:fldCharType="end"/>
      </w:r>
      <w:bookmarkStart w:id="0" w:name="_Toc22599_WPSOffice_Level1"/>
      <w:bookmarkStart w:id="1" w:name="_Toc41326535"/>
    </w:p>
    <w:p w14:paraId="3161ADD5">
      <w:pPr>
        <w:pStyle w:val="2"/>
        <w:numPr>
          <w:ilvl w:val="0"/>
          <w:numId w:val="1"/>
        </w:numPr>
        <w:spacing w:before="120" w:after="120" w:line="240" w:lineRule="auto"/>
        <w:rPr>
          <w:rFonts w:ascii="仿宋" w:hAnsi="仿宋" w:eastAsia="仿宋" w:cs="仿宋"/>
          <w:bCs w:val="0"/>
          <w:color w:val="auto"/>
          <w:kern w:val="2"/>
        </w:rPr>
      </w:pPr>
      <w:r>
        <w:rPr>
          <w:rFonts w:ascii="仿宋" w:hAnsi="仿宋" w:eastAsia="仿宋"/>
          <w:b w:val="0"/>
          <w:kern w:val="2"/>
        </w:rPr>
        <w:br w:type="page"/>
      </w:r>
      <w:r>
        <w:rPr>
          <w:rFonts w:hint="eastAsia" w:ascii="仿宋" w:hAnsi="仿宋" w:eastAsia="仿宋" w:cs="仿宋"/>
          <w:bCs w:val="0"/>
          <w:color w:val="auto"/>
          <w:kern w:val="2"/>
        </w:rPr>
        <w:t>、竞争性磋商公告</w:t>
      </w:r>
      <w:bookmarkEnd w:id="0"/>
      <w:bookmarkEnd w:id="1"/>
    </w:p>
    <w:p w14:paraId="0B5697B4">
      <w:pPr>
        <w:spacing w:before="156" w:beforeLines="50" w:after="156" w:afterLines="50"/>
        <w:jc w:val="center"/>
        <w:rPr>
          <w:rFonts w:ascii="仿宋" w:hAnsi="仿宋" w:eastAsia="仿宋"/>
          <w:b/>
          <w:color w:val="auto"/>
          <w:sz w:val="28"/>
          <w:szCs w:val="28"/>
          <w:shd w:val="clear" w:color="auto" w:fill="FFFFFF"/>
        </w:rPr>
      </w:pPr>
      <w:bookmarkStart w:id="2" w:name="_Hlk493773941"/>
      <w:bookmarkStart w:id="3" w:name="_Hlk480459773"/>
      <w:bookmarkStart w:id="4" w:name="_Hlk493191341"/>
      <w:bookmarkStart w:id="5" w:name="_Hlk512442259"/>
      <w:bookmarkStart w:id="6" w:name="_Hlk529279138"/>
      <w:bookmarkStart w:id="7" w:name="_Hlk48114742"/>
      <w:bookmarkStart w:id="8" w:name="_Hlk48381738"/>
      <w:bookmarkStart w:id="9" w:name="_Hlk107387717"/>
      <w:bookmarkStart w:id="10" w:name="_Hlk174106007"/>
      <w:r>
        <w:rPr>
          <w:rFonts w:hint="eastAsia" w:ascii="仿宋" w:hAnsi="仿宋" w:eastAsia="仿宋"/>
          <w:b/>
          <w:color w:val="auto"/>
          <w:sz w:val="28"/>
          <w:szCs w:val="28"/>
          <w:shd w:val="clear" w:color="auto" w:fill="FFFFFF"/>
        </w:rPr>
        <w:t>【</w:t>
      </w:r>
      <w:r>
        <w:rPr>
          <w:rFonts w:hint="eastAsia" w:ascii="仿宋" w:hAnsi="仿宋" w:eastAsia="仿宋"/>
          <w:b/>
          <w:color w:val="auto"/>
          <w:sz w:val="28"/>
          <w:szCs w:val="28"/>
          <w:highlight w:val="none"/>
          <w:shd w:val="clear" w:color="auto" w:fill="FFFFFF"/>
        </w:rPr>
        <w:t>平公资采</w:t>
      </w:r>
      <w:r>
        <w:rPr>
          <w:rFonts w:ascii="仿宋" w:hAnsi="仿宋" w:eastAsia="仿宋"/>
          <w:b/>
          <w:color w:val="auto"/>
          <w:sz w:val="28"/>
          <w:szCs w:val="28"/>
          <w:highlight w:val="none"/>
          <w:shd w:val="clear" w:color="auto" w:fill="FFFFFF"/>
        </w:rPr>
        <w:t>202</w:t>
      </w:r>
      <w:r>
        <w:rPr>
          <w:rFonts w:hint="eastAsia" w:ascii="仿宋" w:hAnsi="仿宋" w:eastAsia="仿宋"/>
          <w:b/>
          <w:color w:val="auto"/>
          <w:sz w:val="28"/>
          <w:szCs w:val="28"/>
          <w:highlight w:val="none"/>
          <w:shd w:val="clear" w:color="auto" w:fill="FFFFFF"/>
          <w:lang w:val="en-US" w:eastAsia="zh-CN"/>
        </w:rPr>
        <w:t>6422</w:t>
      </w:r>
      <w:r>
        <w:rPr>
          <w:rFonts w:hint="eastAsia" w:ascii="仿宋" w:hAnsi="仿宋" w:eastAsia="仿宋"/>
          <w:b/>
          <w:color w:val="auto"/>
          <w:sz w:val="28"/>
          <w:szCs w:val="28"/>
          <w:highlight w:val="none"/>
          <w:shd w:val="clear" w:color="auto" w:fill="FFFFFF"/>
        </w:rPr>
        <w:t>号</w:t>
      </w:r>
      <w:r>
        <w:rPr>
          <w:rFonts w:hint="eastAsia" w:ascii="仿宋" w:hAnsi="仿宋" w:eastAsia="仿宋"/>
          <w:b/>
          <w:color w:val="auto"/>
          <w:sz w:val="28"/>
          <w:szCs w:val="28"/>
          <w:shd w:val="clear" w:color="auto" w:fill="FFFFFF"/>
        </w:rPr>
        <w:t>】</w:t>
      </w:r>
      <w:bookmarkEnd w:id="2"/>
      <w:bookmarkStart w:id="11" w:name="_Hlk529281174"/>
      <w:bookmarkStart w:id="12" w:name="_Hlk493837227"/>
      <w:r>
        <w:rPr>
          <w:rFonts w:hint="eastAsia" w:ascii="仿宋" w:hAnsi="仿宋" w:eastAsia="仿宋"/>
          <w:b/>
          <w:color w:val="auto"/>
          <w:sz w:val="28"/>
          <w:szCs w:val="28"/>
          <w:shd w:val="clear" w:color="auto" w:fill="FFFFFF"/>
          <w:lang w:eastAsia="zh-CN"/>
        </w:rPr>
        <w:t>平顶山市新华区住房和城乡建设局平顶山市新华区城市更新实施方案编制项目</w:t>
      </w:r>
      <w:r>
        <w:rPr>
          <w:rFonts w:hint="eastAsia" w:ascii="仿宋" w:hAnsi="仿宋" w:eastAsia="仿宋"/>
          <w:b/>
          <w:color w:val="auto"/>
          <w:sz w:val="28"/>
          <w:szCs w:val="28"/>
          <w:shd w:val="clear" w:color="auto" w:fill="FFFFFF"/>
        </w:rPr>
        <w:t>竞争性磋商公告</w:t>
      </w:r>
    </w:p>
    <w:p w14:paraId="14068745">
      <w:pPr>
        <w:spacing w:before="156" w:beforeLines="50" w:after="156" w:afterLines="50"/>
        <w:rPr>
          <w:rFonts w:ascii="仿宋" w:hAnsi="仿宋" w:eastAsia="仿宋"/>
          <w:b/>
          <w:bCs/>
          <w:color w:val="auto"/>
          <w:kern w:val="0"/>
          <w:sz w:val="24"/>
          <w:szCs w:val="24"/>
        </w:rPr>
      </w:pPr>
      <w:r>
        <w:rPr>
          <w:rFonts w:hint="eastAsia" w:ascii="仿宋" w:hAnsi="仿宋" w:eastAsia="仿宋"/>
          <w:b/>
          <w:bCs/>
          <w:color w:val="auto"/>
          <w:kern w:val="0"/>
          <w:sz w:val="24"/>
        </w:rPr>
        <w:t>项目概况</w:t>
      </w:r>
    </w:p>
    <w:p w14:paraId="5980225B">
      <w:pPr>
        <w:pStyle w:val="24"/>
        <w:spacing w:before="156" w:beforeLines="50" w:beforeAutospacing="0" w:after="156" w:afterLines="50" w:afterAutospacing="0"/>
        <w:ind w:firstLine="566" w:firstLineChars="236"/>
        <w:rPr>
          <w:rFonts w:ascii="仿宋" w:hAnsi="仿宋" w:eastAsia="仿宋"/>
          <w:color w:val="auto"/>
        </w:rPr>
      </w:pPr>
      <w:r>
        <w:rPr>
          <w:rFonts w:hint="eastAsia" w:ascii="仿宋" w:hAnsi="仿宋" w:eastAsia="仿宋"/>
          <w:color w:val="auto"/>
          <w:lang w:val="en-US" w:eastAsia="zh-CN"/>
        </w:rPr>
        <w:t>平顶山市新华区住房和城乡建设局平顶山市新华区城市更新实施方案编制项目招标</w:t>
      </w:r>
      <w:r>
        <w:rPr>
          <w:rFonts w:hint="eastAsia" w:ascii="仿宋" w:hAnsi="仿宋" w:eastAsia="仿宋"/>
          <w:color w:val="auto"/>
        </w:rPr>
        <w:t>项目的潜在投标人应在《全国公共资源交易平台（河南省·平顶山市）》获取招标文件，并于</w:t>
      </w:r>
      <w:r>
        <w:rPr>
          <w:rFonts w:hint="eastAsia" w:ascii="仿宋" w:hAnsi="仿宋" w:eastAsia="仿宋"/>
          <w:color w:val="auto"/>
          <w:szCs w:val="24"/>
          <w:highlight w:val="none"/>
        </w:rPr>
        <w:t>202</w:t>
      </w:r>
      <w:r>
        <w:rPr>
          <w:rFonts w:hint="eastAsia" w:ascii="仿宋" w:hAnsi="仿宋" w:eastAsia="仿宋"/>
          <w:color w:val="auto"/>
          <w:szCs w:val="24"/>
          <w:highlight w:val="none"/>
          <w:lang w:val="en-US" w:eastAsia="zh-CN"/>
        </w:rPr>
        <w:t>6</w:t>
      </w:r>
      <w:r>
        <w:rPr>
          <w:rFonts w:hint="eastAsia" w:ascii="仿宋" w:hAnsi="仿宋" w:eastAsia="仿宋"/>
          <w:color w:val="auto"/>
          <w:szCs w:val="24"/>
          <w:highlight w:val="none"/>
        </w:rPr>
        <w:t>年</w:t>
      </w:r>
      <w:r>
        <w:rPr>
          <w:rFonts w:hint="eastAsia" w:ascii="仿宋" w:hAnsi="仿宋" w:eastAsia="仿宋"/>
          <w:color w:val="auto"/>
          <w:szCs w:val="24"/>
          <w:highlight w:val="none"/>
          <w:lang w:val="en-US" w:eastAsia="zh-CN"/>
        </w:rPr>
        <w:t>06</w:t>
      </w:r>
      <w:r>
        <w:rPr>
          <w:rFonts w:hint="eastAsia" w:ascii="仿宋" w:hAnsi="仿宋" w:eastAsia="仿宋"/>
          <w:color w:val="auto"/>
          <w:szCs w:val="24"/>
          <w:highlight w:val="none"/>
        </w:rPr>
        <w:t>月</w:t>
      </w:r>
      <w:r>
        <w:rPr>
          <w:rFonts w:hint="eastAsia" w:ascii="仿宋" w:hAnsi="仿宋" w:eastAsia="仿宋"/>
          <w:color w:val="auto"/>
          <w:szCs w:val="24"/>
          <w:highlight w:val="none"/>
          <w:lang w:val="en-US" w:eastAsia="zh-CN"/>
        </w:rPr>
        <w:t>08</w:t>
      </w:r>
      <w:r>
        <w:rPr>
          <w:rFonts w:hint="eastAsia" w:ascii="仿宋" w:hAnsi="仿宋" w:eastAsia="仿宋"/>
          <w:color w:val="auto"/>
          <w:szCs w:val="24"/>
          <w:highlight w:val="none"/>
        </w:rPr>
        <w:t>日</w:t>
      </w:r>
      <w:r>
        <w:rPr>
          <w:rFonts w:hint="eastAsia" w:ascii="仿宋" w:hAnsi="仿宋" w:eastAsia="仿宋"/>
          <w:color w:val="auto"/>
          <w:szCs w:val="24"/>
          <w:highlight w:val="none"/>
          <w:lang w:val="en-US" w:eastAsia="zh-CN"/>
        </w:rPr>
        <w:t>08</w:t>
      </w:r>
      <w:r>
        <w:rPr>
          <w:rFonts w:hint="eastAsia" w:ascii="仿宋" w:hAnsi="仿宋" w:eastAsia="仿宋"/>
          <w:color w:val="auto"/>
          <w:szCs w:val="24"/>
          <w:highlight w:val="none"/>
        </w:rPr>
        <w:t>时</w:t>
      </w:r>
      <w:r>
        <w:rPr>
          <w:rFonts w:hint="eastAsia" w:ascii="仿宋" w:hAnsi="仿宋" w:eastAsia="仿宋"/>
          <w:color w:val="auto"/>
          <w:szCs w:val="24"/>
          <w:highlight w:val="none"/>
          <w:lang w:val="en-US" w:eastAsia="zh-CN"/>
        </w:rPr>
        <w:t>40</w:t>
      </w:r>
      <w:r>
        <w:rPr>
          <w:rFonts w:hint="eastAsia" w:ascii="仿宋" w:hAnsi="仿宋" w:eastAsia="仿宋"/>
          <w:color w:val="auto"/>
          <w:szCs w:val="24"/>
          <w:highlight w:val="none"/>
        </w:rPr>
        <w:t>分</w:t>
      </w:r>
      <w:r>
        <w:rPr>
          <w:rFonts w:hint="eastAsia" w:ascii="仿宋" w:hAnsi="仿宋" w:eastAsia="仿宋"/>
          <w:color w:val="auto"/>
        </w:rPr>
        <w:t>（北京时间）前递交响应文件。</w:t>
      </w:r>
    </w:p>
    <w:p w14:paraId="23B2D10E">
      <w:pPr>
        <w:pStyle w:val="24"/>
        <w:spacing w:before="156" w:beforeLines="50" w:beforeAutospacing="0" w:after="156" w:afterLines="50" w:afterAutospacing="0"/>
        <w:rPr>
          <w:rFonts w:ascii="仿宋" w:hAnsi="仿宋" w:eastAsia="仿宋"/>
          <w:b/>
          <w:bCs/>
          <w:color w:val="auto"/>
        </w:rPr>
      </w:pPr>
      <w:r>
        <w:rPr>
          <w:rFonts w:hint="eastAsia" w:ascii="仿宋" w:hAnsi="仿宋" w:eastAsia="仿宋"/>
          <w:b/>
          <w:bCs/>
          <w:color w:val="auto"/>
        </w:rPr>
        <w:t xml:space="preserve">一、项目基本情况  </w:t>
      </w:r>
    </w:p>
    <w:p w14:paraId="13F09792">
      <w:pPr>
        <w:pStyle w:val="24"/>
        <w:spacing w:before="156" w:beforeLines="50" w:beforeAutospacing="0" w:after="156" w:afterLines="50" w:afterAutospacing="0"/>
        <w:ind w:firstLine="4" w:firstLineChars="2"/>
        <w:rPr>
          <w:rFonts w:hint="default" w:ascii="仿宋" w:hAnsi="仿宋" w:eastAsia="仿宋"/>
          <w:color w:val="auto"/>
          <w:highlight w:val="none"/>
          <w:lang w:val="en-US" w:eastAsia="zh-CN"/>
        </w:rPr>
      </w:pPr>
      <w:r>
        <w:rPr>
          <w:rFonts w:hint="eastAsia" w:ascii="仿宋" w:hAnsi="仿宋" w:eastAsia="仿宋"/>
          <w:color w:val="auto"/>
          <w:highlight w:val="none"/>
        </w:rPr>
        <w:t>1、项目编号：平新采磋商-202</w:t>
      </w:r>
      <w:r>
        <w:rPr>
          <w:rFonts w:hint="eastAsia" w:ascii="仿宋" w:hAnsi="仿宋" w:eastAsia="仿宋"/>
          <w:color w:val="auto"/>
          <w:highlight w:val="none"/>
          <w:lang w:val="en-US" w:eastAsia="zh-CN"/>
        </w:rPr>
        <w:t>6</w:t>
      </w:r>
      <w:r>
        <w:rPr>
          <w:rFonts w:hint="eastAsia" w:ascii="仿宋" w:hAnsi="仿宋" w:eastAsia="仿宋"/>
          <w:color w:val="auto"/>
          <w:highlight w:val="none"/>
        </w:rPr>
        <w:t>-</w:t>
      </w:r>
      <w:r>
        <w:rPr>
          <w:rFonts w:hint="eastAsia" w:ascii="仿宋" w:hAnsi="仿宋" w:eastAsia="仿宋"/>
          <w:color w:val="auto"/>
          <w:highlight w:val="none"/>
          <w:lang w:val="en-US" w:eastAsia="zh-CN"/>
        </w:rPr>
        <w:t>22</w:t>
      </w:r>
    </w:p>
    <w:p w14:paraId="200CD1FE">
      <w:pPr>
        <w:pStyle w:val="24"/>
        <w:spacing w:before="156" w:beforeLines="50" w:beforeAutospacing="0" w:after="156" w:afterLines="50" w:afterAutospacing="0"/>
        <w:ind w:firstLine="4" w:firstLineChars="2"/>
        <w:rPr>
          <w:rFonts w:hint="eastAsia" w:ascii="仿宋" w:hAnsi="仿宋" w:eastAsia="仿宋"/>
          <w:color w:val="auto"/>
          <w:lang w:eastAsia="zh-CN"/>
        </w:rPr>
      </w:pPr>
      <w:r>
        <w:rPr>
          <w:rFonts w:hint="eastAsia" w:ascii="仿宋" w:hAnsi="仿宋" w:eastAsia="仿宋"/>
          <w:color w:val="auto"/>
        </w:rPr>
        <w:t>2、项目名称：</w:t>
      </w:r>
      <w:r>
        <w:rPr>
          <w:rFonts w:hint="eastAsia" w:ascii="仿宋" w:hAnsi="仿宋" w:eastAsia="仿宋"/>
          <w:color w:val="auto"/>
          <w:lang w:eastAsia="zh-CN"/>
        </w:rPr>
        <w:t>平顶山市新华区住房和城乡建设局平顶山市新华区城市更新实施方案编制项目</w:t>
      </w:r>
    </w:p>
    <w:p w14:paraId="26E0AE47">
      <w:pPr>
        <w:pStyle w:val="24"/>
        <w:spacing w:before="156" w:beforeLines="50" w:beforeAutospacing="0" w:after="156" w:afterLines="50" w:afterAutospacing="0"/>
        <w:ind w:firstLine="4" w:firstLineChars="2"/>
        <w:rPr>
          <w:rFonts w:ascii="仿宋" w:hAnsi="仿宋" w:eastAsia="仿宋"/>
          <w:color w:val="auto"/>
        </w:rPr>
      </w:pPr>
      <w:r>
        <w:rPr>
          <w:rFonts w:hint="eastAsia" w:ascii="仿宋" w:hAnsi="仿宋" w:eastAsia="仿宋"/>
          <w:color w:val="auto"/>
        </w:rPr>
        <w:t>3、采购方式：竞争性磋商</w:t>
      </w:r>
    </w:p>
    <w:p w14:paraId="148AABB1">
      <w:pPr>
        <w:pStyle w:val="24"/>
        <w:spacing w:before="156" w:beforeLines="50" w:beforeAutospacing="0" w:after="156" w:afterLines="50" w:afterAutospacing="0"/>
        <w:ind w:firstLine="4" w:firstLineChars="2"/>
        <w:rPr>
          <w:rFonts w:ascii="仿宋" w:hAnsi="仿宋" w:eastAsia="仿宋"/>
          <w:color w:val="auto"/>
        </w:rPr>
      </w:pPr>
      <w:r>
        <w:rPr>
          <w:rFonts w:hint="eastAsia" w:ascii="仿宋" w:hAnsi="仿宋" w:eastAsia="仿宋"/>
          <w:color w:val="auto"/>
        </w:rPr>
        <w:t>4、预算金额：</w:t>
      </w:r>
      <w:r>
        <w:rPr>
          <w:rFonts w:hint="eastAsia" w:ascii="仿宋" w:hAnsi="仿宋" w:eastAsia="仿宋"/>
          <w:color w:val="auto"/>
          <w:lang w:val="en-US" w:eastAsia="zh-CN"/>
        </w:rPr>
        <w:t>98</w:t>
      </w:r>
      <w:r>
        <w:rPr>
          <w:rFonts w:hint="eastAsia" w:ascii="仿宋" w:hAnsi="仿宋" w:eastAsia="仿宋"/>
          <w:color w:val="auto"/>
        </w:rPr>
        <w:t>0000</w:t>
      </w:r>
      <w:r>
        <w:rPr>
          <w:rFonts w:ascii="仿宋" w:hAnsi="仿宋" w:eastAsia="仿宋"/>
          <w:color w:val="auto"/>
        </w:rPr>
        <w:t>.00</w:t>
      </w:r>
      <w:r>
        <w:rPr>
          <w:rFonts w:hint="eastAsia" w:ascii="仿宋" w:hAnsi="仿宋" w:eastAsia="仿宋"/>
          <w:color w:val="auto"/>
        </w:rPr>
        <w:t>元</w:t>
      </w:r>
    </w:p>
    <w:p w14:paraId="26E96D3C">
      <w:pPr>
        <w:pStyle w:val="24"/>
        <w:spacing w:before="156" w:beforeLines="50" w:beforeAutospacing="0" w:after="156" w:afterLines="50" w:afterAutospacing="0"/>
        <w:rPr>
          <w:rFonts w:ascii="仿宋" w:hAnsi="仿宋" w:eastAsia="仿宋"/>
          <w:color w:val="auto"/>
        </w:rPr>
      </w:pPr>
      <w:r>
        <w:rPr>
          <w:rFonts w:hint="eastAsia" w:ascii="仿宋" w:hAnsi="仿宋" w:eastAsia="仿宋"/>
          <w:color w:val="auto"/>
        </w:rPr>
        <w:t>最高限价：</w:t>
      </w:r>
      <w:r>
        <w:rPr>
          <w:rFonts w:hint="eastAsia" w:ascii="仿宋" w:hAnsi="仿宋" w:eastAsia="仿宋"/>
          <w:color w:val="auto"/>
          <w:lang w:val="en-US" w:eastAsia="zh-CN"/>
        </w:rPr>
        <w:t>98</w:t>
      </w:r>
      <w:r>
        <w:rPr>
          <w:rFonts w:hint="eastAsia" w:ascii="仿宋" w:hAnsi="仿宋" w:eastAsia="仿宋"/>
          <w:color w:val="auto"/>
        </w:rPr>
        <w:t>0000</w:t>
      </w:r>
      <w:r>
        <w:rPr>
          <w:rFonts w:ascii="仿宋" w:hAnsi="仿宋" w:eastAsia="仿宋"/>
          <w:color w:val="auto"/>
        </w:rPr>
        <w:t>.00</w:t>
      </w:r>
      <w:r>
        <w:rPr>
          <w:rFonts w:hint="eastAsia" w:ascii="仿宋" w:hAnsi="仿宋" w:eastAsia="仿宋"/>
          <w:color w:val="auto"/>
        </w:rPr>
        <w:t>元</w:t>
      </w:r>
    </w:p>
    <w:tbl>
      <w:tblPr>
        <w:tblStyle w:val="2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951"/>
        <w:gridCol w:w="2283"/>
        <w:gridCol w:w="1161"/>
        <w:gridCol w:w="1161"/>
        <w:gridCol w:w="1161"/>
        <w:gridCol w:w="1161"/>
      </w:tblGrid>
      <w:tr w14:paraId="2939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4" w:type="dxa"/>
            <w:tcBorders>
              <w:top w:val="single" w:color="auto" w:sz="4" w:space="0"/>
              <w:left w:val="single" w:color="auto" w:sz="4" w:space="0"/>
              <w:bottom w:val="single" w:color="auto" w:sz="4" w:space="0"/>
              <w:right w:val="single" w:color="auto" w:sz="4" w:space="0"/>
            </w:tcBorders>
            <w:vAlign w:val="center"/>
          </w:tcPr>
          <w:p w14:paraId="641058A8">
            <w:pPr>
              <w:adjustRightInd w:val="0"/>
              <w:snapToGrid w:val="0"/>
              <w:jc w:val="center"/>
              <w:rPr>
                <w:rFonts w:ascii="仿宋" w:hAnsi="仿宋" w:eastAsia="仿宋"/>
                <w:color w:val="auto"/>
                <w:sz w:val="22"/>
                <w:szCs w:val="18"/>
                <w:highlight w:val="none"/>
              </w:rPr>
            </w:pPr>
            <w:bookmarkStart w:id="13" w:name="_Hlk135910274"/>
            <w:r>
              <w:rPr>
                <w:rFonts w:hint="eastAsia" w:ascii="仿宋" w:hAnsi="仿宋" w:eastAsia="仿宋"/>
                <w:color w:val="auto"/>
                <w:sz w:val="22"/>
                <w:szCs w:val="18"/>
                <w:highlight w:val="none"/>
              </w:rPr>
              <w:t>序号</w:t>
            </w:r>
          </w:p>
        </w:tc>
        <w:tc>
          <w:tcPr>
            <w:tcW w:w="951" w:type="dxa"/>
            <w:tcBorders>
              <w:top w:val="single" w:color="auto" w:sz="4" w:space="0"/>
              <w:left w:val="single" w:color="auto" w:sz="4" w:space="0"/>
              <w:bottom w:val="single" w:color="auto" w:sz="4" w:space="0"/>
              <w:right w:val="single" w:color="auto" w:sz="4" w:space="0"/>
            </w:tcBorders>
            <w:vAlign w:val="center"/>
          </w:tcPr>
          <w:p w14:paraId="62261845">
            <w:pPr>
              <w:adjustRightInd w:val="0"/>
              <w:snapToGrid w:val="0"/>
              <w:jc w:val="center"/>
              <w:rPr>
                <w:rFonts w:ascii="仿宋" w:hAnsi="仿宋" w:eastAsia="仿宋"/>
                <w:color w:val="auto"/>
                <w:highlight w:val="none"/>
              </w:rPr>
            </w:pPr>
            <w:r>
              <w:rPr>
                <w:rFonts w:hint="eastAsia" w:ascii="仿宋" w:hAnsi="仿宋" w:eastAsia="仿宋"/>
                <w:color w:val="auto"/>
                <w:highlight w:val="none"/>
              </w:rPr>
              <w:t>包号</w:t>
            </w:r>
          </w:p>
        </w:tc>
        <w:tc>
          <w:tcPr>
            <w:tcW w:w="2461" w:type="dxa"/>
            <w:tcBorders>
              <w:top w:val="single" w:color="auto" w:sz="4" w:space="0"/>
              <w:left w:val="single" w:color="auto" w:sz="4" w:space="0"/>
              <w:bottom w:val="single" w:color="auto" w:sz="4" w:space="0"/>
              <w:right w:val="single" w:color="auto" w:sz="4" w:space="0"/>
            </w:tcBorders>
            <w:vAlign w:val="center"/>
          </w:tcPr>
          <w:p w14:paraId="6A7DF6D7">
            <w:pPr>
              <w:adjustRightInd w:val="0"/>
              <w:snapToGrid w:val="0"/>
              <w:jc w:val="center"/>
              <w:rPr>
                <w:rFonts w:ascii="仿宋" w:hAnsi="仿宋" w:eastAsia="仿宋"/>
                <w:color w:val="auto"/>
                <w:highlight w:val="none"/>
              </w:rPr>
            </w:pPr>
            <w:r>
              <w:rPr>
                <w:rFonts w:hint="eastAsia" w:ascii="仿宋" w:hAnsi="仿宋" w:eastAsia="仿宋"/>
                <w:color w:val="auto"/>
                <w:highlight w:val="none"/>
              </w:rPr>
              <w:t>包名称</w:t>
            </w:r>
          </w:p>
        </w:tc>
        <w:tc>
          <w:tcPr>
            <w:tcW w:w="1004" w:type="dxa"/>
            <w:tcBorders>
              <w:top w:val="single" w:color="auto" w:sz="4" w:space="0"/>
              <w:left w:val="single" w:color="auto" w:sz="4" w:space="0"/>
              <w:bottom w:val="single" w:color="auto" w:sz="4" w:space="0"/>
              <w:right w:val="single" w:color="auto" w:sz="4" w:space="0"/>
            </w:tcBorders>
            <w:vAlign w:val="center"/>
          </w:tcPr>
          <w:p w14:paraId="7D7385E5">
            <w:pPr>
              <w:adjustRightInd w:val="0"/>
              <w:snapToGrid w:val="0"/>
              <w:jc w:val="center"/>
              <w:rPr>
                <w:rFonts w:ascii="仿宋" w:hAnsi="仿宋" w:eastAsia="仿宋"/>
                <w:color w:val="auto"/>
                <w:sz w:val="22"/>
                <w:szCs w:val="18"/>
                <w:highlight w:val="none"/>
              </w:rPr>
            </w:pPr>
            <w:r>
              <w:rPr>
                <w:rFonts w:hint="eastAsia" w:ascii="仿宋" w:hAnsi="仿宋" w:eastAsia="仿宋"/>
                <w:color w:val="auto"/>
                <w:sz w:val="22"/>
                <w:szCs w:val="18"/>
                <w:highlight w:val="none"/>
              </w:rPr>
              <w:t>包预算（元）</w:t>
            </w:r>
          </w:p>
        </w:tc>
        <w:tc>
          <w:tcPr>
            <w:tcW w:w="1104" w:type="dxa"/>
            <w:tcBorders>
              <w:top w:val="single" w:color="auto" w:sz="4" w:space="0"/>
              <w:left w:val="single" w:color="auto" w:sz="4" w:space="0"/>
              <w:bottom w:val="single" w:color="auto" w:sz="4" w:space="0"/>
              <w:right w:val="single" w:color="auto" w:sz="4" w:space="0"/>
            </w:tcBorders>
            <w:vAlign w:val="center"/>
          </w:tcPr>
          <w:p w14:paraId="53E4A2B1">
            <w:pPr>
              <w:adjustRightInd w:val="0"/>
              <w:snapToGrid w:val="0"/>
              <w:jc w:val="center"/>
              <w:rPr>
                <w:rFonts w:ascii="仿宋" w:hAnsi="仿宋" w:eastAsia="仿宋"/>
                <w:color w:val="auto"/>
                <w:sz w:val="22"/>
                <w:szCs w:val="18"/>
                <w:highlight w:val="none"/>
              </w:rPr>
            </w:pPr>
            <w:r>
              <w:rPr>
                <w:rFonts w:hint="eastAsia" w:ascii="仿宋" w:hAnsi="仿宋" w:eastAsia="仿宋"/>
                <w:color w:val="auto"/>
                <w:sz w:val="22"/>
                <w:szCs w:val="18"/>
                <w:highlight w:val="none"/>
              </w:rPr>
              <w:t>包最高限价（元）</w:t>
            </w:r>
          </w:p>
        </w:tc>
        <w:tc>
          <w:tcPr>
            <w:tcW w:w="1230" w:type="dxa"/>
            <w:tcBorders>
              <w:top w:val="single" w:color="auto" w:sz="4" w:space="0"/>
              <w:left w:val="single" w:color="auto" w:sz="4" w:space="0"/>
              <w:bottom w:val="single" w:color="auto" w:sz="4" w:space="0"/>
              <w:right w:val="single" w:color="auto" w:sz="4" w:space="0"/>
            </w:tcBorders>
            <w:vAlign w:val="center"/>
          </w:tcPr>
          <w:p w14:paraId="05424DED">
            <w:pPr>
              <w:adjustRightInd w:val="0"/>
              <w:snapToGrid w:val="0"/>
              <w:jc w:val="center"/>
              <w:rPr>
                <w:rFonts w:ascii="仿宋" w:hAnsi="仿宋" w:eastAsia="仿宋"/>
                <w:color w:val="auto"/>
                <w:sz w:val="22"/>
                <w:szCs w:val="18"/>
                <w:highlight w:val="none"/>
              </w:rPr>
            </w:pPr>
            <w:r>
              <w:rPr>
                <w:rFonts w:hint="eastAsia" w:ascii="仿宋" w:hAnsi="仿宋" w:eastAsia="仿宋"/>
                <w:color w:val="auto"/>
                <w:sz w:val="22"/>
                <w:szCs w:val="18"/>
                <w:highlight w:val="none"/>
              </w:rPr>
              <w:t>是否专门面向中小企业</w:t>
            </w:r>
          </w:p>
        </w:tc>
        <w:tc>
          <w:tcPr>
            <w:tcW w:w="1108" w:type="dxa"/>
            <w:tcBorders>
              <w:top w:val="single" w:color="auto" w:sz="4" w:space="0"/>
              <w:left w:val="single" w:color="auto" w:sz="4" w:space="0"/>
              <w:bottom w:val="single" w:color="auto" w:sz="4" w:space="0"/>
              <w:right w:val="single" w:color="auto" w:sz="4" w:space="0"/>
            </w:tcBorders>
            <w:vAlign w:val="center"/>
          </w:tcPr>
          <w:p w14:paraId="5BB4269B">
            <w:pPr>
              <w:adjustRightInd w:val="0"/>
              <w:snapToGrid w:val="0"/>
              <w:jc w:val="center"/>
              <w:rPr>
                <w:rFonts w:ascii="仿宋" w:hAnsi="仿宋" w:eastAsia="仿宋"/>
                <w:color w:val="auto"/>
                <w:sz w:val="22"/>
                <w:szCs w:val="18"/>
                <w:highlight w:val="none"/>
              </w:rPr>
            </w:pPr>
            <w:r>
              <w:rPr>
                <w:rFonts w:hint="eastAsia" w:ascii="仿宋" w:hAnsi="仿宋" w:eastAsia="仿宋"/>
                <w:color w:val="auto"/>
                <w:sz w:val="22"/>
                <w:szCs w:val="18"/>
                <w:highlight w:val="none"/>
              </w:rPr>
              <w:t>采购预留金额（元）</w:t>
            </w:r>
          </w:p>
        </w:tc>
      </w:tr>
      <w:tr w14:paraId="1053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4" w:type="dxa"/>
            <w:tcBorders>
              <w:top w:val="single" w:color="auto" w:sz="4" w:space="0"/>
              <w:left w:val="single" w:color="auto" w:sz="4" w:space="0"/>
              <w:bottom w:val="single" w:color="auto" w:sz="4" w:space="0"/>
              <w:right w:val="single" w:color="auto" w:sz="4" w:space="0"/>
            </w:tcBorders>
            <w:vAlign w:val="center"/>
          </w:tcPr>
          <w:p w14:paraId="304333D6">
            <w:pPr>
              <w:adjustRightInd w:val="0"/>
              <w:snapToGrid w:val="0"/>
              <w:jc w:val="center"/>
              <w:rPr>
                <w:rFonts w:ascii="仿宋" w:hAnsi="仿宋" w:eastAsia="仿宋"/>
                <w:color w:val="auto"/>
                <w:szCs w:val="21"/>
                <w:highlight w:val="none"/>
              </w:rPr>
            </w:pPr>
            <w:bookmarkStart w:id="14" w:name="_Hlk106885771"/>
            <w:r>
              <w:rPr>
                <w:rFonts w:hint="eastAsia" w:ascii="仿宋" w:hAnsi="仿宋" w:eastAsia="仿宋"/>
                <w:color w:val="auto"/>
                <w:szCs w:val="21"/>
                <w:highlight w:val="none"/>
              </w:rPr>
              <w:t>1</w:t>
            </w:r>
          </w:p>
        </w:tc>
        <w:tc>
          <w:tcPr>
            <w:tcW w:w="951" w:type="dxa"/>
            <w:tcBorders>
              <w:top w:val="single" w:color="auto" w:sz="4" w:space="0"/>
              <w:left w:val="single" w:color="auto" w:sz="4" w:space="0"/>
              <w:bottom w:val="single" w:color="auto" w:sz="4" w:space="0"/>
              <w:right w:val="single" w:color="auto" w:sz="4" w:space="0"/>
            </w:tcBorders>
            <w:vAlign w:val="center"/>
          </w:tcPr>
          <w:p w14:paraId="1D285B81">
            <w:pPr>
              <w:adjustRightInd w:val="0"/>
              <w:snapToGrid w:val="0"/>
              <w:jc w:val="center"/>
              <w:rPr>
                <w:rFonts w:ascii="仿宋" w:hAnsi="仿宋" w:eastAsia="仿宋"/>
                <w:color w:val="auto"/>
                <w:highlight w:val="none"/>
              </w:rPr>
            </w:pPr>
            <w:r>
              <w:rPr>
                <w:rFonts w:hint="eastAsia" w:ascii="仿宋" w:hAnsi="仿宋" w:eastAsia="仿宋"/>
                <w:color w:val="auto"/>
                <w:highlight w:val="none"/>
              </w:rPr>
              <w:t>平公资采202</w:t>
            </w:r>
            <w:r>
              <w:rPr>
                <w:rFonts w:hint="eastAsia" w:ascii="仿宋" w:hAnsi="仿宋" w:eastAsia="仿宋"/>
                <w:color w:val="auto"/>
                <w:highlight w:val="none"/>
                <w:lang w:val="en-US" w:eastAsia="zh-CN"/>
              </w:rPr>
              <w:t xml:space="preserve">6422 </w:t>
            </w:r>
            <w:r>
              <w:rPr>
                <w:rFonts w:hint="eastAsia" w:ascii="仿宋" w:hAnsi="仿宋" w:eastAsia="仿宋"/>
                <w:color w:val="auto"/>
                <w:highlight w:val="none"/>
              </w:rPr>
              <w:t>号-1</w:t>
            </w:r>
          </w:p>
        </w:tc>
        <w:tc>
          <w:tcPr>
            <w:tcW w:w="2461" w:type="dxa"/>
            <w:tcBorders>
              <w:top w:val="single" w:color="auto" w:sz="4" w:space="0"/>
              <w:left w:val="single" w:color="auto" w:sz="4" w:space="0"/>
              <w:bottom w:val="single" w:color="auto" w:sz="4" w:space="0"/>
              <w:right w:val="single" w:color="auto" w:sz="4" w:space="0"/>
            </w:tcBorders>
            <w:vAlign w:val="center"/>
          </w:tcPr>
          <w:p w14:paraId="304B37A2">
            <w:pPr>
              <w:adjustRightInd w:val="0"/>
              <w:snapToGrid w:val="0"/>
              <w:jc w:val="center"/>
              <w:rPr>
                <w:rFonts w:hint="eastAsia" w:ascii="仿宋" w:hAnsi="仿宋" w:eastAsia="仿宋"/>
                <w:color w:val="auto"/>
                <w:szCs w:val="21"/>
                <w:highlight w:val="none"/>
                <w:lang w:eastAsia="zh-CN"/>
              </w:rPr>
            </w:pPr>
            <w:r>
              <w:rPr>
                <w:rFonts w:hint="eastAsia" w:ascii="仿宋" w:hAnsi="仿宋" w:eastAsia="仿宋"/>
                <w:color w:val="auto"/>
                <w:highlight w:val="none"/>
                <w:lang w:eastAsia="zh-CN"/>
              </w:rPr>
              <w:t>平顶山市新华区住房和城乡建设局平顶山市新华区城市更新实施方案编制项目</w:t>
            </w:r>
          </w:p>
        </w:tc>
        <w:tc>
          <w:tcPr>
            <w:tcW w:w="1004" w:type="dxa"/>
            <w:tcBorders>
              <w:top w:val="single" w:color="auto" w:sz="4" w:space="0"/>
              <w:left w:val="single" w:color="auto" w:sz="4" w:space="0"/>
              <w:bottom w:val="single" w:color="auto" w:sz="4" w:space="0"/>
              <w:right w:val="single" w:color="auto" w:sz="4" w:space="0"/>
            </w:tcBorders>
            <w:vAlign w:val="center"/>
          </w:tcPr>
          <w:p w14:paraId="50A21E8A">
            <w:pPr>
              <w:adjustRightInd w:val="0"/>
              <w:snapToGrid w:val="0"/>
              <w:jc w:val="center"/>
              <w:rPr>
                <w:color w:val="auto"/>
                <w:highlight w:val="none"/>
              </w:rPr>
            </w:pPr>
            <w:r>
              <w:rPr>
                <w:rFonts w:hint="eastAsia" w:ascii="仿宋" w:hAnsi="仿宋" w:eastAsia="仿宋"/>
                <w:color w:val="auto"/>
                <w:highlight w:val="none"/>
                <w:lang w:val="en-US" w:eastAsia="zh-CN"/>
              </w:rPr>
              <w:t>98</w:t>
            </w:r>
            <w:r>
              <w:rPr>
                <w:rFonts w:hint="eastAsia" w:ascii="仿宋" w:hAnsi="仿宋" w:eastAsia="仿宋"/>
                <w:color w:val="auto"/>
                <w:highlight w:val="none"/>
              </w:rPr>
              <w:t>0000</w:t>
            </w:r>
            <w:r>
              <w:rPr>
                <w:rFonts w:ascii="仿宋" w:hAnsi="仿宋" w:eastAsia="仿宋"/>
                <w:color w:val="auto"/>
                <w:highlight w:val="none"/>
              </w:rPr>
              <w:t>.00</w:t>
            </w:r>
          </w:p>
        </w:tc>
        <w:tc>
          <w:tcPr>
            <w:tcW w:w="1104" w:type="dxa"/>
            <w:tcBorders>
              <w:top w:val="single" w:color="auto" w:sz="4" w:space="0"/>
              <w:left w:val="single" w:color="auto" w:sz="4" w:space="0"/>
              <w:bottom w:val="single" w:color="auto" w:sz="4" w:space="0"/>
              <w:right w:val="single" w:color="auto" w:sz="4" w:space="0"/>
            </w:tcBorders>
            <w:vAlign w:val="center"/>
          </w:tcPr>
          <w:p w14:paraId="767A620E">
            <w:pPr>
              <w:adjustRightInd w:val="0"/>
              <w:snapToGrid w:val="0"/>
              <w:jc w:val="center"/>
              <w:rPr>
                <w:rFonts w:ascii="仿宋" w:hAnsi="仿宋" w:eastAsia="仿宋"/>
                <w:color w:val="auto"/>
                <w:highlight w:val="none"/>
              </w:rPr>
            </w:pPr>
            <w:r>
              <w:rPr>
                <w:rFonts w:hint="eastAsia" w:ascii="仿宋" w:hAnsi="仿宋" w:eastAsia="仿宋"/>
                <w:color w:val="auto"/>
                <w:highlight w:val="none"/>
                <w:lang w:val="en-US" w:eastAsia="zh-CN"/>
              </w:rPr>
              <w:t>98</w:t>
            </w:r>
            <w:r>
              <w:rPr>
                <w:rFonts w:hint="eastAsia" w:ascii="仿宋" w:hAnsi="仿宋" w:eastAsia="仿宋"/>
                <w:color w:val="auto"/>
                <w:highlight w:val="none"/>
              </w:rPr>
              <w:t>0000</w:t>
            </w:r>
            <w:r>
              <w:rPr>
                <w:rFonts w:ascii="仿宋" w:hAnsi="仿宋" w:eastAsia="仿宋"/>
                <w:color w:val="auto"/>
                <w:highlight w:val="none"/>
              </w:rPr>
              <w:t>.00</w:t>
            </w:r>
          </w:p>
        </w:tc>
        <w:tc>
          <w:tcPr>
            <w:tcW w:w="1230" w:type="dxa"/>
            <w:tcBorders>
              <w:top w:val="single" w:color="auto" w:sz="4" w:space="0"/>
              <w:left w:val="single" w:color="auto" w:sz="4" w:space="0"/>
              <w:bottom w:val="single" w:color="auto" w:sz="4" w:space="0"/>
              <w:right w:val="single" w:color="auto" w:sz="4" w:space="0"/>
            </w:tcBorders>
            <w:vAlign w:val="center"/>
          </w:tcPr>
          <w:p w14:paraId="5010AFB1">
            <w:pPr>
              <w:adjustRightInd w:val="0"/>
              <w:snapToGrid w:val="0"/>
              <w:jc w:val="center"/>
              <w:rPr>
                <w:rFonts w:ascii="仿宋" w:hAnsi="仿宋" w:eastAsia="仿宋"/>
                <w:color w:val="auto"/>
                <w:sz w:val="22"/>
                <w:szCs w:val="18"/>
                <w:highlight w:val="none"/>
              </w:rPr>
            </w:pPr>
            <w:r>
              <w:rPr>
                <w:rFonts w:hint="eastAsia" w:ascii="仿宋" w:hAnsi="仿宋" w:eastAsia="仿宋"/>
                <w:color w:val="auto"/>
                <w:sz w:val="22"/>
                <w:szCs w:val="18"/>
                <w:highlight w:val="none"/>
              </w:rPr>
              <w:t>是</w:t>
            </w:r>
          </w:p>
        </w:tc>
        <w:tc>
          <w:tcPr>
            <w:tcW w:w="1108" w:type="dxa"/>
            <w:tcBorders>
              <w:top w:val="single" w:color="auto" w:sz="4" w:space="0"/>
              <w:left w:val="single" w:color="auto" w:sz="4" w:space="0"/>
              <w:bottom w:val="single" w:color="auto" w:sz="4" w:space="0"/>
              <w:right w:val="single" w:color="auto" w:sz="4" w:space="0"/>
            </w:tcBorders>
            <w:vAlign w:val="center"/>
          </w:tcPr>
          <w:p w14:paraId="2B30F5D7">
            <w:pPr>
              <w:adjustRightInd w:val="0"/>
              <w:snapToGrid w:val="0"/>
              <w:jc w:val="center"/>
              <w:rPr>
                <w:color w:val="auto"/>
                <w:sz w:val="22"/>
                <w:szCs w:val="22"/>
                <w:highlight w:val="none"/>
              </w:rPr>
            </w:pPr>
            <w:r>
              <w:rPr>
                <w:rFonts w:hint="eastAsia" w:ascii="仿宋" w:hAnsi="仿宋" w:eastAsia="仿宋"/>
                <w:color w:val="auto"/>
                <w:highlight w:val="none"/>
                <w:lang w:val="en-US" w:eastAsia="zh-CN"/>
              </w:rPr>
              <w:t>98</w:t>
            </w:r>
            <w:r>
              <w:rPr>
                <w:rFonts w:hint="eastAsia" w:ascii="仿宋" w:hAnsi="仿宋" w:eastAsia="仿宋"/>
                <w:color w:val="auto"/>
                <w:highlight w:val="none"/>
              </w:rPr>
              <w:t>0000</w:t>
            </w:r>
            <w:r>
              <w:rPr>
                <w:rFonts w:ascii="仿宋" w:hAnsi="仿宋" w:eastAsia="仿宋"/>
                <w:color w:val="auto"/>
                <w:highlight w:val="none"/>
              </w:rPr>
              <w:t>.00</w:t>
            </w:r>
          </w:p>
        </w:tc>
      </w:tr>
      <w:bookmarkEnd w:id="13"/>
      <w:bookmarkEnd w:id="14"/>
    </w:tbl>
    <w:p w14:paraId="0087EC35">
      <w:pPr>
        <w:pStyle w:val="24"/>
        <w:spacing w:before="156" w:beforeLines="50" w:beforeAutospacing="0" w:after="156" w:afterLines="50" w:afterAutospacing="0"/>
        <w:ind w:firstLine="4" w:firstLineChars="2"/>
        <w:rPr>
          <w:rFonts w:ascii="仿宋" w:hAnsi="仿宋" w:eastAsia="仿宋"/>
          <w:color w:val="auto"/>
          <w:highlight w:val="none"/>
        </w:rPr>
      </w:pPr>
      <w:r>
        <w:rPr>
          <w:rFonts w:hint="eastAsia" w:ascii="仿宋" w:hAnsi="仿宋" w:eastAsia="仿宋"/>
          <w:color w:val="auto"/>
          <w:highlight w:val="none"/>
        </w:rPr>
        <w:t>5、采购需求（包括但不限于标的的名称、数量、简要技术需求或服务要求等）</w:t>
      </w:r>
    </w:p>
    <w:p w14:paraId="797D629A">
      <w:pPr>
        <w:pStyle w:val="24"/>
        <w:spacing w:before="156" w:beforeLines="50" w:beforeAutospacing="0" w:after="156" w:afterLines="50" w:afterAutospacing="0"/>
        <w:ind w:firstLine="288" w:firstLineChars="120"/>
        <w:rPr>
          <w:rFonts w:ascii="仿宋" w:hAnsi="仿宋" w:eastAsia="仿宋"/>
          <w:color w:val="auto"/>
          <w:highlight w:val="none"/>
        </w:rPr>
      </w:pPr>
      <w:bookmarkStart w:id="15" w:name="_Hlk105358670"/>
      <w:bookmarkStart w:id="16" w:name="_Hlk105358704"/>
      <w:r>
        <w:rPr>
          <w:rFonts w:hint="eastAsia" w:ascii="仿宋" w:hAnsi="仿宋" w:eastAsia="仿宋"/>
          <w:color w:val="auto"/>
          <w:highlight w:val="none"/>
        </w:rPr>
        <w:t>5</w:t>
      </w:r>
      <w:r>
        <w:rPr>
          <w:rFonts w:ascii="仿宋" w:hAnsi="仿宋" w:eastAsia="仿宋"/>
          <w:color w:val="auto"/>
          <w:highlight w:val="none"/>
        </w:rPr>
        <w:t>.1</w:t>
      </w:r>
      <w:r>
        <w:rPr>
          <w:rFonts w:hint="eastAsia" w:ascii="仿宋" w:hAnsi="仿宋" w:eastAsia="仿宋"/>
          <w:color w:val="auto"/>
          <w:highlight w:val="none"/>
          <w:lang w:val="en-US" w:eastAsia="zh-CN"/>
        </w:rPr>
        <w:t>服务内容</w:t>
      </w:r>
      <w:r>
        <w:rPr>
          <w:rFonts w:hint="eastAsia" w:ascii="仿宋" w:hAnsi="仿宋" w:eastAsia="仿宋"/>
          <w:color w:val="auto"/>
          <w:highlight w:val="none"/>
        </w:rPr>
        <w:t>：</w:t>
      </w:r>
      <w:bookmarkEnd w:id="15"/>
      <w:r>
        <w:rPr>
          <w:rFonts w:hint="eastAsia" w:ascii="仿宋" w:hAnsi="仿宋" w:eastAsia="仿宋"/>
          <w:color w:val="auto"/>
          <w:highlight w:val="none"/>
        </w:rPr>
        <w:t>平顶山市新华区城市更新实施方案编制及咨询服务，并完成相关实施方案</w:t>
      </w:r>
      <w:r>
        <w:rPr>
          <w:rFonts w:hint="eastAsia" w:ascii="仿宋" w:hAnsi="仿宋" w:eastAsia="仿宋"/>
          <w:color w:val="auto"/>
          <w:highlight w:val="none"/>
          <w:lang w:val="en-US" w:eastAsia="zh-CN"/>
        </w:rPr>
        <w:t>和</w:t>
      </w:r>
      <w:r>
        <w:rPr>
          <w:rFonts w:hint="eastAsia" w:ascii="仿宋" w:hAnsi="仿宋" w:eastAsia="仿宋"/>
          <w:color w:val="auto"/>
          <w:highlight w:val="none"/>
        </w:rPr>
        <w:t>实施项目清单，详细内容见磋商文件第五章“</w:t>
      </w:r>
      <w:r>
        <w:rPr>
          <w:rFonts w:hint="eastAsia" w:ascii="仿宋" w:hAnsi="仿宋" w:eastAsia="仿宋"/>
          <w:color w:val="auto"/>
          <w:highlight w:val="none"/>
          <w:lang w:val="en-US" w:eastAsia="zh-CN"/>
        </w:rPr>
        <w:t>服务</w:t>
      </w:r>
      <w:r>
        <w:rPr>
          <w:rFonts w:hint="eastAsia" w:ascii="仿宋" w:hAnsi="仿宋" w:eastAsia="仿宋"/>
          <w:color w:val="auto"/>
          <w:highlight w:val="none"/>
        </w:rPr>
        <w:t>内容和要求”。</w:t>
      </w:r>
    </w:p>
    <w:p w14:paraId="5A3C945F">
      <w:pPr>
        <w:pStyle w:val="24"/>
        <w:spacing w:before="156" w:beforeLines="50" w:beforeAutospacing="0" w:after="156" w:afterLines="50" w:afterAutospacing="0"/>
        <w:ind w:firstLine="288" w:firstLineChars="120"/>
        <w:rPr>
          <w:rFonts w:ascii="仿宋" w:hAnsi="仿宋" w:eastAsia="仿宋"/>
          <w:color w:val="auto"/>
          <w:highlight w:val="none"/>
        </w:rPr>
      </w:pPr>
      <w:r>
        <w:rPr>
          <w:rFonts w:hint="eastAsia" w:ascii="仿宋" w:hAnsi="仿宋" w:eastAsia="仿宋"/>
          <w:color w:val="auto"/>
          <w:highlight w:val="none"/>
        </w:rPr>
        <w:t>5.</w:t>
      </w:r>
      <w:r>
        <w:rPr>
          <w:rFonts w:ascii="仿宋" w:hAnsi="仿宋" w:eastAsia="仿宋"/>
          <w:color w:val="auto"/>
          <w:highlight w:val="none"/>
        </w:rPr>
        <w:t>2</w:t>
      </w:r>
      <w:r>
        <w:rPr>
          <w:rFonts w:hint="eastAsia" w:ascii="仿宋" w:hAnsi="仿宋" w:eastAsia="仿宋"/>
          <w:color w:val="auto"/>
          <w:highlight w:val="none"/>
        </w:rPr>
        <w:t>资金来源：财政资金</w:t>
      </w:r>
    </w:p>
    <w:p w14:paraId="6114F194">
      <w:pPr>
        <w:pStyle w:val="24"/>
        <w:spacing w:before="156" w:beforeLines="50" w:beforeAutospacing="0" w:after="156" w:afterLines="50" w:afterAutospacing="0"/>
        <w:ind w:firstLine="288" w:firstLineChars="120"/>
        <w:rPr>
          <w:rFonts w:ascii="仿宋" w:hAnsi="仿宋" w:eastAsia="仿宋"/>
          <w:color w:val="auto"/>
          <w:highlight w:val="none"/>
        </w:rPr>
      </w:pPr>
      <w:r>
        <w:rPr>
          <w:rFonts w:hint="eastAsia" w:ascii="仿宋" w:hAnsi="仿宋" w:eastAsia="仿宋"/>
          <w:color w:val="auto"/>
          <w:highlight w:val="none"/>
        </w:rPr>
        <w:t>5.</w:t>
      </w:r>
      <w:r>
        <w:rPr>
          <w:rFonts w:ascii="仿宋" w:hAnsi="仿宋" w:eastAsia="仿宋"/>
          <w:color w:val="auto"/>
          <w:highlight w:val="none"/>
        </w:rPr>
        <w:t>3</w:t>
      </w:r>
      <w:r>
        <w:rPr>
          <w:rFonts w:hint="eastAsia" w:ascii="仿宋" w:hAnsi="仿宋" w:eastAsia="仿宋"/>
          <w:color w:val="auto"/>
          <w:highlight w:val="none"/>
        </w:rPr>
        <w:t>服务地点：采购人指定地点</w:t>
      </w:r>
    </w:p>
    <w:p w14:paraId="107E8C6B">
      <w:pPr>
        <w:pStyle w:val="24"/>
        <w:spacing w:before="156" w:beforeLines="50" w:beforeAutospacing="0" w:after="156" w:afterLines="50" w:afterAutospacing="0"/>
        <w:ind w:firstLine="288" w:firstLineChars="120"/>
        <w:rPr>
          <w:rFonts w:ascii="仿宋" w:hAnsi="仿宋" w:eastAsia="仿宋"/>
          <w:color w:val="auto"/>
          <w:highlight w:val="none"/>
        </w:rPr>
      </w:pPr>
      <w:r>
        <w:rPr>
          <w:rFonts w:hint="eastAsia" w:ascii="仿宋" w:hAnsi="仿宋" w:eastAsia="仿宋"/>
          <w:color w:val="auto"/>
          <w:highlight w:val="none"/>
        </w:rPr>
        <w:t>5.</w:t>
      </w:r>
      <w:r>
        <w:rPr>
          <w:rFonts w:ascii="仿宋" w:hAnsi="仿宋" w:eastAsia="仿宋"/>
          <w:color w:val="auto"/>
          <w:highlight w:val="none"/>
        </w:rPr>
        <w:t>4</w:t>
      </w:r>
      <w:r>
        <w:rPr>
          <w:rFonts w:hint="eastAsia" w:ascii="仿宋" w:hAnsi="仿宋" w:eastAsia="仿宋"/>
          <w:color w:val="auto"/>
          <w:highlight w:val="none"/>
          <w:lang w:val="en-US" w:eastAsia="zh-CN"/>
        </w:rPr>
        <w:t>服务</w:t>
      </w:r>
      <w:r>
        <w:rPr>
          <w:rFonts w:hint="eastAsia" w:ascii="仿宋" w:hAnsi="仿宋" w:eastAsia="仿宋"/>
          <w:color w:val="auto"/>
          <w:highlight w:val="none"/>
        </w:rPr>
        <w:t>要求：符合国家、地区及行业的有关政策、法规及规范要求。</w:t>
      </w:r>
    </w:p>
    <w:p w14:paraId="28D2A9A5">
      <w:pPr>
        <w:pStyle w:val="24"/>
        <w:spacing w:before="156" w:beforeLines="50" w:beforeAutospacing="0" w:after="156" w:afterLines="50" w:afterAutospacing="0"/>
        <w:ind w:firstLine="288" w:firstLineChars="120"/>
        <w:rPr>
          <w:rFonts w:hint="default" w:ascii="仿宋" w:hAnsi="仿宋" w:eastAsia="仿宋"/>
          <w:color w:val="auto"/>
          <w:highlight w:val="none"/>
          <w:u w:val="none"/>
          <w:lang w:val="en-US" w:eastAsia="zh-CN"/>
        </w:rPr>
      </w:pPr>
      <w:r>
        <w:rPr>
          <w:rFonts w:ascii="仿宋" w:hAnsi="仿宋" w:eastAsia="仿宋"/>
          <w:color w:val="auto"/>
          <w:highlight w:val="none"/>
        </w:rPr>
        <w:t>5.5</w:t>
      </w:r>
      <w:r>
        <w:rPr>
          <w:rFonts w:hint="eastAsia" w:ascii="仿宋" w:hAnsi="仿宋" w:eastAsia="仿宋"/>
          <w:color w:val="auto"/>
          <w:highlight w:val="none"/>
        </w:rPr>
        <w:t>服务期限：</w:t>
      </w:r>
      <w:r>
        <w:rPr>
          <w:rFonts w:hint="eastAsia" w:ascii="仿宋" w:hAnsi="仿宋" w:eastAsia="仿宋"/>
          <w:color w:val="auto"/>
          <w:highlight w:val="none"/>
          <w:lang w:val="en-US" w:eastAsia="zh-CN"/>
        </w:rPr>
        <w:t>两年</w:t>
      </w:r>
    </w:p>
    <w:bookmarkEnd w:id="16"/>
    <w:p w14:paraId="34C2EE4B">
      <w:pPr>
        <w:pStyle w:val="24"/>
        <w:spacing w:before="156" w:beforeLines="50" w:beforeAutospacing="0" w:after="156" w:afterLines="50" w:afterAutospacing="0"/>
        <w:ind w:firstLine="4" w:firstLineChars="2"/>
        <w:rPr>
          <w:rFonts w:ascii="仿宋" w:hAnsi="仿宋" w:eastAsia="仿宋"/>
          <w:color w:val="auto"/>
          <w:highlight w:val="none"/>
        </w:rPr>
      </w:pPr>
      <w:r>
        <w:rPr>
          <w:rFonts w:hint="eastAsia" w:ascii="仿宋" w:hAnsi="仿宋" w:eastAsia="仿宋"/>
          <w:color w:val="auto"/>
          <w:highlight w:val="none"/>
        </w:rPr>
        <w:t>6、合同履行期限：同服务期限</w:t>
      </w:r>
    </w:p>
    <w:p w14:paraId="353C746F">
      <w:pPr>
        <w:pStyle w:val="24"/>
        <w:spacing w:before="156" w:beforeLines="50" w:beforeAutospacing="0" w:after="156" w:afterLines="50" w:afterAutospacing="0"/>
        <w:ind w:firstLine="4" w:firstLineChars="2"/>
        <w:rPr>
          <w:rFonts w:hint="eastAsia" w:ascii="仿宋" w:hAnsi="仿宋" w:eastAsia="仿宋"/>
          <w:color w:val="auto"/>
          <w:highlight w:val="none"/>
          <w:lang w:eastAsia="zh-CN"/>
        </w:rPr>
      </w:pPr>
      <w:r>
        <w:rPr>
          <w:rFonts w:hint="eastAsia" w:ascii="仿宋" w:hAnsi="仿宋" w:eastAsia="仿宋"/>
          <w:color w:val="auto"/>
          <w:highlight w:val="none"/>
        </w:rPr>
        <w:t>7、本项目是否接受联合体投标：</w:t>
      </w:r>
      <w:r>
        <w:rPr>
          <w:rFonts w:hint="eastAsia" w:ascii="仿宋" w:hAnsi="仿宋" w:eastAsia="仿宋"/>
          <w:color w:val="auto"/>
          <w:highlight w:val="none"/>
          <w:lang w:val="en-US" w:eastAsia="zh-CN"/>
        </w:rPr>
        <w:t>是</w:t>
      </w:r>
    </w:p>
    <w:p w14:paraId="6B4BA136">
      <w:pPr>
        <w:pStyle w:val="24"/>
        <w:spacing w:before="156" w:beforeLines="50" w:beforeAutospacing="0" w:after="156" w:afterLines="50" w:afterAutospacing="0"/>
        <w:ind w:firstLine="4" w:firstLineChars="2"/>
        <w:rPr>
          <w:rFonts w:ascii="仿宋" w:hAnsi="仿宋" w:eastAsia="仿宋"/>
          <w:color w:val="auto"/>
          <w:highlight w:val="none"/>
        </w:rPr>
      </w:pPr>
      <w:r>
        <w:rPr>
          <w:rFonts w:hint="eastAsia" w:ascii="仿宋" w:hAnsi="仿宋" w:eastAsia="仿宋"/>
          <w:color w:val="auto"/>
          <w:highlight w:val="none"/>
        </w:rPr>
        <w:t>8、是否接受进口产品：否</w:t>
      </w:r>
    </w:p>
    <w:p w14:paraId="4F747B1E">
      <w:pPr>
        <w:pStyle w:val="24"/>
        <w:spacing w:before="156" w:beforeLines="50" w:beforeAutospacing="0" w:after="156" w:afterLines="50" w:afterAutospacing="0"/>
        <w:ind w:firstLine="4" w:firstLineChars="2"/>
        <w:rPr>
          <w:rFonts w:ascii="仿宋" w:hAnsi="仿宋" w:eastAsia="仿宋"/>
          <w:color w:val="auto"/>
          <w:highlight w:val="none"/>
        </w:rPr>
      </w:pPr>
      <w:r>
        <w:rPr>
          <w:rFonts w:hint="eastAsia" w:ascii="仿宋" w:hAnsi="仿宋" w:eastAsia="仿宋"/>
          <w:color w:val="auto"/>
          <w:highlight w:val="none"/>
        </w:rPr>
        <w:t>9、是否专门面向中小企业：是</w:t>
      </w:r>
    </w:p>
    <w:p w14:paraId="42A41A52">
      <w:pPr>
        <w:pStyle w:val="24"/>
        <w:spacing w:before="156" w:beforeLines="50" w:beforeAutospacing="0" w:after="156" w:afterLines="50" w:afterAutospacing="0"/>
        <w:rPr>
          <w:rFonts w:ascii="仿宋" w:hAnsi="仿宋" w:eastAsia="仿宋"/>
          <w:b/>
          <w:bCs/>
          <w:color w:val="auto"/>
          <w:highlight w:val="none"/>
        </w:rPr>
      </w:pPr>
      <w:bookmarkStart w:id="17" w:name="_Hlk136507874"/>
      <w:r>
        <w:rPr>
          <w:rFonts w:hint="eastAsia" w:ascii="仿宋" w:hAnsi="仿宋" w:eastAsia="仿宋"/>
          <w:b/>
          <w:bCs/>
          <w:color w:val="auto"/>
          <w:highlight w:val="none"/>
        </w:rPr>
        <w:t>二、申请人资格要求：</w:t>
      </w:r>
    </w:p>
    <w:bookmarkEnd w:id="11"/>
    <w:p w14:paraId="2C928F43">
      <w:pPr>
        <w:pStyle w:val="24"/>
        <w:spacing w:before="156" w:beforeLines="50" w:after="156" w:afterLines="50"/>
        <w:ind w:firstLine="424" w:firstLineChars="177"/>
        <w:rPr>
          <w:rFonts w:ascii="仿宋" w:hAnsi="仿宋" w:eastAsia="仿宋"/>
          <w:color w:val="auto"/>
          <w:highlight w:val="none"/>
        </w:rPr>
      </w:pPr>
      <w:bookmarkStart w:id="18" w:name="_Toc28359081"/>
      <w:bookmarkStart w:id="19" w:name="_Hlk172100015"/>
      <w:bookmarkStart w:id="20" w:name="_Toc35393623"/>
      <w:bookmarkStart w:id="21" w:name="_Hlk135914580"/>
      <w:bookmarkStart w:id="22" w:name="_Toc28359004"/>
      <w:bookmarkStart w:id="23" w:name="_Toc35393792"/>
      <w:bookmarkStart w:id="24" w:name="_Hlk493064358"/>
      <w:r>
        <w:rPr>
          <w:rFonts w:hint="eastAsia" w:ascii="仿宋" w:hAnsi="仿宋" w:eastAsia="仿宋"/>
          <w:color w:val="auto"/>
          <w:highlight w:val="none"/>
        </w:rPr>
        <w:t>1、</w:t>
      </w:r>
      <w:r>
        <w:rPr>
          <w:rFonts w:hint="eastAsia" w:ascii="仿宋" w:hAnsi="仿宋" w:eastAsia="仿宋"/>
          <w:color w:val="auto"/>
          <w:highlight w:val="none"/>
          <w:lang w:val="en-US" w:eastAsia="zh-CN"/>
        </w:rPr>
        <w:t>满足</w:t>
      </w:r>
      <w:r>
        <w:rPr>
          <w:rFonts w:hint="eastAsia" w:ascii="仿宋" w:hAnsi="仿宋" w:eastAsia="仿宋"/>
          <w:color w:val="auto"/>
          <w:highlight w:val="none"/>
        </w:rPr>
        <w:t>《中华人民共和国政府采购法》第二十二条规定；</w:t>
      </w:r>
    </w:p>
    <w:p w14:paraId="0D8EBE28">
      <w:pPr>
        <w:pStyle w:val="24"/>
        <w:spacing w:before="156" w:beforeLines="50" w:after="156" w:afterLines="50"/>
        <w:ind w:firstLine="424" w:firstLineChars="177"/>
        <w:rPr>
          <w:rFonts w:ascii="仿宋" w:hAnsi="仿宋" w:eastAsia="仿宋"/>
          <w:color w:val="auto"/>
          <w:highlight w:val="none"/>
        </w:rPr>
      </w:pPr>
      <w:r>
        <w:rPr>
          <w:rFonts w:hint="eastAsia" w:ascii="仿宋" w:hAnsi="仿宋" w:eastAsia="仿宋"/>
          <w:color w:val="auto"/>
          <w:highlight w:val="none"/>
        </w:rPr>
        <w:t>2、落实政府采购政策满足的资格要求：本项目专门面向中小企业采购，供应商应为中小微企业或监狱企业或残疾人福利性单位。提供以下对应材料之一：1)若为中小微型企业需提供《中小企业声明函》，中小企业划型标准请依据工信部联企业〔2011〕300号文件之规定（格式见采购文件）；2)若为监狱企业需提供省级以上监狱管理局、戒毒管理局（含新疆生产建设兵团）出具的属于监狱企业的证明文件；3)若为残疾人福利性单位需提供《残疾人福利性单位声明函》。</w:t>
      </w:r>
    </w:p>
    <w:p w14:paraId="3821BC94">
      <w:pPr>
        <w:pStyle w:val="24"/>
        <w:spacing w:before="156" w:beforeLines="50" w:after="156" w:afterLines="50"/>
        <w:ind w:firstLine="424" w:firstLineChars="177"/>
        <w:rPr>
          <w:rFonts w:ascii="仿宋" w:hAnsi="仿宋" w:eastAsia="仿宋"/>
          <w:b/>
          <w:bCs/>
          <w:color w:val="auto"/>
          <w:highlight w:val="none"/>
        </w:rPr>
      </w:pPr>
      <w:r>
        <w:rPr>
          <w:rFonts w:hint="eastAsia" w:ascii="仿宋" w:hAnsi="仿宋" w:eastAsia="仿宋"/>
          <w:color w:val="auto"/>
          <w:highlight w:val="none"/>
        </w:rPr>
        <w:t>3、本项目的特定资格要求</w:t>
      </w:r>
    </w:p>
    <w:bookmarkEnd w:id="17"/>
    <w:bookmarkEnd w:id="18"/>
    <w:bookmarkEnd w:id="19"/>
    <w:bookmarkEnd w:id="20"/>
    <w:bookmarkEnd w:id="21"/>
    <w:bookmarkEnd w:id="22"/>
    <w:bookmarkEnd w:id="23"/>
    <w:p w14:paraId="5CB9054D">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3.1具有独立承担民事责任的能力并具有有效的营业执照，（若为联合体投标的，联合体所有成员均须提供。响应文件中须附以上证件的原件扫描件，并加盖单位公章。）</w:t>
      </w:r>
    </w:p>
    <w:p w14:paraId="07A4A3E8">
      <w:pPr>
        <w:pStyle w:val="24"/>
        <w:spacing w:before="156" w:beforeLines="50" w:after="156" w:afterLines="50"/>
        <w:ind w:firstLine="424" w:firstLineChars="177"/>
        <w:rPr>
          <w:rFonts w:ascii="仿宋" w:hAnsi="仿宋" w:eastAsia="仿宋"/>
          <w:color w:val="auto"/>
          <w:highlight w:val="none"/>
        </w:rPr>
      </w:pPr>
      <w:r>
        <w:rPr>
          <w:rFonts w:hint="eastAsia" w:ascii="仿宋" w:hAnsi="仿宋" w:eastAsia="仿宋"/>
          <w:color w:val="auto"/>
          <w:highlight w:val="none"/>
        </w:rPr>
        <w:t>3.2供应商须具有良好的商业信誉和健全的财务会计制度（提供承诺函）；</w:t>
      </w:r>
    </w:p>
    <w:p w14:paraId="0643516F">
      <w:pPr>
        <w:pStyle w:val="24"/>
        <w:spacing w:before="156" w:beforeLines="50" w:after="156" w:afterLines="50"/>
        <w:ind w:firstLine="424" w:firstLineChars="177"/>
        <w:rPr>
          <w:rFonts w:ascii="仿宋" w:hAnsi="仿宋" w:eastAsia="仿宋"/>
          <w:color w:val="auto"/>
          <w:highlight w:val="none"/>
        </w:rPr>
      </w:pPr>
      <w:r>
        <w:rPr>
          <w:rFonts w:hint="eastAsia" w:ascii="仿宋" w:hAnsi="仿宋" w:eastAsia="仿宋"/>
          <w:color w:val="auto"/>
          <w:highlight w:val="none"/>
        </w:rPr>
        <w:t>3.3供应商须具有履行合同所必需的设备和专业技术能力（提供承诺函）；</w:t>
      </w:r>
    </w:p>
    <w:p w14:paraId="024A3219">
      <w:pPr>
        <w:pStyle w:val="24"/>
        <w:spacing w:before="156" w:beforeLines="50" w:after="156" w:afterLines="50"/>
        <w:ind w:firstLine="424" w:firstLineChars="177"/>
        <w:rPr>
          <w:rFonts w:ascii="仿宋" w:hAnsi="仿宋" w:eastAsia="仿宋"/>
          <w:color w:val="auto"/>
          <w:highlight w:val="none"/>
        </w:rPr>
      </w:pPr>
      <w:r>
        <w:rPr>
          <w:rFonts w:hint="eastAsia" w:ascii="仿宋" w:hAnsi="仿宋" w:eastAsia="仿宋"/>
          <w:color w:val="auto"/>
          <w:highlight w:val="none"/>
        </w:rPr>
        <w:t>3.4供应商须具有依法缴纳税收和</w:t>
      </w:r>
      <w:r>
        <w:rPr>
          <w:rFonts w:hint="eastAsia" w:ascii="仿宋" w:hAnsi="仿宋" w:eastAsia="仿宋"/>
          <w:color w:val="auto"/>
          <w:highlight w:val="none"/>
          <w:lang w:val="en-US" w:eastAsia="zh-CN"/>
        </w:rPr>
        <w:t>社会保障资</w:t>
      </w:r>
      <w:r>
        <w:rPr>
          <w:rFonts w:hint="eastAsia" w:ascii="仿宋" w:hAnsi="仿宋" w:eastAsia="仿宋"/>
          <w:color w:val="auto"/>
          <w:highlight w:val="none"/>
        </w:rPr>
        <w:t>金的良好记录（提供承诺函）；</w:t>
      </w:r>
    </w:p>
    <w:p w14:paraId="14BA9B08">
      <w:pPr>
        <w:pStyle w:val="24"/>
        <w:spacing w:before="156" w:beforeLines="50" w:after="156" w:afterLines="50"/>
        <w:ind w:firstLine="424" w:firstLineChars="177"/>
        <w:rPr>
          <w:rFonts w:ascii="仿宋" w:hAnsi="仿宋" w:eastAsia="仿宋"/>
          <w:color w:val="auto"/>
          <w:highlight w:val="none"/>
        </w:rPr>
      </w:pPr>
      <w:r>
        <w:rPr>
          <w:rFonts w:hint="eastAsia" w:ascii="仿宋" w:hAnsi="仿宋" w:eastAsia="仿宋"/>
          <w:color w:val="auto"/>
          <w:highlight w:val="none"/>
        </w:rPr>
        <w:t>3.5供应商参加政府采购活动</w:t>
      </w:r>
      <w:r>
        <w:rPr>
          <w:rFonts w:hint="eastAsia" w:ascii="仿宋" w:hAnsi="仿宋" w:eastAsia="仿宋"/>
          <w:color w:val="auto"/>
          <w:highlight w:val="none"/>
          <w:lang w:val="en-US" w:eastAsia="zh-CN"/>
        </w:rPr>
        <w:t>前</w:t>
      </w:r>
      <w:r>
        <w:rPr>
          <w:rFonts w:hint="eastAsia" w:ascii="仿宋" w:hAnsi="仿宋" w:eastAsia="仿宋"/>
          <w:color w:val="auto"/>
          <w:highlight w:val="none"/>
        </w:rPr>
        <w:t>三年内，在经营活动中没有重大的违法记录（提供承诺函)；</w:t>
      </w:r>
    </w:p>
    <w:p w14:paraId="07D0D05B">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3.6拟派项目负责人须具备注册咨询工程师（投资）资格；</w:t>
      </w:r>
    </w:p>
    <w:p w14:paraId="091A28B0">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3.</w:t>
      </w:r>
      <w:bookmarkStart w:id="25" w:name="_Toc26447355"/>
      <w:bookmarkEnd w:id="25"/>
      <w:bookmarkStart w:id="26" w:name="_Toc20961"/>
      <w:bookmarkEnd w:id="26"/>
      <w:r>
        <w:rPr>
          <w:rFonts w:hint="eastAsia" w:ascii="仿宋" w:hAnsi="仿宋" w:eastAsia="仿宋" w:cs="Times New Roman"/>
          <w:color w:val="auto"/>
          <w:sz w:val="24"/>
          <w:highlight w:val="none"/>
          <w:lang w:val="en-US" w:eastAsia="zh-CN"/>
        </w:rPr>
        <w:t>7信誉要求：响应人须提供“信用中国”网站（www.creditchina.gov.cn）“失信被执行人”（此项查询以信用中国网站自动链接至中国执行信息公开网的查询结果为准）和“重大税收违法失信主体”、“中国政府采购”网站（www.ccgp.gov.cn）的“政府采购严重违法失信行为名单”查询结果页面截图，若有不良记录投标无效。（若为联合体投标的，联合体所有成员均须提供。）</w:t>
      </w:r>
    </w:p>
    <w:p w14:paraId="00BDAF65">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3.8本次招标接受联合体投标：</w:t>
      </w:r>
    </w:p>
    <w:p w14:paraId="78511B07">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w:t>
      </w:r>
      <w:r>
        <w:rPr>
          <w:rFonts w:hint="default" w:ascii="仿宋" w:hAnsi="仿宋" w:eastAsia="仿宋" w:cs="Times New Roman"/>
          <w:color w:val="auto"/>
          <w:sz w:val="24"/>
          <w:highlight w:val="none"/>
          <w:lang w:val="en-US" w:eastAsia="zh-CN"/>
        </w:rPr>
        <w:t>1</w:t>
      </w:r>
      <w:r>
        <w:rPr>
          <w:rFonts w:hint="eastAsia" w:ascii="仿宋" w:hAnsi="仿宋" w:eastAsia="仿宋" w:cs="Times New Roman"/>
          <w:color w:val="auto"/>
          <w:sz w:val="24"/>
          <w:highlight w:val="none"/>
          <w:lang w:val="en-US" w:eastAsia="zh-CN"/>
        </w:rPr>
        <w:t>）每个联合体成员均为独立法人单位；</w:t>
      </w:r>
    </w:p>
    <w:p w14:paraId="38200080">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w:t>
      </w:r>
      <w:r>
        <w:rPr>
          <w:rFonts w:hint="default" w:ascii="仿宋" w:hAnsi="仿宋" w:eastAsia="仿宋" w:cs="Times New Roman"/>
          <w:color w:val="auto"/>
          <w:sz w:val="24"/>
          <w:highlight w:val="none"/>
          <w:lang w:val="en-US" w:eastAsia="zh-CN"/>
        </w:rPr>
        <w:t>2</w:t>
      </w:r>
      <w:r>
        <w:rPr>
          <w:rFonts w:hint="eastAsia" w:ascii="仿宋" w:hAnsi="仿宋" w:eastAsia="仿宋" w:cs="Times New Roman"/>
          <w:color w:val="auto"/>
          <w:sz w:val="24"/>
          <w:highlight w:val="none"/>
          <w:lang w:val="en-US" w:eastAsia="zh-CN"/>
        </w:rPr>
        <w:t>）联合体各方应按规定签订联合体协议书，明确联合体牵头人和各方权利义务，并承诺就中标项目向采购人承担连带责任。</w:t>
      </w:r>
    </w:p>
    <w:p w14:paraId="038A1672">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w:t>
      </w:r>
      <w:r>
        <w:rPr>
          <w:rFonts w:hint="default" w:ascii="仿宋" w:hAnsi="仿宋" w:eastAsia="仿宋" w:cs="Times New Roman"/>
          <w:color w:val="auto"/>
          <w:sz w:val="24"/>
          <w:highlight w:val="none"/>
          <w:lang w:val="en-US" w:eastAsia="zh-CN"/>
        </w:rPr>
        <w:t>3</w:t>
      </w:r>
      <w:r>
        <w:rPr>
          <w:rFonts w:hint="eastAsia" w:ascii="仿宋" w:hAnsi="仿宋" w:eastAsia="仿宋" w:cs="Times New Roman"/>
          <w:color w:val="auto"/>
          <w:sz w:val="24"/>
          <w:highlight w:val="none"/>
          <w:lang w:val="en-US" w:eastAsia="zh-CN"/>
        </w:rPr>
        <w:t>）由同一专业的单位组成的联合体，按照资质等级较低的单位确定资质等级。</w:t>
      </w:r>
    </w:p>
    <w:p w14:paraId="4116E3BB">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w:t>
      </w:r>
      <w:r>
        <w:rPr>
          <w:rFonts w:hint="default" w:ascii="仿宋" w:hAnsi="仿宋" w:eastAsia="仿宋" w:cs="Times New Roman"/>
          <w:color w:val="auto"/>
          <w:sz w:val="24"/>
          <w:highlight w:val="none"/>
          <w:lang w:val="en-US" w:eastAsia="zh-CN"/>
        </w:rPr>
        <w:t>4</w:t>
      </w:r>
      <w:r>
        <w:rPr>
          <w:rFonts w:hint="eastAsia" w:ascii="仿宋" w:hAnsi="仿宋" w:eastAsia="仿宋" w:cs="Times New Roman"/>
          <w:color w:val="auto"/>
          <w:sz w:val="24"/>
          <w:highlight w:val="none"/>
          <w:lang w:val="en-US" w:eastAsia="zh-CN"/>
        </w:rPr>
        <w:t>）联合体各方不得再以自己名义单独或参加其他联合体在同一标段或未划分标段的同一招标项目中投标，否则各相关投标均无效。</w:t>
      </w:r>
    </w:p>
    <w:p w14:paraId="5760A024">
      <w:pPr>
        <w:spacing w:before="156" w:beforeLines="50" w:after="156" w:afterLines="50"/>
        <w:ind w:firstLine="480" w:firstLineChars="20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w:t>
      </w:r>
      <w:r>
        <w:rPr>
          <w:rFonts w:hint="default" w:ascii="仿宋" w:hAnsi="仿宋" w:eastAsia="仿宋" w:cs="Times New Roman"/>
          <w:color w:val="auto"/>
          <w:sz w:val="24"/>
          <w:highlight w:val="none"/>
          <w:lang w:val="en-US" w:eastAsia="zh-CN"/>
        </w:rPr>
        <w:t>5</w:t>
      </w:r>
      <w:r>
        <w:rPr>
          <w:rFonts w:hint="eastAsia" w:ascii="仿宋" w:hAnsi="仿宋" w:eastAsia="仿宋" w:cs="Times New Roman"/>
          <w:color w:val="auto"/>
          <w:sz w:val="24"/>
          <w:highlight w:val="none"/>
          <w:lang w:val="en-US" w:eastAsia="zh-CN"/>
        </w:rPr>
        <w:t>）联合体各方应当共同与采购人签订合同，就合同约定的事项对采购人承担连带责任。</w:t>
      </w:r>
    </w:p>
    <w:p w14:paraId="7FEE7C1C">
      <w:pPr>
        <w:spacing w:before="156" w:beforeLines="50" w:after="156" w:afterLines="50"/>
        <w:ind w:firstLine="480" w:firstLineChars="200"/>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（6）本项目竞争性磋商文件下载、响应文件制作、上传、开标解密等均由联合体牵头人完成。除竞争性磋商文件中要求提供联合体成员方资料的内容，其他内容均提供联合体牵头人的资料即可。</w:t>
      </w:r>
    </w:p>
    <w:p w14:paraId="663BF463">
      <w:pPr>
        <w:pStyle w:val="24"/>
        <w:spacing w:before="156" w:beforeLines="50" w:after="156" w:afterLines="50"/>
        <w:ind w:firstLine="424" w:firstLineChars="177"/>
        <w:rPr>
          <w:rFonts w:hint="eastAsia" w:ascii="仿宋" w:hAnsi="仿宋" w:eastAsia="仿宋"/>
          <w:color w:val="auto"/>
          <w:highlight w:val="none"/>
          <w:lang w:val="en-US" w:eastAsia="zh-CN"/>
        </w:rPr>
      </w:pPr>
      <w:r>
        <w:rPr>
          <w:rFonts w:hint="eastAsia" w:ascii="仿宋" w:hAnsi="仿宋" w:eastAsia="仿宋" w:cs="Times New Roman"/>
          <w:color w:val="auto"/>
          <w:highlight w:val="none"/>
          <w:lang w:val="en-US" w:eastAsia="zh-CN"/>
        </w:rPr>
        <w:t>3.9</w:t>
      </w:r>
      <w:r>
        <w:rPr>
          <w:rFonts w:hint="eastAsia" w:ascii="仿宋" w:hAnsi="仿宋" w:eastAsia="仿宋" w:cs="Times New Roman"/>
          <w:color w:val="auto"/>
          <w:highlight w:val="none"/>
        </w:rPr>
        <w:t>单</w:t>
      </w:r>
      <w:r>
        <w:rPr>
          <w:rFonts w:hint="eastAsia" w:ascii="仿宋" w:hAnsi="仿宋" w:eastAsia="仿宋"/>
          <w:color w:val="auto"/>
          <w:highlight w:val="none"/>
        </w:rPr>
        <w:t>位负责人为同一人或存在控股、管理关系的不同单位，不得同时参加本项目的投标（提供承诺函）</w:t>
      </w:r>
      <w:r>
        <w:rPr>
          <w:rFonts w:hint="eastAsia" w:ascii="仿宋" w:hAnsi="仿宋" w:eastAsia="仿宋"/>
          <w:color w:val="auto"/>
          <w:highlight w:val="none"/>
          <w:lang w:val="en-US" w:eastAsia="zh-CN"/>
        </w:rPr>
        <w:t>。</w:t>
      </w:r>
    </w:p>
    <w:p w14:paraId="7F5496CD">
      <w:pPr>
        <w:pStyle w:val="24"/>
        <w:spacing w:before="156" w:beforeLines="50" w:after="156" w:afterLines="50"/>
        <w:ind w:firstLine="424" w:firstLineChars="177"/>
        <w:rPr>
          <w:rFonts w:hint="default" w:ascii="仿宋" w:hAnsi="仿宋" w:eastAsia="仿宋"/>
          <w:color w:val="auto"/>
          <w:highlight w:val="none"/>
          <w:lang w:val="en-US" w:eastAsia="zh-CN"/>
        </w:rPr>
      </w:pPr>
      <w:r>
        <w:rPr>
          <w:rFonts w:hint="eastAsia" w:ascii="仿宋" w:hAnsi="仿宋" w:eastAsia="仿宋"/>
          <w:color w:val="auto"/>
          <w:highlight w:val="none"/>
          <w:lang w:val="en-US" w:eastAsia="zh-CN"/>
        </w:rPr>
        <w:t>注：资格后审。</w:t>
      </w:r>
    </w:p>
    <w:p w14:paraId="2BF59186">
      <w:pPr>
        <w:pStyle w:val="24"/>
        <w:spacing w:before="156" w:beforeLines="50" w:beforeAutospacing="0" w:after="156" w:afterLines="50" w:afterAutospacing="0"/>
        <w:rPr>
          <w:rFonts w:ascii="仿宋" w:hAnsi="仿宋" w:eastAsia="仿宋"/>
          <w:b/>
          <w:bCs/>
          <w:color w:val="auto"/>
          <w:highlight w:val="none"/>
        </w:rPr>
      </w:pPr>
      <w:r>
        <w:rPr>
          <w:rFonts w:hint="eastAsia" w:ascii="仿宋" w:hAnsi="仿宋" w:eastAsia="仿宋"/>
          <w:b/>
          <w:bCs/>
          <w:color w:val="auto"/>
        </w:rPr>
        <w:t>三</w:t>
      </w:r>
      <w:r>
        <w:rPr>
          <w:rFonts w:hint="eastAsia" w:ascii="仿宋" w:hAnsi="仿宋" w:eastAsia="仿宋"/>
          <w:b/>
          <w:bCs/>
          <w:color w:val="auto"/>
          <w:highlight w:val="none"/>
        </w:rPr>
        <w:t>、获取采购文件</w:t>
      </w:r>
    </w:p>
    <w:p w14:paraId="06DC8D5C">
      <w:pPr>
        <w:spacing w:before="156" w:beforeLines="50" w:after="156" w:afterLines="50"/>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1.时间：202</w:t>
      </w:r>
      <w:r>
        <w:rPr>
          <w:rFonts w:hint="eastAsia" w:ascii="仿宋" w:hAnsi="仿宋" w:eastAsia="仿宋"/>
          <w:color w:val="auto"/>
          <w:sz w:val="24"/>
          <w:szCs w:val="24"/>
          <w:highlight w:val="none"/>
          <w:lang w:val="en-US" w:eastAsia="zh-CN"/>
        </w:rPr>
        <w:t>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05</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28</w:t>
      </w:r>
      <w:r>
        <w:rPr>
          <w:rFonts w:hint="eastAsia" w:ascii="仿宋" w:hAnsi="仿宋" w:eastAsia="仿宋"/>
          <w:color w:val="auto"/>
          <w:sz w:val="24"/>
          <w:szCs w:val="24"/>
          <w:highlight w:val="none"/>
        </w:rPr>
        <w:t>日至202</w:t>
      </w:r>
      <w:r>
        <w:rPr>
          <w:rFonts w:hint="eastAsia" w:ascii="仿宋" w:hAnsi="仿宋" w:eastAsia="仿宋"/>
          <w:color w:val="auto"/>
          <w:sz w:val="24"/>
          <w:szCs w:val="24"/>
          <w:highlight w:val="none"/>
          <w:lang w:val="en-US" w:eastAsia="zh-CN"/>
        </w:rPr>
        <w:t>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06</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07</w:t>
      </w:r>
      <w:r>
        <w:rPr>
          <w:rFonts w:hint="eastAsia" w:ascii="仿宋" w:hAnsi="仿宋" w:eastAsia="仿宋"/>
          <w:color w:val="auto"/>
          <w:sz w:val="24"/>
          <w:szCs w:val="24"/>
          <w:highlight w:val="none"/>
        </w:rPr>
        <w:t>日，每天上午00:00至12:00，下午12:00至23:59（北京时间，法定节假日除外。）；</w:t>
      </w:r>
    </w:p>
    <w:bookmarkEnd w:id="24"/>
    <w:p w14:paraId="375E2716">
      <w:pPr>
        <w:spacing w:before="156" w:beforeLines="50" w:after="156" w:afterLines="50"/>
        <w:ind w:firstLine="480" w:firstLineChars="200"/>
        <w:rPr>
          <w:rFonts w:ascii="仿宋" w:hAnsi="仿宋" w:eastAsia="仿宋"/>
          <w:color w:val="auto"/>
          <w:sz w:val="24"/>
          <w:highlight w:val="none"/>
        </w:rPr>
      </w:pPr>
      <w:r>
        <w:rPr>
          <w:rFonts w:hint="eastAsia" w:ascii="仿宋" w:hAnsi="仿宋" w:eastAsia="仿宋"/>
          <w:color w:val="auto"/>
          <w:sz w:val="24"/>
          <w:highlight w:val="none"/>
        </w:rPr>
        <w:t>2.地点：《全国公共资源交易平台（河南省·平顶山市）》</w:t>
      </w:r>
    </w:p>
    <w:p w14:paraId="45B57BDD">
      <w:pPr>
        <w:adjustRightInd w:val="0"/>
        <w:snapToGrid w:val="0"/>
        <w:spacing w:before="156" w:beforeLines="50" w:after="156" w:afterLines="50" w:line="320" w:lineRule="exact"/>
        <w:ind w:firstLine="480" w:firstLineChars="200"/>
        <w:rPr>
          <w:rFonts w:hint="eastAsia" w:ascii="仿宋" w:hAnsi="仿宋" w:eastAsia="仿宋"/>
          <w:color w:val="auto"/>
          <w:sz w:val="24"/>
        </w:rPr>
      </w:pPr>
      <w:r>
        <w:rPr>
          <w:rFonts w:hint="eastAsia" w:ascii="仿宋" w:hAnsi="仿宋" w:eastAsia="仿宋"/>
          <w:color w:val="auto"/>
          <w:sz w:val="24"/>
          <w:highlight w:val="none"/>
        </w:rPr>
        <w:t>3.方式：</w:t>
      </w:r>
      <w:r>
        <w:rPr>
          <w:rFonts w:hint="eastAsia" w:ascii="仿宋" w:hAnsi="仿宋" w:eastAsia="仿宋"/>
          <w:color w:val="auto"/>
          <w:sz w:val="24"/>
        </w:rPr>
        <w:t>潜在供应商下载文件需凭CA数字证书通过《全国公共资源交易平台（河南省·平顶山市）》（网址：http://ggzy.pds.gov.cn）“交易主体登录”入口进入交易系统进行下载。具体操作请查看以下链接：</w:t>
      </w:r>
    </w:p>
    <w:p w14:paraId="310F59DE">
      <w:pPr>
        <w:adjustRightInd w:val="0"/>
        <w:snapToGrid w:val="0"/>
        <w:spacing w:before="156" w:beforeLines="50" w:after="156" w:afterLines="50" w:line="320" w:lineRule="exact"/>
        <w:ind w:firstLine="480" w:firstLineChars="200"/>
        <w:rPr>
          <w:rFonts w:hint="eastAsia" w:ascii="仿宋" w:hAnsi="仿宋" w:eastAsia="仿宋"/>
          <w:color w:val="auto"/>
          <w:sz w:val="24"/>
        </w:rPr>
      </w:pPr>
      <w:r>
        <w:rPr>
          <w:rFonts w:hint="eastAsia" w:ascii="仿宋" w:hAnsi="仿宋" w:eastAsia="仿宋"/>
          <w:color w:val="auto"/>
          <w:sz w:val="24"/>
        </w:rPr>
        <w:t>链接地址：http://ggzy.pds.gov.cn/fwzn/11020.jhtml</w:t>
      </w:r>
    </w:p>
    <w:p w14:paraId="476BC40A">
      <w:pPr>
        <w:adjustRightInd w:val="0"/>
        <w:snapToGrid w:val="0"/>
        <w:spacing w:before="156" w:beforeLines="50" w:after="156" w:afterLines="50" w:line="320" w:lineRule="exact"/>
        <w:ind w:firstLine="480" w:firstLineChars="200"/>
        <w:rPr>
          <w:rFonts w:hint="eastAsia" w:ascii="仿宋" w:hAnsi="仿宋" w:eastAsia="仿宋"/>
          <w:color w:val="auto"/>
          <w:sz w:val="24"/>
        </w:rPr>
      </w:pPr>
      <w:r>
        <w:rPr>
          <w:rFonts w:hint="eastAsia" w:ascii="仿宋" w:hAnsi="仿宋" w:eastAsia="仿宋"/>
          <w:color w:val="auto"/>
          <w:sz w:val="24"/>
        </w:rPr>
        <w:t>办理CA证书：</w:t>
      </w:r>
      <w:r>
        <w:rPr>
          <w:rFonts w:hint="eastAsia" w:ascii="仿宋" w:hAnsi="仿宋" w:eastAsia="仿宋"/>
          <w:color w:val="auto"/>
          <w:sz w:val="24"/>
          <w:u w:val="none"/>
        </w:rPr>
        <w:fldChar w:fldCharType="begin"/>
      </w:r>
      <w:r>
        <w:rPr>
          <w:rFonts w:hint="eastAsia" w:ascii="仿宋" w:hAnsi="仿宋" w:eastAsia="仿宋"/>
          <w:color w:val="auto"/>
          <w:sz w:val="24"/>
          <w:u w:val="none"/>
        </w:rPr>
        <w:instrText xml:space="preserve"> HYPERLINK "http://ggzy.pds.gov.cn/tzgg/10814.jhtml" </w:instrText>
      </w:r>
      <w:r>
        <w:rPr>
          <w:rFonts w:hint="eastAsia" w:ascii="仿宋" w:hAnsi="仿宋" w:eastAsia="仿宋"/>
          <w:color w:val="auto"/>
          <w:sz w:val="24"/>
          <w:u w:val="none"/>
        </w:rPr>
        <w:fldChar w:fldCharType="separate"/>
      </w:r>
      <w:r>
        <w:rPr>
          <w:rStyle w:val="32"/>
          <w:rFonts w:hint="eastAsia" w:ascii="仿宋" w:hAnsi="仿宋" w:eastAsia="仿宋"/>
          <w:color w:val="auto"/>
          <w:sz w:val="24"/>
          <w:u w:val="none"/>
        </w:rPr>
        <w:t>http://ggzy.pds.gov.cn/tzgg/10814.jhtml</w:t>
      </w:r>
      <w:r>
        <w:rPr>
          <w:rFonts w:hint="eastAsia" w:ascii="仿宋" w:hAnsi="仿宋" w:eastAsia="仿宋"/>
          <w:color w:val="auto"/>
          <w:sz w:val="24"/>
          <w:u w:val="none"/>
        </w:rPr>
        <w:fldChar w:fldCharType="end"/>
      </w:r>
    </w:p>
    <w:p w14:paraId="4D43F6E0">
      <w:pPr>
        <w:spacing w:before="156" w:beforeLines="50" w:after="156" w:afterLines="50"/>
        <w:ind w:firstLine="480" w:firstLineChars="200"/>
        <w:rPr>
          <w:rFonts w:ascii="仿宋" w:hAnsi="仿宋" w:eastAsia="仿宋"/>
          <w:color w:val="auto"/>
          <w:sz w:val="24"/>
          <w:highlight w:val="none"/>
        </w:rPr>
      </w:pPr>
      <w:r>
        <w:rPr>
          <w:rFonts w:hint="eastAsia" w:ascii="仿宋" w:hAnsi="仿宋" w:eastAsia="仿宋"/>
          <w:color w:val="auto"/>
          <w:sz w:val="24"/>
          <w:highlight w:val="none"/>
        </w:rPr>
        <w:t>4.售价：0元</w:t>
      </w:r>
    </w:p>
    <w:p w14:paraId="4362C88A">
      <w:pPr>
        <w:pStyle w:val="24"/>
        <w:spacing w:before="156" w:beforeLines="50" w:beforeAutospacing="0" w:after="156" w:afterLines="50" w:afterAutospacing="0"/>
        <w:rPr>
          <w:rFonts w:ascii="仿宋" w:hAnsi="仿宋" w:eastAsia="仿宋"/>
          <w:b/>
          <w:bCs/>
          <w:color w:val="auto"/>
          <w:szCs w:val="24"/>
          <w:highlight w:val="none"/>
        </w:rPr>
      </w:pPr>
      <w:r>
        <w:rPr>
          <w:rFonts w:hint="eastAsia" w:ascii="仿宋" w:hAnsi="仿宋" w:eastAsia="仿宋"/>
          <w:b/>
          <w:bCs/>
          <w:color w:val="auto"/>
          <w:szCs w:val="24"/>
          <w:highlight w:val="none"/>
        </w:rPr>
        <w:t>四、响应文件提交</w:t>
      </w:r>
    </w:p>
    <w:p w14:paraId="3FB435D1">
      <w:pPr>
        <w:spacing w:before="156" w:beforeLines="50" w:after="156" w:afterLines="50"/>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lang w:val="en-US" w:eastAsia="zh-CN"/>
        </w:rPr>
        <w:t>截止</w:t>
      </w:r>
      <w:r>
        <w:rPr>
          <w:rFonts w:hint="eastAsia" w:ascii="仿宋" w:hAnsi="仿宋" w:eastAsia="仿宋"/>
          <w:color w:val="auto"/>
          <w:sz w:val="24"/>
          <w:szCs w:val="24"/>
          <w:highlight w:val="none"/>
        </w:rPr>
        <w:t>时间：</w:t>
      </w:r>
      <w:r>
        <w:rPr>
          <w:rFonts w:hint="eastAsia" w:ascii="仿宋" w:hAnsi="仿宋" w:eastAsia="仿宋"/>
          <w:color w:val="auto"/>
          <w:sz w:val="24"/>
          <w:szCs w:val="24"/>
          <w:highlight w:val="none"/>
          <w:u w:val="single"/>
        </w:rPr>
        <w:t>202</w:t>
      </w:r>
      <w:r>
        <w:rPr>
          <w:rFonts w:hint="eastAsia" w:ascii="仿宋" w:hAnsi="仿宋" w:eastAsia="仿宋"/>
          <w:color w:val="auto"/>
          <w:sz w:val="24"/>
          <w:szCs w:val="24"/>
          <w:highlight w:val="none"/>
          <w:u w:val="single"/>
          <w:lang w:val="en-US" w:eastAsia="zh-CN"/>
        </w:rPr>
        <w:t>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lang w:val="en-US" w:eastAsia="zh-CN"/>
        </w:rPr>
        <w:t>06</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lang w:val="en-US" w:eastAsia="zh-CN"/>
        </w:rPr>
        <w:t>08</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u w:val="single"/>
          <w:lang w:val="en-US" w:eastAsia="zh-CN"/>
        </w:rPr>
        <w:t>08</w:t>
      </w:r>
      <w:r>
        <w:rPr>
          <w:rFonts w:hint="eastAsia" w:ascii="仿宋" w:hAnsi="仿宋" w:eastAsia="仿宋"/>
          <w:color w:val="auto"/>
          <w:sz w:val="24"/>
          <w:szCs w:val="24"/>
          <w:highlight w:val="none"/>
        </w:rPr>
        <w:t>时</w:t>
      </w:r>
      <w:r>
        <w:rPr>
          <w:rFonts w:hint="eastAsia" w:ascii="仿宋" w:hAnsi="仿宋" w:eastAsia="仿宋"/>
          <w:color w:val="auto"/>
          <w:sz w:val="24"/>
          <w:szCs w:val="24"/>
          <w:highlight w:val="none"/>
          <w:u w:val="single"/>
          <w:lang w:val="en-US" w:eastAsia="zh-CN"/>
        </w:rPr>
        <w:t>40</w:t>
      </w:r>
      <w:r>
        <w:rPr>
          <w:rFonts w:hint="eastAsia" w:ascii="仿宋" w:hAnsi="仿宋" w:eastAsia="仿宋"/>
          <w:color w:val="auto"/>
          <w:sz w:val="24"/>
          <w:szCs w:val="24"/>
          <w:highlight w:val="none"/>
        </w:rPr>
        <w:t>分（北京时间）</w:t>
      </w:r>
    </w:p>
    <w:p w14:paraId="7F816B0A">
      <w:pPr>
        <w:spacing w:before="156" w:beforeLines="50" w:after="156" w:afterLines="50"/>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2.地点：平顶山市公共资源交易中心电子化交易系统</w:t>
      </w:r>
    </w:p>
    <w:p w14:paraId="22F44FDA">
      <w:pPr>
        <w:pStyle w:val="24"/>
        <w:spacing w:before="156" w:beforeLines="50" w:beforeAutospacing="0" w:after="156" w:afterLines="50" w:afterAutospacing="0"/>
        <w:rPr>
          <w:rFonts w:ascii="仿宋" w:hAnsi="仿宋" w:eastAsia="仿宋"/>
          <w:b/>
          <w:bCs/>
          <w:color w:val="auto"/>
          <w:szCs w:val="24"/>
          <w:highlight w:val="none"/>
        </w:rPr>
      </w:pPr>
      <w:r>
        <w:rPr>
          <w:rFonts w:hint="eastAsia" w:ascii="仿宋" w:hAnsi="仿宋" w:eastAsia="仿宋"/>
          <w:b/>
          <w:bCs/>
          <w:color w:val="auto"/>
          <w:szCs w:val="24"/>
          <w:highlight w:val="none"/>
        </w:rPr>
        <w:t>五、响应文件开启</w:t>
      </w:r>
    </w:p>
    <w:p w14:paraId="11A8235B">
      <w:pPr>
        <w:spacing w:before="156" w:beforeLines="50" w:after="156" w:afterLines="50"/>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1.时间：</w:t>
      </w:r>
      <w:r>
        <w:rPr>
          <w:rFonts w:hint="eastAsia" w:ascii="仿宋" w:hAnsi="仿宋" w:eastAsia="仿宋"/>
          <w:color w:val="auto"/>
          <w:sz w:val="24"/>
          <w:szCs w:val="24"/>
          <w:highlight w:val="none"/>
          <w:u w:val="single"/>
        </w:rPr>
        <w:t>202</w:t>
      </w:r>
      <w:r>
        <w:rPr>
          <w:rFonts w:hint="eastAsia" w:ascii="仿宋" w:hAnsi="仿宋" w:eastAsia="仿宋"/>
          <w:color w:val="auto"/>
          <w:sz w:val="24"/>
          <w:szCs w:val="24"/>
          <w:highlight w:val="none"/>
          <w:u w:val="single"/>
          <w:lang w:val="en-US" w:eastAsia="zh-CN"/>
        </w:rPr>
        <w:t>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lang w:val="en-US" w:eastAsia="zh-CN"/>
        </w:rPr>
        <w:t>06</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lang w:val="en-US" w:eastAsia="zh-CN"/>
        </w:rPr>
        <w:t>08</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u w:val="single"/>
          <w:lang w:val="en-US" w:eastAsia="zh-CN"/>
        </w:rPr>
        <w:t>08</w:t>
      </w:r>
      <w:r>
        <w:rPr>
          <w:rFonts w:hint="eastAsia" w:ascii="仿宋" w:hAnsi="仿宋" w:eastAsia="仿宋"/>
          <w:color w:val="auto"/>
          <w:sz w:val="24"/>
          <w:szCs w:val="24"/>
          <w:highlight w:val="none"/>
        </w:rPr>
        <w:t>时</w:t>
      </w:r>
      <w:r>
        <w:rPr>
          <w:rFonts w:hint="eastAsia" w:ascii="仿宋" w:hAnsi="仿宋" w:eastAsia="仿宋"/>
          <w:color w:val="auto"/>
          <w:sz w:val="24"/>
          <w:szCs w:val="24"/>
          <w:highlight w:val="none"/>
          <w:u w:val="single"/>
          <w:lang w:val="en-US" w:eastAsia="zh-CN"/>
        </w:rPr>
        <w:t>40</w:t>
      </w:r>
      <w:r>
        <w:rPr>
          <w:rFonts w:hint="eastAsia" w:ascii="仿宋" w:hAnsi="仿宋" w:eastAsia="仿宋"/>
          <w:color w:val="auto"/>
          <w:sz w:val="24"/>
          <w:szCs w:val="24"/>
          <w:highlight w:val="none"/>
        </w:rPr>
        <w:t>分（北京时间）</w:t>
      </w:r>
    </w:p>
    <w:p w14:paraId="7A6126A2">
      <w:pPr>
        <w:spacing w:before="156" w:beforeLines="50" w:after="156" w:afterLines="50"/>
        <w:ind w:firstLine="480" w:firstLineChars="200"/>
        <w:rPr>
          <w:rFonts w:ascii="仿宋" w:hAnsi="仿宋" w:eastAsia="仿宋"/>
          <w:sz w:val="24"/>
        </w:rPr>
      </w:pPr>
      <w:r>
        <w:rPr>
          <w:rFonts w:hint="eastAsia" w:ascii="仿宋" w:hAnsi="仿宋" w:eastAsia="仿宋"/>
          <w:sz w:val="24"/>
        </w:rPr>
        <w:t>2.地点：平顶山市公共资源交易中心电子化交易系统</w:t>
      </w:r>
    </w:p>
    <w:p w14:paraId="7C14071D">
      <w:pPr>
        <w:pStyle w:val="24"/>
        <w:spacing w:before="156" w:beforeLines="50" w:beforeAutospacing="0" w:after="156" w:afterLines="50" w:afterAutospacing="0"/>
        <w:rPr>
          <w:rFonts w:ascii="仿宋" w:hAnsi="仿宋" w:eastAsia="仿宋"/>
          <w:b/>
          <w:bCs/>
        </w:rPr>
      </w:pPr>
      <w:r>
        <w:rPr>
          <w:rFonts w:hint="eastAsia" w:ascii="仿宋" w:hAnsi="仿宋" w:eastAsia="仿宋"/>
          <w:b/>
          <w:bCs/>
        </w:rPr>
        <w:t>六、发布公告的媒介及公告期限</w:t>
      </w:r>
    </w:p>
    <w:p w14:paraId="2761E3E4">
      <w:pPr>
        <w:spacing w:before="156" w:beforeLines="50" w:after="156" w:afterLines="50"/>
        <w:ind w:firstLine="480" w:firstLineChars="200"/>
        <w:rPr>
          <w:rFonts w:ascii="仿宋" w:hAnsi="仿宋" w:eastAsia="仿宋"/>
          <w:sz w:val="24"/>
        </w:rPr>
      </w:pPr>
      <w:r>
        <w:rPr>
          <w:rFonts w:hint="eastAsia" w:ascii="仿宋" w:hAnsi="仿宋" w:eastAsia="仿宋"/>
          <w:sz w:val="24"/>
        </w:rPr>
        <w:t>本</w:t>
      </w:r>
      <w:r>
        <w:rPr>
          <w:rFonts w:hint="eastAsia" w:ascii="仿宋" w:hAnsi="仿宋" w:eastAsia="仿宋"/>
          <w:sz w:val="24"/>
          <w:lang w:val="en-US" w:eastAsia="zh-CN"/>
        </w:rPr>
        <w:t>次招标</w:t>
      </w:r>
      <w:r>
        <w:rPr>
          <w:rFonts w:hint="eastAsia" w:ascii="仿宋" w:hAnsi="仿宋" w:eastAsia="仿宋"/>
          <w:sz w:val="24"/>
        </w:rPr>
        <w:t>公告在</w:t>
      </w:r>
      <w:bookmarkEnd w:id="3"/>
      <w:bookmarkEnd w:id="4"/>
      <w:bookmarkEnd w:id="5"/>
      <w:bookmarkEnd w:id="12"/>
      <w:bookmarkStart w:id="27" w:name="_Hlk493671111"/>
      <w:r>
        <w:rPr>
          <w:rFonts w:hint="eastAsia" w:ascii="仿宋" w:hAnsi="仿宋" w:eastAsia="仿宋"/>
          <w:sz w:val="24"/>
        </w:rPr>
        <w:t>《河南省政府采购网》、《平顶山市政府采购网》、《平顶山市新华区政府采购网》、《全国公共资源交易平台（河南省·平顶山市）》上发布，</w:t>
      </w:r>
      <w:r>
        <w:rPr>
          <w:rFonts w:hint="eastAsia" w:ascii="仿宋" w:hAnsi="仿宋" w:eastAsia="仿宋"/>
          <w:sz w:val="24"/>
          <w:lang w:val="en-US" w:eastAsia="zh-CN"/>
        </w:rPr>
        <w:t>招标</w:t>
      </w:r>
      <w:r>
        <w:rPr>
          <w:rFonts w:hint="eastAsia" w:ascii="仿宋" w:hAnsi="仿宋" w:eastAsia="仿宋"/>
          <w:sz w:val="24"/>
        </w:rPr>
        <w:t>公告期限为三个工作日。</w:t>
      </w:r>
    </w:p>
    <w:p w14:paraId="71705B25">
      <w:pPr>
        <w:pStyle w:val="24"/>
        <w:spacing w:before="156" w:beforeLines="50" w:beforeAutospacing="0" w:after="156" w:afterLines="50" w:afterAutospacing="0"/>
        <w:rPr>
          <w:rFonts w:ascii="仿宋" w:hAnsi="仿宋" w:eastAsia="仿宋"/>
          <w:b/>
          <w:bCs/>
        </w:rPr>
      </w:pPr>
      <w:r>
        <w:rPr>
          <w:rFonts w:hint="eastAsia" w:ascii="仿宋" w:hAnsi="仿宋" w:eastAsia="仿宋"/>
          <w:b/>
          <w:bCs/>
        </w:rPr>
        <w:t>七、其他补充事宜</w:t>
      </w:r>
    </w:p>
    <w:p w14:paraId="5A7CB9CE">
      <w:pPr>
        <w:spacing w:before="156" w:beforeLines="50" w:after="156" w:afterLines="50"/>
        <w:ind w:firstLine="480" w:firstLineChars="200"/>
        <w:rPr>
          <w:rFonts w:hint="eastAsia" w:ascii="仿宋" w:hAnsi="仿宋" w:eastAsia="仿宋"/>
          <w:sz w:val="24"/>
        </w:rPr>
      </w:pPr>
      <w:r>
        <w:rPr>
          <w:rFonts w:hint="eastAsia" w:ascii="仿宋" w:hAnsi="仿宋" w:eastAsia="仿宋"/>
          <w:sz w:val="24"/>
        </w:rPr>
        <w:t>1、本次开标全面实行在线“不见面”开标，投标人远程在线解密投标文件，不再到开标现场，投标人开标前应仔细阅读《“不见面”开标注意事项及操作流程》）。</w:t>
      </w:r>
    </w:p>
    <w:p w14:paraId="4449F127">
      <w:pPr>
        <w:spacing w:before="156" w:beforeLines="50" w:after="156" w:afterLines="50"/>
        <w:ind w:firstLine="480" w:firstLineChars="200"/>
        <w:rPr>
          <w:rFonts w:hint="eastAsia" w:ascii="仿宋" w:hAnsi="仿宋" w:eastAsia="仿宋"/>
          <w:sz w:val="24"/>
        </w:rPr>
      </w:pPr>
      <w:r>
        <w:rPr>
          <w:rFonts w:hint="eastAsia" w:ascii="仿宋" w:hAnsi="仿宋" w:eastAsia="仿宋"/>
          <w:sz w:val="24"/>
        </w:rPr>
        <w:t>2、该公告已同步至“平顶山市公共资源交易中心微信公众号”，可通过公众号中的服务栏目进行查阅。</w:t>
      </w:r>
    </w:p>
    <w:p w14:paraId="441B0709">
      <w:pPr>
        <w:spacing w:before="156" w:beforeLines="50" w:after="156" w:afterLines="50"/>
        <w:ind w:firstLine="480" w:firstLineChars="200"/>
        <w:rPr>
          <w:rFonts w:hint="eastAsia" w:ascii="仿宋" w:hAnsi="仿宋" w:eastAsia="仿宋"/>
          <w:sz w:val="24"/>
        </w:rPr>
      </w:pPr>
      <w:r>
        <w:rPr>
          <w:rFonts w:hint="eastAsia" w:ascii="仿宋" w:hAnsi="仿宋" w:eastAsia="仿宋"/>
          <w:sz w:val="24"/>
        </w:rPr>
        <w:t>3、投标人或其他利害关系人对本次招标公告如有异议，请按中华人民共和国财政部令第94号《政府采购质疑和投诉办法》的相关规定，在规定时间内，向招标人、招标代理机构、监督部门提出质疑、投诉等事宜。逾期未提交或未按照要求提交的质疑、投诉将不予受理。</w:t>
      </w:r>
    </w:p>
    <w:p w14:paraId="1520D408">
      <w:pPr>
        <w:spacing w:before="156" w:beforeLines="50" w:after="156" w:afterLines="50"/>
        <w:ind w:firstLine="480" w:firstLineChars="200"/>
        <w:rPr>
          <w:rFonts w:ascii="仿宋" w:hAnsi="仿宋" w:eastAsia="仿宋"/>
          <w:sz w:val="24"/>
        </w:rPr>
      </w:pPr>
      <w:r>
        <w:rPr>
          <w:rFonts w:hint="eastAsia" w:ascii="仿宋" w:hAnsi="仿宋" w:eastAsia="仿宋"/>
          <w:sz w:val="24"/>
        </w:rPr>
        <w:t>4、监督单位：平顶山市新华区财政局</w:t>
      </w:r>
    </w:p>
    <w:p w14:paraId="023F991E">
      <w:pPr>
        <w:spacing w:before="156" w:beforeLines="50" w:after="156" w:afterLines="50"/>
        <w:ind w:firstLine="480" w:firstLineChars="200"/>
        <w:rPr>
          <w:rFonts w:ascii="仿宋" w:hAnsi="仿宋" w:eastAsia="仿宋"/>
          <w:sz w:val="24"/>
        </w:rPr>
      </w:pPr>
      <w:r>
        <w:rPr>
          <w:rFonts w:hint="eastAsia" w:ascii="仿宋" w:hAnsi="仿宋" w:eastAsia="仿宋"/>
          <w:sz w:val="24"/>
        </w:rPr>
        <w:t>电话：0375-7666036</w:t>
      </w:r>
    </w:p>
    <w:p w14:paraId="5C7C819E">
      <w:pPr>
        <w:pStyle w:val="24"/>
        <w:spacing w:before="156" w:beforeLines="50" w:beforeAutospacing="0" w:after="156" w:afterLines="50" w:afterAutospacing="0"/>
        <w:rPr>
          <w:rFonts w:ascii="仿宋" w:hAnsi="仿宋" w:eastAsia="仿宋"/>
          <w:b/>
          <w:bCs/>
        </w:rPr>
      </w:pPr>
      <w:r>
        <w:rPr>
          <w:rFonts w:hint="eastAsia" w:ascii="仿宋" w:hAnsi="仿宋" w:eastAsia="仿宋"/>
          <w:b/>
          <w:bCs/>
        </w:rPr>
        <w:t>八、凡对本次招标提出询问，请按照以下方式联系</w:t>
      </w:r>
    </w:p>
    <w:bookmarkEnd w:id="6"/>
    <w:bookmarkEnd w:id="27"/>
    <w:p w14:paraId="2F857001">
      <w:pPr>
        <w:spacing w:before="156" w:beforeLines="50" w:after="156" w:afterLines="50"/>
        <w:ind w:firstLine="480" w:firstLineChars="200"/>
        <w:rPr>
          <w:rFonts w:ascii="仿宋" w:hAnsi="仿宋" w:eastAsia="仿宋"/>
          <w:sz w:val="24"/>
        </w:rPr>
      </w:pPr>
      <w:r>
        <w:rPr>
          <w:rFonts w:hint="eastAsia" w:ascii="仿宋" w:hAnsi="仿宋" w:eastAsia="仿宋"/>
          <w:sz w:val="24"/>
        </w:rPr>
        <w:t>1.采购人信息</w:t>
      </w:r>
    </w:p>
    <w:bookmarkEnd w:id="7"/>
    <w:bookmarkEnd w:id="8"/>
    <w:bookmarkEnd w:id="9"/>
    <w:p w14:paraId="2D269588">
      <w:pPr>
        <w:spacing w:before="156" w:beforeLines="50" w:after="156" w:afterLines="50"/>
        <w:ind w:firstLine="480" w:firstLineChars="200"/>
        <w:rPr>
          <w:rFonts w:ascii="仿宋" w:hAnsi="仿宋" w:eastAsia="仿宋"/>
          <w:sz w:val="24"/>
        </w:rPr>
      </w:pPr>
      <w:r>
        <w:rPr>
          <w:rFonts w:hint="eastAsia" w:ascii="仿宋" w:hAnsi="仿宋" w:eastAsia="仿宋"/>
          <w:sz w:val="24"/>
        </w:rPr>
        <w:t>名称：平顶山市新华区住房和城乡建设局</w:t>
      </w:r>
    </w:p>
    <w:p w14:paraId="3C433A9A">
      <w:pPr>
        <w:spacing w:before="156" w:beforeLines="50" w:after="156" w:afterLines="50"/>
        <w:ind w:firstLine="480" w:firstLineChars="200"/>
        <w:rPr>
          <w:rFonts w:ascii="仿宋" w:hAnsi="仿宋" w:eastAsia="仿宋"/>
          <w:sz w:val="24"/>
        </w:rPr>
      </w:pPr>
      <w:r>
        <w:rPr>
          <w:rFonts w:hint="eastAsia" w:ascii="仿宋" w:hAnsi="仿宋" w:eastAsia="仿宋"/>
          <w:sz w:val="24"/>
        </w:rPr>
        <w:t>地址：平顶山市曙光街西段</w:t>
      </w:r>
    </w:p>
    <w:p w14:paraId="7A2C089F">
      <w:pPr>
        <w:spacing w:before="156" w:beforeLines="50" w:after="156" w:afterLines="50"/>
        <w:ind w:firstLine="480" w:firstLineChars="200"/>
        <w:rPr>
          <w:rFonts w:hint="eastAsia" w:ascii="仿宋" w:hAnsi="仿宋" w:eastAsia="仿宋"/>
          <w:sz w:val="24"/>
          <w:highlight w:val="none"/>
          <w:lang w:val="en-US" w:eastAsia="zh-CN"/>
        </w:rPr>
      </w:pPr>
      <w:r>
        <w:rPr>
          <w:rFonts w:hint="eastAsia" w:ascii="仿宋" w:hAnsi="仿宋" w:eastAsia="仿宋"/>
          <w:sz w:val="24"/>
          <w:highlight w:val="none"/>
        </w:rPr>
        <w:t>联系人：</w:t>
      </w:r>
      <w:r>
        <w:rPr>
          <w:rFonts w:hint="eastAsia" w:ascii="仿宋" w:hAnsi="仿宋" w:eastAsia="仿宋"/>
          <w:sz w:val="24"/>
          <w:highlight w:val="none"/>
          <w:lang w:val="en-US" w:eastAsia="zh-CN"/>
        </w:rPr>
        <w:t>胡女士</w:t>
      </w:r>
    </w:p>
    <w:p w14:paraId="13F9C4B9">
      <w:pPr>
        <w:spacing w:before="156" w:beforeLines="50" w:after="156" w:afterLines="50"/>
        <w:ind w:firstLine="480" w:firstLineChars="200"/>
        <w:rPr>
          <w:rFonts w:hint="eastAsia" w:ascii="仿宋" w:hAnsi="仿宋" w:eastAsia="仿宋"/>
          <w:sz w:val="24"/>
          <w:highlight w:val="none"/>
        </w:rPr>
      </w:pPr>
      <w:r>
        <w:rPr>
          <w:rFonts w:hint="eastAsia" w:ascii="仿宋" w:hAnsi="仿宋" w:eastAsia="仿宋"/>
          <w:sz w:val="24"/>
          <w:highlight w:val="none"/>
        </w:rPr>
        <w:t>联系方式：0375-7665206</w:t>
      </w:r>
    </w:p>
    <w:p w14:paraId="56A395CA">
      <w:pPr>
        <w:spacing w:before="156" w:beforeLines="50" w:after="156" w:afterLines="50"/>
        <w:ind w:firstLine="480" w:firstLineChars="200"/>
        <w:rPr>
          <w:rFonts w:ascii="仿宋" w:hAnsi="仿宋" w:eastAsia="仿宋"/>
          <w:sz w:val="24"/>
        </w:rPr>
      </w:pPr>
      <w:r>
        <w:rPr>
          <w:rFonts w:hint="eastAsia" w:ascii="仿宋" w:hAnsi="仿宋" w:eastAsia="仿宋"/>
          <w:sz w:val="24"/>
        </w:rPr>
        <w:t>2.采购代理机构信息</w:t>
      </w:r>
    </w:p>
    <w:p w14:paraId="5CB63A73">
      <w:pPr>
        <w:spacing w:before="156" w:beforeLines="50" w:after="156" w:afterLines="50"/>
        <w:ind w:firstLine="480" w:firstLineChars="200"/>
        <w:rPr>
          <w:rFonts w:ascii="仿宋" w:hAnsi="仿宋" w:eastAsia="仿宋"/>
          <w:sz w:val="24"/>
        </w:rPr>
      </w:pPr>
      <w:r>
        <w:rPr>
          <w:rFonts w:hint="eastAsia" w:ascii="仿宋" w:hAnsi="仿宋" w:eastAsia="仿宋"/>
          <w:sz w:val="24"/>
        </w:rPr>
        <w:t>名称：河南致诚弘亿工程管理有限公司</w:t>
      </w:r>
    </w:p>
    <w:p w14:paraId="55ED4656">
      <w:pPr>
        <w:spacing w:before="156" w:beforeLines="50" w:after="156" w:afterLines="50"/>
        <w:ind w:firstLine="480" w:firstLineChars="200"/>
        <w:rPr>
          <w:rFonts w:ascii="仿宋" w:hAnsi="仿宋" w:eastAsia="仿宋"/>
          <w:sz w:val="24"/>
        </w:rPr>
      </w:pPr>
      <w:r>
        <w:rPr>
          <w:rFonts w:hint="eastAsia" w:ascii="仿宋" w:hAnsi="仿宋" w:eastAsia="仿宋"/>
          <w:sz w:val="24"/>
        </w:rPr>
        <w:t>地址：平顶山市新华区光明路北段中原商场家属院</w:t>
      </w:r>
      <w:r>
        <w:rPr>
          <w:rFonts w:ascii="仿宋" w:hAnsi="仿宋" w:eastAsia="仿宋"/>
          <w:sz w:val="24"/>
        </w:rPr>
        <w:t>2楼商铺201号</w:t>
      </w:r>
    </w:p>
    <w:p w14:paraId="0AB0350D">
      <w:pPr>
        <w:spacing w:before="156" w:beforeLines="50" w:after="156" w:afterLines="50"/>
        <w:ind w:firstLine="480" w:firstLineChars="200"/>
        <w:rPr>
          <w:rFonts w:ascii="仿宋" w:hAnsi="仿宋" w:eastAsia="仿宋"/>
          <w:sz w:val="24"/>
        </w:rPr>
      </w:pPr>
      <w:r>
        <w:rPr>
          <w:rFonts w:hint="eastAsia" w:ascii="仿宋" w:hAnsi="仿宋" w:eastAsia="仿宋"/>
          <w:sz w:val="24"/>
        </w:rPr>
        <w:t>联系人：</w:t>
      </w:r>
      <w:r>
        <w:rPr>
          <w:rFonts w:hint="eastAsia" w:ascii="仿宋" w:hAnsi="仿宋" w:eastAsia="仿宋"/>
          <w:sz w:val="24"/>
          <w:lang w:val="en-US" w:eastAsia="zh-CN"/>
        </w:rPr>
        <w:t>孙</w:t>
      </w:r>
      <w:r>
        <w:rPr>
          <w:rFonts w:hint="eastAsia" w:ascii="仿宋" w:hAnsi="仿宋" w:eastAsia="仿宋"/>
          <w:sz w:val="24"/>
        </w:rPr>
        <w:t>女士</w:t>
      </w:r>
    </w:p>
    <w:p w14:paraId="24EFE51A">
      <w:pPr>
        <w:spacing w:before="156" w:beforeLines="50" w:after="156" w:afterLines="50"/>
        <w:ind w:firstLine="480" w:firstLineChars="200"/>
        <w:rPr>
          <w:rFonts w:ascii="仿宋" w:hAnsi="仿宋" w:eastAsia="仿宋"/>
          <w:sz w:val="24"/>
        </w:rPr>
      </w:pPr>
      <w:r>
        <w:rPr>
          <w:rFonts w:hint="eastAsia" w:ascii="仿宋" w:hAnsi="仿宋" w:eastAsia="仿宋"/>
          <w:sz w:val="24"/>
        </w:rPr>
        <w:t>联系方式：</w:t>
      </w:r>
      <w:r>
        <w:rPr>
          <w:rFonts w:ascii="仿宋" w:hAnsi="仿宋" w:eastAsia="仿宋"/>
          <w:sz w:val="24"/>
        </w:rPr>
        <w:t>0375-7502336</w:t>
      </w:r>
      <w:r>
        <w:rPr>
          <w:rFonts w:hint="eastAsia" w:ascii="仿宋" w:hAnsi="仿宋" w:eastAsia="仿宋"/>
          <w:sz w:val="24"/>
        </w:rPr>
        <w:t xml:space="preserve"> 1</w:t>
      </w:r>
      <w:r>
        <w:rPr>
          <w:rFonts w:ascii="仿宋" w:hAnsi="仿宋" w:eastAsia="仿宋"/>
          <w:sz w:val="24"/>
        </w:rPr>
        <w:t>7527515377</w:t>
      </w:r>
    </w:p>
    <w:p w14:paraId="2234E4D3">
      <w:pPr>
        <w:spacing w:before="156" w:beforeLines="50" w:after="156" w:afterLines="50"/>
        <w:ind w:firstLine="480" w:firstLineChars="200"/>
        <w:rPr>
          <w:rFonts w:ascii="仿宋" w:hAnsi="仿宋" w:eastAsia="仿宋"/>
          <w:sz w:val="24"/>
        </w:rPr>
      </w:pPr>
      <w:r>
        <w:rPr>
          <w:rFonts w:hint="eastAsia" w:ascii="仿宋" w:hAnsi="仿宋" w:eastAsia="仿宋"/>
          <w:sz w:val="24"/>
        </w:rPr>
        <w:t>3.项目联系方式</w:t>
      </w:r>
    </w:p>
    <w:p w14:paraId="623B25FA">
      <w:pPr>
        <w:spacing w:before="156" w:beforeLines="50" w:after="156" w:afterLines="50"/>
        <w:ind w:firstLine="480" w:firstLineChars="200"/>
        <w:rPr>
          <w:rFonts w:ascii="仿宋" w:hAnsi="仿宋" w:eastAsia="仿宋"/>
          <w:sz w:val="24"/>
        </w:rPr>
      </w:pPr>
      <w:r>
        <w:rPr>
          <w:rFonts w:hint="eastAsia" w:ascii="仿宋" w:hAnsi="仿宋" w:eastAsia="仿宋"/>
          <w:sz w:val="24"/>
        </w:rPr>
        <w:t>项目联系人：</w:t>
      </w:r>
      <w:r>
        <w:rPr>
          <w:rFonts w:hint="eastAsia" w:ascii="仿宋" w:hAnsi="仿宋" w:eastAsia="仿宋"/>
          <w:sz w:val="24"/>
          <w:lang w:val="en-US" w:eastAsia="zh-CN"/>
        </w:rPr>
        <w:t>孙</w:t>
      </w:r>
      <w:r>
        <w:rPr>
          <w:rFonts w:hint="eastAsia" w:ascii="仿宋" w:hAnsi="仿宋" w:eastAsia="仿宋"/>
          <w:sz w:val="24"/>
        </w:rPr>
        <w:t>女士</w:t>
      </w:r>
    </w:p>
    <w:p w14:paraId="122CD1EC">
      <w:pPr>
        <w:spacing w:before="156" w:beforeLines="50" w:after="156" w:afterLines="50"/>
        <w:ind w:firstLine="480" w:firstLineChars="200"/>
        <w:rPr>
          <w:rFonts w:ascii="仿宋" w:hAnsi="仿宋" w:eastAsia="仿宋"/>
          <w:sz w:val="24"/>
        </w:rPr>
      </w:pPr>
      <w:r>
        <w:rPr>
          <w:rFonts w:hint="eastAsia" w:ascii="仿宋" w:hAnsi="仿宋" w:eastAsia="仿宋"/>
          <w:sz w:val="24"/>
        </w:rPr>
        <w:t>联系方式：</w:t>
      </w:r>
      <w:r>
        <w:rPr>
          <w:rFonts w:ascii="仿宋" w:hAnsi="仿宋" w:eastAsia="仿宋"/>
          <w:sz w:val="24"/>
        </w:rPr>
        <w:t>0375-7502336</w:t>
      </w:r>
      <w:r>
        <w:rPr>
          <w:rFonts w:hint="eastAsia" w:ascii="仿宋" w:hAnsi="仿宋" w:eastAsia="仿宋"/>
          <w:sz w:val="24"/>
        </w:rPr>
        <w:t xml:space="preserve"> 1</w:t>
      </w:r>
      <w:r>
        <w:rPr>
          <w:rFonts w:ascii="仿宋" w:hAnsi="仿宋" w:eastAsia="仿宋"/>
          <w:sz w:val="24"/>
        </w:rPr>
        <w:t>7527515377</w:t>
      </w:r>
    </w:p>
    <w:bookmarkEnd w:id="10"/>
    <w:p w14:paraId="5C7E0600">
      <w:pPr>
        <w:widowControl/>
        <w:jc w:val="center"/>
        <w:rPr>
          <w:rFonts w:ascii="仿宋" w:hAnsi="仿宋" w:eastAsia="仿宋"/>
          <w:b/>
          <w:bCs/>
          <w:sz w:val="24"/>
          <w:szCs w:val="24"/>
        </w:rPr>
      </w:pPr>
      <w:r>
        <w:rPr>
          <w:rFonts w:ascii="仿宋" w:hAnsi="仿宋" w:eastAsia="仿宋" w:cs="宋体"/>
          <w:sz w:val="24"/>
        </w:rPr>
        <w:br w:type="page"/>
      </w:r>
      <w:bookmarkStart w:id="28" w:name="_Toc30607_WPSOffice_Level1"/>
      <w:bookmarkStart w:id="29" w:name="_Toc14567"/>
      <w:r>
        <w:rPr>
          <w:rFonts w:hint="eastAsia" w:ascii="仿宋" w:hAnsi="仿宋" w:eastAsia="仿宋"/>
          <w:b/>
          <w:bCs/>
          <w:sz w:val="24"/>
          <w:szCs w:val="24"/>
        </w:rPr>
        <w:t>温馨提示：</w:t>
      </w:r>
    </w:p>
    <w:p w14:paraId="7E5407E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本项目为全流程电子化交易项目，请认真阅读竞争性磋商文件，并注意以下事项。</w:t>
      </w:r>
    </w:p>
    <w:p w14:paraId="78BFF7BD">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1.供应商应按采购文件（竞争性磋商文件）的规定编制、提交电子投标文件（竞争性磋商响应文件）。</w:t>
      </w:r>
    </w:p>
    <w:p w14:paraId="7790112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2.本项目供应商不用再提供纸质投标文件（招标文件有特殊规定的从其规定）。</w:t>
      </w:r>
    </w:p>
    <w:p w14:paraId="6CEF235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3.电子文件下载、制作、提交期间和开标（电子投标文件[磋商响应文件]的解密）环节，供应商须使用CA数字证书（证书须在有效期内）。</w:t>
      </w:r>
    </w:p>
    <w:p w14:paraId="2D2BAB8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4.电子投标文件（竞争性磋商响应文件）的制作</w:t>
      </w:r>
    </w:p>
    <w:p w14:paraId="7F603BA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4.1供应商登录《全国公共资源交易平台(河南省</w:t>
      </w:r>
      <w:r>
        <w:rPr>
          <w:rFonts w:hint="eastAsia" w:ascii="微软雅黑" w:hAnsi="微软雅黑" w:eastAsia="微软雅黑" w:cs="微软雅黑"/>
          <w:sz w:val="24"/>
          <w:szCs w:val="24"/>
        </w:rPr>
        <w:t>▪</w:t>
      </w:r>
      <w:r>
        <w:rPr>
          <w:rFonts w:hint="eastAsia" w:ascii="仿宋" w:hAnsi="仿宋" w:eastAsia="仿宋"/>
          <w:sz w:val="24"/>
          <w:szCs w:val="24"/>
        </w:rPr>
        <w:t>平顶山市)》登录业务系统（http://ggzy.pds.gov.cn/）下载“平顶山市公共资源交易中心投标文件制作系统”，按采购文件（竞争性磋商文件）要求制作电子投标文件（竞争性磋商响应文件）。</w:t>
      </w:r>
    </w:p>
    <w:p w14:paraId="29DE295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电子投标文件（竞争性磋商响应文件）的制作，参考《全国公共资源交易平台(河南省</w:t>
      </w:r>
      <w:r>
        <w:rPr>
          <w:rFonts w:hint="eastAsia" w:ascii="微软雅黑" w:hAnsi="微软雅黑" w:eastAsia="微软雅黑" w:cs="微软雅黑"/>
          <w:sz w:val="24"/>
          <w:szCs w:val="24"/>
        </w:rPr>
        <w:t>▪</w:t>
      </w:r>
      <w:r>
        <w:rPr>
          <w:rFonts w:hint="eastAsia" w:ascii="仿宋" w:hAnsi="仿宋" w:eastAsia="仿宋"/>
          <w:sz w:val="24"/>
          <w:szCs w:val="24"/>
        </w:rPr>
        <w:t>平顶山市)》登录业务系统（http://ggzy.pds.gov.cn/）——组件下载——交易系统操作手册（供应商、供应商）。</w:t>
      </w:r>
    </w:p>
    <w:p w14:paraId="4AE4281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4.2供应商须将采购文件（竞争性磋商文件）要求的资质、业绩、荣誉及相关人员证明材料等资料原件扫描件（或图片）制作到所提交的电子投标文件（竞争性磋商响应文件）中。</w:t>
      </w:r>
    </w:p>
    <w:p w14:paraId="2DE323D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4.3供应商对同一项目多个标段（包）进行投标的，应分别下载所投标段的采购文件（竞争性磋商文件），按标段（包）制作电子投标文件（竞争性磋商响应文件），并按采购文件（竞争性磋商文件）要求在相应位置加盖供应商电子签章和法人电子签章。</w:t>
      </w:r>
    </w:p>
    <w:p w14:paraId="7DE2EA5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一个标段对应生成一个文件夹（xxxx项目xx标段）, 其中包含2个文件和1个文件夹。后缀名为“.file”的文件用于电子投标使用，名称为“备份”的文件夹使用电子介质存储，供开标现场备用。</w:t>
      </w:r>
    </w:p>
    <w:p w14:paraId="0545C3E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5.加密电子投标文件（竞争性磋商响应文件）的提交</w:t>
      </w:r>
    </w:p>
    <w:p w14:paraId="6079781E">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5.1加密电子投标文件（竞争性磋商响应文件）应在采购文件（竞争性磋商文件）规定的投标截止时间（开标时间）之前成功提交至《全国公共资源交易平台(河南省</w:t>
      </w:r>
      <w:r>
        <w:rPr>
          <w:rFonts w:hint="eastAsia" w:ascii="微软雅黑" w:hAnsi="微软雅黑" w:eastAsia="微软雅黑" w:cs="微软雅黑"/>
          <w:sz w:val="24"/>
          <w:szCs w:val="24"/>
        </w:rPr>
        <w:t>▪</w:t>
      </w:r>
      <w:r>
        <w:rPr>
          <w:rFonts w:hint="eastAsia" w:ascii="仿宋" w:hAnsi="仿宋" w:eastAsia="仿宋"/>
          <w:sz w:val="24"/>
          <w:szCs w:val="24"/>
        </w:rPr>
        <w:t>平顶山市)》登录业务系统（http://ggzy.pds.gov.cn/）。</w:t>
      </w:r>
    </w:p>
    <w:p w14:paraId="2F01F2C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供应商应充分考虑并预留技术处理和上传数据所需时间。</w:t>
      </w:r>
    </w:p>
    <w:p w14:paraId="78CAF0D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 w:hAnsi="仿宋" w:eastAsia="仿宋"/>
          <w:sz w:val="24"/>
          <w:szCs w:val="24"/>
        </w:rPr>
      </w:pPr>
      <w:r>
        <w:rPr>
          <w:rFonts w:hint="eastAsia" w:ascii="仿宋" w:hAnsi="仿宋" w:eastAsia="仿宋"/>
          <w:sz w:val="24"/>
          <w:szCs w:val="24"/>
        </w:rPr>
        <w:t>5.2供应商对同一项目多个标段（包）进行投标的，加密电子投标文件（竞争性磋商响应文件）应按标段（包）分别提交。</w:t>
      </w:r>
    </w:p>
    <w:p w14:paraId="1C864552">
      <w:pPr>
        <w:rPr>
          <w:sz w:val="24"/>
          <w:szCs w:val="24"/>
        </w:rPr>
      </w:pPr>
    </w:p>
    <w:p w14:paraId="661E0CC4">
      <w:pPr>
        <w:pStyle w:val="12"/>
        <w:ind w:left="840" w:hanging="420"/>
      </w:pPr>
      <w:r>
        <w:br w:type="page"/>
      </w:r>
    </w:p>
    <w:p w14:paraId="29DC9AF7">
      <w:pPr>
        <w:adjustRightInd w:val="0"/>
        <w:spacing w:before="156" w:beforeLines="50" w:after="156" w:afterLines="50" w:line="360" w:lineRule="auto"/>
        <w:ind w:firstLine="487" w:firstLineChars="202"/>
        <w:jc w:val="center"/>
        <w:rPr>
          <w:rFonts w:ascii="仿宋" w:hAnsi="仿宋" w:eastAsia="仿宋"/>
          <w:b/>
          <w:bCs/>
          <w:sz w:val="24"/>
          <w:szCs w:val="24"/>
        </w:rPr>
      </w:pPr>
      <w:r>
        <w:rPr>
          <w:rFonts w:hint="eastAsia" w:ascii="仿宋" w:hAnsi="仿宋" w:eastAsia="仿宋"/>
          <w:b/>
          <w:bCs/>
          <w:sz w:val="24"/>
          <w:szCs w:val="24"/>
        </w:rPr>
        <w:t>“不见面”开标注意事项</w:t>
      </w:r>
    </w:p>
    <w:p w14:paraId="0F31AE74">
      <w:pPr>
        <w:adjustRightInd w:val="0"/>
        <w:spacing w:before="156" w:beforeLines="50" w:after="156" w:afterLines="50" w:line="360" w:lineRule="auto"/>
        <w:ind w:firstLine="484" w:firstLineChars="202"/>
        <w:rPr>
          <w:rFonts w:ascii="仿宋" w:hAnsi="仿宋" w:eastAsia="仿宋"/>
          <w:sz w:val="24"/>
          <w:szCs w:val="24"/>
        </w:rPr>
      </w:pPr>
      <w:r>
        <w:rPr>
          <w:rFonts w:hint="eastAsia" w:ascii="仿宋" w:hAnsi="仿宋" w:eastAsia="仿宋"/>
          <w:sz w:val="24"/>
          <w:szCs w:val="24"/>
        </w:rPr>
        <w:t>1、开标时，供应商采用网上远程异地解密时，请用CA证书登录平顶山市公共资源交易中心业务系统，进入本项目开标大厅点击解密来完成投标文件（竞争性磋商响应文件）的解密工作。每位供应商的解密时间从开标时间起60分钟内完成，超过规定时间解密的投标文件（竞争性磋商响应文件）不予接收。</w:t>
      </w:r>
    </w:p>
    <w:p w14:paraId="7FFE5EDF">
      <w:pPr>
        <w:adjustRightInd w:val="0"/>
        <w:spacing w:before="156" w:beforeLines="50" w:after="156" w:afterLines="50" w:line="360" w:lineRule="auto"/>
        <w:ind w:firstLine="484" w:firstLineChars="202"/>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、如出现供应商的电子投标文件（竞争性磋商响应文件）无法解密的情况，供应商应及时联系采购人（代理机构）进行说明。投标文件（竞争性磋商响应文件）解密异常，按以下步骤进行处理：</w:t>
      </w:r>
    </w:p>
    <w:p w14:paraId="5C8A7CD5">
      <w:pPr>
        <w:adjustRightInd w:val="0"/>
        <w:spacing w:before="156" w:beforeLines="50" w:after="156" w:afterLines="50" w:line="360" w:lineRule="auto"/>
        <w:ind w:firstLine="484" w:firstLineChars="202"/>
        <w:rPr>
          <w:rFonts w:ascii="仿宋" w:hAnsi="仿宋" w:eastAsia="仿宋"/>
          <w:sz w:val="24"/>
          <w:szCs w:val="24"/>
        </w:rPr>
      </w:pPr>
      <w:r>
        <w:rPr>
          <w:rFonts w:hint="eastAsia" w:ascii="仿宋" w:hAnsi="仿宋" w:eastAsia="仿宋"/>
          <w:sz w:val="24"/>
          <w:szCs w:val="24"/>
        </w:rPr>
        <w:t>（1）如果是投标文件（竞争性磋商响应文件）自身问题导致投标文件（竞争性磋商响应文件）无法解密的，该投标文件（竞争性磋商响应文件）将不予接收、解密。</w:t>
      </w:r>
    </w:p>
    <w:p w14:paraId="47E3DFE7">
      <w:pPr>
        <w:adjustRightInd w:val="0"/>
        <w:spacing w:before="156" w:beforeLines="50" w:after="156" w:afterLines="50" w:line="360" w:lineRule="auto"/>
        <w:ind w:firstLine="484" w:firstLineChars="202"/>
        <w:rPr>
          <w:rFonts w:ascii="仿宋" w:hAnsi="仿宋" w:eastAsia="仿宋"/>
          <w:sz w:val="24"/>
          <w:szCs w:val="24"/>
        </w:rPr>
      </w:pPr>
      <w:r>
        <w:rPr>
          <w:rFonts w:hint="eastAsia" w:ascii="仿宋" w:hAnsi="仿宋" w:eastAsia="仿宋"/>
          <w:sz w:val="24"/>
          <w:szCs w:val="24"/>
        </w:rPr>
        <w:t>（2）如果是电子化交易系统问题造成投标文件（竞争性磋商响应文件）无法解密的，将由技术人员进行排查处理。如短时间内问题无法解决的，将由采购人（代理机构）联系监督部门申请暂停开标，待问题解决后继续开标。</w:t>
      </w:r>
    </w:p>
    <w:p w14:paraId="0C1189AC">
      <w:pPr>
        <w:adjustRightInd w:val="0"/>
        <w:spacing w:before="156" w:beforeLines="50" w:after="156" w:afterLines="50" w:line="360" w:lineRule="auto"/>
        <w:ind w:firstLine="484" w:firstLineChars="202"/>
        <w:rPr>
          <w:rFonts w:ascii="仿宋" w:hAnsi="仿宋" w:eastAsia="仿宋"/>
          <w:sz w:val="24"/>
          <w:szCs w:val="24"/>
        </w:rPr>
      </w:pPr>
      <w:r>
        <w:rPr>
          <w:rFonts w:ascii="仿宋" w:hAnsi="仿宋" w:eastAsia="仿宋"/>
          <w:sz w:val="24"/>
          <w:szCs w:val="24"/>
        </w:rPr>
        <w:t>3</w:t>
      </w:r>
      <w:r>
        <w:rPr>
          <w:rFonts w:hint="eastAsia" w:ascii="仿宋" w:hAnsi="仿宋" w:eastAsia="仿宋"/>
          <w:sz w:val="24"/>
          <w:szCs w:val="24"/>
        </w:rPr>
        <w:t>、所有投标文件（竞争性磋商响应文件）解密完成后，由采购人（代理机构）操作，对开标结果进行公示。</w:t>
      </w:r>
    </w:p>
    <w:p w14:paraId="17DB3C6A">
      <w:pPr>
        <w:adjustRightInd w:val="0"/>
        <w:spacing w:before="156" w:beforeLines="50" w:after="156" w:afterLines="50" w:line="360" w:lineRule="auto"/>
        <w:ind w:firstLine="484" w:firstLineChars="202"/>
        <w:rPr>
          <w:rFonts w:ascii="仿宋" w:hAnsi="仿宋" w:eastAsia="仿宋"/>
          <w:sz w:val="24"/>
          <w:szCs w:val="24"/>
        </w:rPr>
      </w:pPr>
      <w:r>
        <w:rPr>
          <w:rFonts w:ascii="仿宋" w:hAnsi="仿宋" w:eastAsia="仿宋"/>
          <w:sz w:val="24"/>
          <w:szCs w:val="24"/>
        </w:rPr>
        <w:t>4</w:t>
      </w:r>
      <w:r>
        <w:rPr>
          <w:rFonts w:hint="eastAsia" w:ascii="仿宋" w:hAnsi="仿宋" w:eastAsia="仿宋"/>
          <w:sz w:val="24"/>
          <w:szCs w:val="24"/>
        </w:rPr>
        <w:t>、供应商应保证在开标期间电话、电脑、网络等能够正常使用，供应商因停电、电脑病毒、网络堵塞等原因，未在规定的解密时间内对投标文件（竞争性磋商响应文件）进行解密的，其投标文件（竞争性磋商响应文件）不予接收。</w:t>
      </w:r>
    </w:p>
    <w:p w14:paraId="50A9796F">
      <w:pPr>
        <w:adjustRightInd w:val="0"/>
        <w:spacing w:before="156" w:beforeLines="50" w:after="156" w:afterLines="50" w:line="360" w:lineRule="auto"/>
        <w:ind w:firstLine="484" w:firstLineChars="202"/>
        <w:rPr>
          <w:rFonts w:ascii="仿宋" w:hAnsi="仿宋" w:eastAsia="仿宋"/>
        </w:rPr>
      </w:pPr>
      <w:r>
        <w:rPr>
          <w:rFonts w:ascii="仿宋" w:hAnsi="仿宋" w:eastAsia="仿宋"/>
          <w:sz w:val="24"/>
          <w:szCs w:val="24"/>
        </w:rPr>
        <w:t>5</w:t>
      </w:r>
      <w:r>
        <w:rPr>
          <w:rFonts w:hint="eastAsia" w:ascii="仿宋" w:hAnsi="仿宋" w:eastAsia="仿宋"/>
          <w:sz w:val="24"/>
          <w:szCs w:val="24"/>
        </w:rPr>
        <w:t>、解密完成后，供应商可登录到交易系统查看自己的投标报价。如对自己的报价内容有异议的，应在报价内容显示后20分钟内联系采购人（代理机构）进行质疑，供应商未在规定时间内提出质疑的，视为认可开标结果显示内容。</w:t>
      </w:r>
    </w:p>
    <w:p w14:paraId="10A489BE">
      <w:pPr>
        <w:pStyle w:val="2"/>
        <w:numPr>
          <w:ilvl w:val="0"/>
          <w:numId w:val="1"/>
        </w:numPr>
        <w:spacing w:before="120" w:after="120" w:line="240" w:lineRule="auto"/>
        <w:rPr>
          <w:rFonts w:ascii="仿宋" w:hAnsi="仿宋" w:eastAsia="仿宋" w:cs="仿宋"/>
          <w:bCs w:val="0"/>
          <w:kern w:val="2"/>
        </w:rPr>
      </w:pPr>
      <w:r>
        <w:rPr>
          <w:rFonts w:ascii="仿宋" w:hAnsi="仿宋" w:eastAsia="仿宋"/>
          <w:bCs w:val="0"/>
          <w:kern w:val="2"/>
        </w:rPr>
        <w:br w:type="page"/>
      </w:r>
      <w:bookmarkStart w:id="30" w:name="_Toc41326536"/>
      <w:r>
        <w:rPr>
          <w:rFonts w:hint="eastAsia" w:ascii="仿宋" w:hAnsi="仿宋" w:eastAsia="仿宋"/>
          <w:bCs w:val="0"/>
          <w:kern w:val="2"/>
        </w:rPr>
        <w:t>、供应商须知</w:t>
      </w:r>
      <w:bookmarkEnd w:id="28"/>
      <w:bookmarkEnd w:id="29"/>
      <w:bookmarkEnd w:id="30"/>
    </w:p>
    <w:p w14:paraId="1344FF84">
      <w:pPr>
        <w:jc w:val="center"/>
        <w:rPr>
          <w:rFonts w:ascii="仿宋" w:hAnsi="仿宋" w:eastAsia="仿宋" w:cs="仿宋"/>
          <w:b/>
          <w:sz w:val="32"/>
          <w:szCs w:val="32"/>
        </w:rPr>
      </w:pPr>
      <w:bookmarkStart w:id="31" w:name="_Toc19983"/>
      <w:bookmarkStart w:id="32" w:name="_Toc322589402"/>
      <w:bookmarkStart w:id="33" w:name="_Toc309416854"/>
      <w:bookmarkStart w:id="34" w:name="_Toc311235830"/>
      <w:r>
        <w:rPr>
          <w:rFonts w:hint="eastAsia" w:ascii="仿宋" w:hAnsi="仿宋" w:eastAsia="仿宋" w:cs="仿宋"/>
          <w:b/>
          <w:sz w:val="32"/>
          <w:szCs w:val="32"/>
        </w:rPr>
        <w:t>供应商须知前附表</w:t>
      </w:r>
      <w:bookmarkEnd w:id="31"/>
      <w:bookmarkEnd w:id="32"/>
      <w:bookmarkEnd w:id="33"/>
      <w:bookmarkEnd w:id="34"/>
    </w:p>
    <w:tbl>
      <w:tblPr>
        <w:tblStyle w:val="27"/>
        <w:tblW w:w="97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236"/>
        <w:gridCol w:w="1896"/>
        <w:gridCol w:w="6591"/>
      </w:tblGrid>
      <w:tr w14:paraId="60454A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90B14FD">
            <w:pPr>
              <w:overflowPunct w:val="0"/>
              <w:topLinePunct/>
              <w:spacing w:before="156" w:beforeLines="50" w:after="156" w:afterLines="50" w:line="380" w:lineRule="exact"/>
              <w:jc w:val="center"/>
              <w:textAlignment w:val="top"/>
              <w:rPr>
                <w:rFonts w:ascii="仿宋" w:hAnsi="仿宋" w:eastAsia="仿宋" w:cs="仿宋"/>
                <w:b/>
                <w:bCs/>
                <w:snapToGrid w:val="0"/>
                <w:kern w:val="0"/>
                <w:sz w:val="24"/>
                <w:szCs w:val="24"/>
              </w:rPr>
            </w:pPr>
            <w:bookmarkStart w:id="35" w:name="_Toc32265"/>
            <w:bookmarkStart w:id="36" w:name="_Toc309416855"/>
            <w:bookmarkStart w:id="37" w:name="_Toc322589403"/>
            <w:bookmarkStart w:id="38" w:name="_Toc343345461"/>
            <w:bookmarkStart w:id="39" w:name="_Toc30436"/>
            <w:bookmarkStart w:id="40" w:name="_Toc311235831"/>
            <w:bookmarkStart w:id="41" w:name="_Toc9146"/>
            <w:bookmarkStart w:id="42" w:name="_Toc4297"/>
            <w:bookmarkStart w:id="43" w:name="_Toc10856"/>
            <w:r>
              <w:rPr>
                <w:rFonts w:hint="eastAsia" w:ascii="仿宋" w:hAnsi="仿宋" w:eastAsia="仿宋" w:cs="仿宋"/>
                <w:b/>
                <w:bCs/>
                <w:snapToGrid w:val="0"/>
                <w:kern w:val="0"/>
                <w:sz w:val="24"/>
                <w:szCs w:val="24"/>
              </w:rPr>
              <w:t>条款号</w:t>
            </w:r>
          </w:p>
        </w:tc>
        <w:tc>
          <w:tcPr>
            <w:tcW w:w="1896" w:type="dxa"/>
            <w:vAlign w:val="center"/>
          </w:tcPr>
          <w:p w14:paraId="193103EE">
            <w:pPr>
              <w:overflowPunct w:val="0"/>
              <w:topLinePunct/>
              <w:spacing w:before="156" w:beforeLines="50" w:after="156" w:afterLines="50" w:line="380" w:lineRule="exact"/>
              <w:jc w:val="center"/>
              <w:textAlignment w:val="top"/>
              <w:rPr>
                <w:rFonts w:ascii="仿宋" w:hAnsi="仿宋" w:eastAsia="仿宋" w:cs="仿宋"/>
                <w:b/>
                <w:bCs/>
                <w:snapToGrid w:val="0"/>
                <w:kern w:val="0"/>
                <w:sz w:val="24"/>
                <w:szCs w:val="24"/>
              </w:rPr>
            </w:pPr>
            <w:r>
              <w:rPr>
                <w:rFonts w:hint="eastAsia" w:ascii="仿宋" w:hAnsi="仿宋" w:eastAsia="仿宋" w:cs="仿宋"/>
                <w:b/>
                <w:bCs/>
                <w:snapToGrid w:val="0"/>
                <w:kern w:val="0"/>
                <w:sz w:val="24"/>
                <w:szCs w:val="24"/>
              </w:rPr>
              <w:t>条 款 名 称</w:t>
            </w:r>
          </w:p>
        </w:tc>
        <w:tc>
          <w:tcPr>
            <w:tcW w:w="6591" w:type="dxa"/>
            <w:vAlign w:val="center"/>
          </w:tcPr>
          <w:p w14:paraId="08708905">
            <w:pPr>
              <w:overflowPunct w:val="0"/>
              <w:topLinePunct/>
              <w:spacing w:before="156" w:beforeLines="50" w:after="156" w:afterLines="50" w:line="380" w:lineRule="exact"/>
              <w:jc w:val="center"/>
              <w:textAlignment w:val="top"/>
              <w:rPr>
                <w:rFonts w:ascii="仿宋" w:hAnsi="仿宋" w:eastAsia="仿宋" w:cs="仿宋"/>
                <w:b/>
                <w:bCs/>
                <w:snapToGrid w:val="0"/>
                <w:kern w:val="0"/>
                <w:sz w:val="24"/>
                <w:szCs w:val="24"/>
              </w:rPr>
            </w:pPr>
            <w:r>
              <w:rPr>
                <w:rFonts w:hint="eastAsia" w:ascii="仿宋" w:hAnsi="仿宋" w:eastAsia="仿宋" w:cs="仿宋"/>
                <w:b/>
                <w:bCs/>
                <w:snapToGrid w:val="0"/>
                <w:kern w:val="0"/>
                <w:sz w:val="24"/>
                <w:szCs w:val="24"/>
              </w:rPr>
              <w:t>编  列  内  容</w:t>
            </w:r>
          </w:p>
        </w:tc>
      </w:tr>
      <w:tr w14:paraId="5B7171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236" w:type="dxa"/>
            <w:vAlign w:val="center"/>
          </w:tcPr>
          <w:p w14:paraId="5D3C6802">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1.1.2</w:t>
            </w:r>
          </w:p>
        </w:tc>
        <w:tc>
          <w:tcPr>
            <w:tcW w:w="1896" w:type="dxa"/>
            <w:vAlign w:val="center"/>
          </w:tcPr>
          <w:p w14:paraId="716EFAA0">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采购人</w:t>
            </w:r>
          </w:p>
        </w:tc>
        <w:tc>
          <w:tcPr>
            <w:tcW w:w="6591" w:type="dxa"/>
            <w:vAlign w:val="center"/>
          </w:tcPr>
          <w:p w14:paraId="4991CD87">
            <w:pPr>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名称：平顶山市新华区住房和城乡建设局</w:t>
            </w:r>
          </w:p>
          <w:p w14:paraId="79868231">
            <w:pPr>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地址：平顶山市曙光街西段</w:t>
            </w:r>
          </w:p>
          <w:p w14:paraId="12DC22BE">
            <w:pPr>
              <w:adjustRightInd w:val="0"/>
              <w:snapToGrid w:val="0"/>
              <w:rPr>
                <w:rFonts w:hint="eastAsia" w:ascii="仿宋" w:hAnsi="仿宋" w:eastAsia="仿宋" w:cs="仿宋"/>
                <w:kern w:val="0"/>
                <w:sz w:val="24"/>
                <w:szCs w:val="24"/>
                <w:highlight w:val="none"/>
                <w:shd w:val="clear" w:color="auto" w:fill="FFFFFF"/>
                <w:lang w:eastAsia="zh-CN"/>
              </w:rPr>
            </w:pPr>
            <w:r>
              <w:rPr>
                <w:rFonts w:hint="eastAsia" w:ascii="仿宋" w:hAnsi="仿宋" w:eastAsia="仿宋" w:cs="仿宋"/>
                <w:kern w:val="0"/>
                <w:sz w:val="24"/>
                <w:szCs w:val="24"/>
                <w:highlight w:val="none"/>
                <w:shd w:val="clear" w:color="auto" w:fill="FFFFFF"/>
              </w:rPr>
              <w:t>联系人：</w:t>
            </w:r>
            <w:r>
              <w:rPr>
                <w:rFonts w:hint="eastAsia" w:ascii="仿宋" w:hAnsi="仿宋" w:eastAsia="仿宋" w:cs="仿宋"/>
                <w:kern w:val="0"/>
                <w:sz w:val="24"/>
                <w:szCs w:val="24"/>
                <w:highlight w:val="none"/>
                <w:shd w:val="clear" w:color="auto" w:fill="FFFFFF"/>
                <w:lang w:val="en-US" w:eastAsia="zh-CN"/>
              </w:rPr>
              <w:t>胡女士</w:t>
            </w:r>
          </w:p>
          <w:p w14:paraId="1D324387">
            <w:pPr>
              <w:adjustRightInd w:val="0"/>
              <w:snapToGrid w:val="0"/>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联系方式：0375-7665206</w:t>
            </w:r>
          </w:p>
        </w:tc>
      </w:tr>
      <w:tr w14:paraId="072091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2A0DA86D">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1.1.3</w:t>
            </w:r>
          </w:p>
        </w:tc>
        <w:tc>
          <w:tcPr>
            <w:tcW w:w="1896" w:type="dxa"/>
            <w:vAlign w:val="center"/>
          </w:tcPr>
          <w:p w14:paraId="6903223B">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采购代理机构</w:t>
            </w:r>
          </w:p>
        </w:tc>
        <w:tc>
          <w:tcPr>
            <w:tcW w:w="6591" w:type="dxa"/>
            <w:vAlign w:val="center"/>
          </w:tcPr>
          <w:p w14:paraId="384519F6">
            <w:pPr>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名称：河南致诚弘亿工程管理有限公司</w:t>
            </w:r>
          </w:p>
          <w:p w14:paraId="4E01B4C1">
            <w:pPr>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地址：平顶山市新华区光明路北段中原商场家属院2楼商铺201号</w:t>
            </w:r>
          </w:p>
          <w:p w14:paraId="32802768">
            <w:pPr>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联系人：</w:t>
            </w:r>
            <w:r>
              <w:rPr>
                <w:rFonts w:hint="eastAsia" w:ascii="仿宋" w:hAnsi="仿宋" w:eastAsia="仿宋" w:cs="仿宋"/>
                <w:kern w:val="0"/>
                <w:sz w:val="24"/>
                <w:szCs w:val="24"/>
                <w:shd w:val="clear" w:color="auto" w:fill="FFFFFF"/>
                <w:lang w:val="en-US" w:eastAsia="zh-CN"/>
              </w:rPr>
              <w:t>孙</w:t>
            </w:r>
            <w:r>
              <w:rPr>
                <w:rFonts w:hint="eastAsia" w:ascii="仿宋" w:hAnsi="仿宋" w:eastAsia="仿宋" w:cs="仿宋"/>
                <w:kern w:val="0"/>
                <w:sz w:val="24"/>
                <w:szCs w:val="24"/>
                <w:shd w:val="clear" w:color="auto" w:fill="FFFFFF"/>
              </w:rPr>
              <w:t>女士</w:t>
            </w:r>
          </w:p>
          <w:p w14:paraId="79748BB5">
            <w:pPr>
              <w:rPr>
                <w:rFonts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联系方式：0375-7502336 17527515377</w:t>
            </w:r>
          </w:p>
        </w:tc>
      </w:tr>
      <w:tr w14:paraId="22BC2C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61" w:hRule="atLeast"/>
          <w:jc w:val="center"/>
        </w:trPr>
        <w:tc>
          <w:tcPr>
            <w:tcW w:w="1236" w:type="dxa"/>
            <w:vAlign w:val="center"/>
          </w:tcPr>
          <w:p w14:paraId="076E068D">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1.1.4</w:t>
            </w:r>
          </w:p>
        </w:tc>
        <w:tc>
          <w:tcPr>
            <w:tcW w:w="1896" w:type="dxa"/>
            <w:vAlign w:val="center"/>
          </w:tcPr>
          <w:p w14:paraId="22FE003A">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项目名称</w:t>
            </w:r>
          </w:p>
        </w:tc>
        <w:tc>
          <w:tcPr>
            <w:tcW w:w="6591" w:type="dxa"/>
            <w:vAlign w:val="center"/>
          </w:tcPr>
          <w:p w14:paraId="055B82F9">
            <w:pPr>
              <w:spacing w:line="360" w:lineRule="auto"/>
              <w:jc w:val="left"/>
              <w:rPr>
                <w:rFonts w:hint="eastAsia" w:ascii="仿宋" w:hAnsi="仿宋" w:eastAsia="仿宋" w:cs="仿宋"/>
                <w:snapToGrid w:val="0"/>
                <w:kern w:val="0"/>
                <w:sz w:val="24"/>
                <w:szCs w:val="24"/>
                <w:lang w:eastAsia="zh-CN"/>
              </w:rPr>
            </w:pPr>
            <w:r>
              <w:rPr>
                <w:rFonts w:hint="eastAsia" w:ascii="仿宋" w:hAnsi="仿宋" w:eastAsia="仿宋" w:cs="仿宋"/>
                <w:sz w:val="24"/>
                <w:szCs w:val="24"/>
                <w:lang w:eastAsia="zh-CN"/>
              </w:rPr>
              <w:t>平顶山市新华区住房和城乡建设局平顶山市新华区城市更新实施方案编制项目</w:t>
            </w:r>
          </w:p>
        </w:tc>
      </w:tr>
      <w:tr w14:paraId="2624F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27F1CA68">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1.1.5</w:t>
            </w:r>
          </w:p>
        </w:tc>
        <w:tc>
          <w:tcPr>
            <w:tcW w:w="1896" w:type="dxa"/>
            <w:vAlign w:val="center"/>
          </w:tcPr>
          <w:p w14:paraId="01EEC4A9">
            <w:pPr>
              <w:overflowPunct w:val="0"/>
              <w:topLinePunct/>
              <w:jc w:val="center"/>
              <w:textAlignment w:val="top"/>
              <w:rPr>
                <w:rFonts w:hint="eastAsia" w:ascii="仿宋" w:hAnsi="仿宋" w:eastAsia="仿宋" w:cs="仿宋"/>
                <w:sz w:val="24"/>
                <w:szCs w:val="24"/>
              </w:rPr>
            </w:pPr>
            <w:r>
              <w:rPr>
                <w:rFonts w:hint="eastAsia" w:ascii="仿宋" w:hAnsi="仿宋" w:eastAsia="仿宋" w:cs="仿宋"/>
                <w:sz w:val="24"/>
                <w:szCs w:val="24"/>
              </w:rPr>
              <w:t>服务地点</w:t>
            </w:r>
          </w:p>
        </w:tc>
        <w:tc>
          <w:tcPr>
            <w:tcW w:w="6591" w:type="dxa"/>
            <w:vAlign w:val="center"/>
          </w:tcPr>
          <w:p w14:paraId="012FD4E2">
            <w:pPr>
              <w:spacing w:line="360" w:lineRule="auto"/>
              <w:jc w:val="left"/>
              <w:rPr>
                <w:rFonts w:hint="eastAsia" w:ascii="仿宋" w:hAnsi="仿宋" w:eastAsia="仿宋" w:cs="仿宋"/>
                <w:sz w:val="24"/>
                <w:szCs w:val="24"/>
              </w:rPr>
            </w:pPr>
            <w:r>
              <w:rPr>
                <w:rFonts w:hint="eastAsia" w:ascii="仿宋" w:hAnsi="仿宋" w:eastAsia="仿宋" w:cs="仿宋"/>
                <w:sz w:val="24"/>
                <w:szCs w:val="24"/>
              </w:rPr>
              <w:t>采购人指定地点</w:t>
            </w:r>
          </w:p>
        </w:tc>
      </w:tr>
      <w:tr w14:paraId="4992E4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73166FA1">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1.2.1</w:t>
            </w:r>
          </w:p>
        </w:tc>
        <w:tc>
          <w:tcPr>
            <w:tcW w:w="1896" w:type="dxa"/>
            <w:vAlign w:val="center"/>
          </w:tcPr>
          <w:p w14:paraId="3EC557F8">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资金来源</w:t>
            </w:r>
          </w:p>
        </w:tc>
        <w:tc>
          <w:tcPr>
            <w:tcW w:w="6591" w:type="dxa"/>
            <w:vAlign w:val="center"/>
          </w:tcPr>
          <w:p w14:paraId="33CC8EE6">
            <w:pPr>
              <w:overflowPunct w:val="0"/>
              <w:topLinePunct/>
              <w:spacing w:line="360" w:lineRule="auto"/>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财政资金</w:t>
            </w:r>
          </w:p>
        </w:tc>
      </w:tr>
      <w:tr w14:paraId="4678AE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236" w:type="dxa"/>
            <w:vAlign w:val="center"/>
          </w:tcPr>
          <w:p w14:paraId="234844ED">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1.2.3</w:t>
            </w:r>
          </w:p>
        </w:tc>
        <w:tc>
          <w:tcPr>
            <w:tcW w:w="1896" w:type="dxa"/>
            <w:vAlign w:val="center"/>
          </w:tcPr>
          <w:p w14:paraId="268902E1">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资金落实情况</w:t>
            </w:r>
          </w:p>
        </w:tc>
        <w:tc>
          <w:tcPr>
            <w:tcW w:w="6591" w:type="dxa"/>
            <w:vAlign w:val="center"/>
          </w:tcPr>
          <w:p w14:paraId="71402FDA">
            <w:pPr>
              <w:overflowPunct w:val="0"/>
              <w:topLinePunct/>
              <w:spacing w:line="360" w:lineRule="auto"/>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已落实</w:t>
            </w:r>
          </w:p>
        </w:tc>
      </w:tr>
      <w:tr w14:paraId="3C2DE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1236" w:type="dxa"/>
            <w:vAlign w:val="center"/>
          </w:tcPr>
          <w:p w14:paraId="1EC31C89">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1.3.1</w:t>
            </w:r>
          </w:p>
        </w:tc>
        <w:tc>
          <w:tcPr>
            <w:tcW w:w="1896" w:type="dxa"/>
            <w:vAlign w:val="center"/>
          </w:tcPr>
          <w:p w14:paraId="3E2A6A78">
            <w:pPr>
              <w:overflowPunct w:val="0"/>
              <w:topLinePunct/>
              <w:jc w:val="center"/>
              <w:textAlignment w:val="top"/>
              <w:rPr>
                <w:rFonts w:ascii="仿宋" w:hAnsi="仿宋" w:eastAsia="仿宋" w:cs="仿宋"/>
                <w:sz w:val="24"/>
                <w:szCs w:val="24"/>
                <w:highlight w:val="none"/>
              </w:rPr>
            </w:pPr>
            <w:r>
              <w:rPr>
                <w:rFonts w:hint="eastAsia" w:ascii="仿宋" w:hAnsi="仿宋" w:eastAsia="仿宋"/>
                <w:sz w:val="24"/>
                <w:szCs w:val="24"/>
                <w:highlight w:val="none"/>
                <w:lang w:val="en-US" w:eastAsia="zh-CN"/>
              </w:rPr>
              <w:t>服务内容</w:t>
            </w:r>
          </w:p>
        </w:tc>
        <w:tc>
          <w:tcPr>
            <w:tcW w:w="6591" w:type="dxa"/>
            <w:vAlign w:val="center"/>
          </w:tcPr>
          <w:p w14:paraId="240CA871">
            <w:pPr>
              <w:pStyle w:val="24"/>
              <w:spacing w:before="156" w:beforeLines="50" w:beforeAutospacing="0" w:after="156" w:afterLines="50" w:afterAutospacing="0"/>
              <w:rPr>
                <w:rFonts w:ascii="仿宋" w:hAnsi="仿宋" w:eastAsia="仿宋" w:cs="仿宋"/>
                <w:sz w:val="24"/>
                <w:szCs w:val="24"/>
                <w:highlight w:val="none"/>
              </w:rPr>
            </w:pPr>
            <w:r>
              <w:rPr>
                <w:rFonts w:hint="eastAsia" w:ascii="仿宋" w:hAnsi="仿宋" w:eastAsia="仿宋"/>
                <w:sz w:val="24"/>
                <w:szCs w:val="24"/>
                <w:highlight w:val="none"/>
              </w:rPr>
              <w:t>平顶山市新华区城市更新实施方案编制及咨询服务，并完成相关实施方案</w:t>
            </w:r>
            <w:r>
              <w:rPr>
                <w:rFonts w:hint="eastAsia" w:ascii="仿宋" w:hAnsi="仿宋" w:eastAsia="仿宋"/>
                <w:sz w:val="24"/>
                <w:szCs w:val="24"/>
                <w:highlight w:val="none"/>
                <w:lang w:val="en-US" w:eastAsia="zh-CN"/>
              </w:rPr>
              <w:t>和</w:t>
            </w:r>
            <w:r>
              <w:rPr>
                <w:rFonts w:hint="eastAsia" w:ascii="仿宋" w:hAnsi="仿宋" w:eastAsia="仿宋"/>
                <w:sz w:val="24"/>
                <w:szCs w:val="24"/>
                <w:highlight w:val="none"/>
              </w:rPr>
              <w:t>实施项目清单，详细内容见磋商文件第五章“</w:t>
            </w:r>
            <w:r>
              <w:rPr>
                <w:rFonts w:hint="eastAsia" w:ascii="仿宋" w:hAnsi="仿宋" w:eastAsia="仿宋"/>
                <w:sz w:val="24"/>
                <w:szCs w:val="24"/>
                <w:highlight w:val="none"/>
                <w:lang w:val="en-US" w:eastAsia="zh-CN"/>
              </w:rPr>
              <w:t>服务</w:t>
            </w:r>
            <w:r>
              <w:rPr>
                <w:rFonts w:hint="eastAsia" w:ascii="仿宋" w:hAnsi="仿宋" w:eastAsia="仿宋"/>
                <w:sz w:val="24"/>
                <w:szCs w:val="24"/>
                <w:highlight w:val="none"/>
              </w:rPr>
              <w:t>内容和要求”。</w:t>
            </w:r>
          </w:p>
        </w:tc>
      </w:tr>
      <w:tr w14:paraId="361194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1" w:hRule="atLeast"/>
          <w:jc w:val="center"/>
        </w:trPr>
        <w:tc>
          <w:tcPr>
            <w:tcW w:w="1236" w:type="dxa"/>
            <w:vAlign w:val="center"/>
          </w:tcPr>
          <w:p w14:paraId="4868F08D">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1.3.2</w:t>
            </w:r>
          </w:p>
        </w:tc>
        <w:tc>
          <w:tcPr>
            <w:tcW w:w="1896" w:type="dxa"/>
            <w:vAlign w:val="center"/>
          </w:tcPr>
          <w:p w14:paraId="7CE11EFF">
            <w:pPr>
              <w:overflowPunct w:val="0"/>
              <w:topLinePunct/>
              <w:jc w:val="center"/>
              <w:textAlignment w:val="top"/>
              <w:rPr>
                <w:rFonts w:ascii="仿宋" w:hAnsi="仿宋" w:eastAsia="仿宋" w:cs="仿宋"/>
                <w:sz w:val="24"/>
                <w:szCs w:val="24"/>
                <w:highlight w:val="none"/>
              </w:rPr>
            </w:pPr>
            <w:r>
              <w:rPr>
                <w:rFonts w:hint="eastAsia" w:ascii="仿宋" w:hAnsi="仿宋" w:eastAsia="仿宋" w:cs="仿宋"/>
                <w:sz w:val="24"/>
                <w:szCs w:val="24"/>
                <w:highlight w:val="none"/>
              </w:rPr>
              <w:t>服务期限</w:t>
            </w:r>
          </w:p>
        </w:tc>
        <w:tc>
          <w:tcPr>
            <w:tcW w:w="6591" w:type="dxa"/>
            <w:vAlign w:val="center"/>
          </w:tcPr>
          <w:p w14:paraId="636F0B4E">
            <w:pPr>
              <w:pStyle w:val="61"/>
              <w:spacing w:before="100" w:beforeAutospacing="1" w:after="100" w:afterAutospacing="1" w:line="360" w:lineRule="auto"/>
              <w:ind w:firstLine="0" w:firstLineChars="0"/>
              <w:jc w:val="left"/>
              <w:rPr>
                <w:rFonts w:hint="default"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两年</w:t>
            </w:r>
          </w:p>
        </w:tc>
      </w:tr>
      <w:tr w14:paraId="0EB13B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B6C0223">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1.3.3</w:t>
            </w:r>
          </w:p>
        </w:tc>
        <w:tc>
          <w:tcPr>
            <w:tcW w:w="1896" w:type="dxa"/>
            <w:vAlign w:val="center"/>
          </w:tcPr>
          <w:p w14:paraId="599ADE3E">
            <w:pPr>
              <w:overflowPunct w:val="0"/>
              <w:topLinePunct/>
              <w:jc w:val="center"/>
              <w:textAlignment w:val="top"/>
              <w:rPr>
                <w:rFonts w:hint="eastAsia" w:ascii="仿宋" w:hAnsi="仿宋" w:eastAsia="仿宋" w:cs="仿宋"/>
                <w:sz w:val="24"/>
                <w:szCs w:val="24"/>
              </w:rPr>
            </w:pPr>
            <w:r>
              <w:rPr>
                <w:rFonts w:hint="eastAsia" w:ascii="仿宋" w:hAnsi="仿宋" w:eastAsia="仿宋" w:cs="仿宋"/>
                <w:sz w:val="24"/>
                <w:szCs w:val="24"/>
                <w:lang w:val="en-US" w:eastAsia="zh-CN"/>
              </w:rPr>
              <w:t>服务</w:t>
            </w:r>
            <w:r>
              <w:rPr>
                <w:rFonts w:hint="eastAsia" w:ascii="仿宋" w:hAnsi="仿宋" w:eastAsia="仿宋" w:cs="仿宋"/>
                <w:sz w:val="24"/>
                <w:szCs w:val="24"/>
              </w:rPr>
              <w:t>要求</w:t>
            </w:r>
          </w:p>
        </w:tc>
        <w:tc>
          <w:tcPr>
            <w:tcW w:w="6591" w:type="dxa"/>
            <w:vAlign w:val="center"/>
          </w:tcPr>
          <w:p w14:paraId="254CCF16">
            <w:pPr>
              <w:overflowPunct w:val="0"/>
              <w:topLinePunct/>
              <w:jc w:val="both"/>
              <w:textAlignment w:val="top"/>
              <w:rPr>
                <w:rFonts w:hint="eastAsia" w:ascii="仿宋" w:hAnsi="仿宋" w:eastAsia="仿宋" w:cs="仿宋"/>
                <w:sz w:val="24"/>
                <w:szCs w:val="24"/>
              </w:rPr>
            </w:pPr>
            <w:r>
              <w:rPr>
                <w:rFonts w:hint="eastAsia" w:ascii="仿宋" w:hAnsi="仿宋" w:eastAsia="仿宋" w:cs="仿宋"/>
                <w:sz w:val="24"/>
                <w:szCs w:val="24"/>
              </w:rPr>
              <w:t>符合国家、地区及行业的有关政策、法规及规范要求</w:t>
            </w:r>
          </w:p>
        </w:tc>
      </w:tr>
      <w:tr w14:paraId="437010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236" w:type="dxa"/>
            <w:vAlign w:val="center"/>
          </w:tcPr>
          <w:p w14:paraId="403D2801">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1.4.1</w:t>
            </w:r>
          </w:p>
        </w:tc>
        <w:tc>
          <w:tcPr>
            <w:tcW w:w="1896" w:type="dxa"/>
            <w:vAlign w:val="center"/>
          </w:tcPr>
          <w:p w14:paraId="05349432">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供应商资质条件</w:t>
            </w:r>
          </w:p>
        </w:tc>
        <w:tc>
          <w:tcPr>
            <w:tcW w:w="6591" w:type="dxa"/>
            <w:vAlign w:val="center"/>
          </w:tcPr>
          <w:p w14:paraId="4D25EFDF">
            <w:pPr>
              <w:jc w:val="left"/>
              <w:rPr>
                <w:rFonts w:ascii="仿宋" w:hAnsi="仿宋" w:eastAsia="仿宋" w:cs="仿宋"/>
                <w:kern w:val="0"/>
                <w:sz w:val="24"/>
                <w:szCs w:val="24"/>
                <w:shd w:val="clear" w:color="auto" w:fill="FFFFFF"/>
              </w:rPr>
            </w:pPr>
            <w:r>
              <w:rPr>
                <w:rFonts w:hint="eastAsia" w:ascii="仿宋" w:hAnsi="仿宋" w:eastAsia="仿宋" w:cs="仿宋"/>
                <w:sz w:val="24"/>
                <w:szCs w:val="24"/>
              </w:rPr>
              <w:t>见“第一章、竞争性磋商公告”二、申请人资格要求：</w:t>
            </w:r>
          </w:p>
        </w:tc>
      </w:tr>
      <w:tr w14:paraId="7C9AAE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3D2AA50F">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1.4.2</w:t>
            </w:r>
          </w:p>
        </w:tc>
        <w:tc>
          <w:tcPr>
            <w:tcW w:w="1896" w:type="dxa"/>
            <w:vAlign w:val="center"/>
          </w:tcPr>
          <w:p w14:paraId="280B0831">
            <w:pPr>
              <w:overflowPunct w:val="0"/>
              <w:topLinePunct/>
              <w:jc w:val="center"/>
              <w:textAlignment w:val="top"/>
              <w:rPr>
                <w:rFonts w:ascii="仿宋" w:hAnsi="仿宋" w:eastAsia="仿宋" w:cs="仿宋"/>
                <w:sz w:val="24"/>
                <w:szCs w:val="24"/>
                <w:highlight w:val="none"/>
              </w:rPr>
            </w:pPr>
            <w:r>
              <w:rPr>
                <w:rFonts w:hint="eastAsia" w:ascii="仿宋" w:hAnsi="仿宋" w:eastAsia="仿宋" w:cs="仿宋"/>
                <w:sz w:val="24"/>
                <w:szCs w:val="24"/>
                <w:highlight w:val="none"/>
              </w:rPr>
              <w:t>是否接受联合体投标</w:t>
            </w:r>
          </w:p>
        </w:tc>
        <w:tc>
          <w:tcPr>
            <w:tcW w:w="6591" w:type="dxa"/>
            <w:vAlign w:val="center"/>
          </w:tcPr>
          <w:p w14:paraId="4A460E2D">
            <w:pPr>
              <w:overflowPunct w:val="0"/>
              <w:topLinePunct/>
              <w:spacing w:line="380" w:lineRule="exact"/>
              <w:jc w:val="left"/>
              <w:textAlignment w:val="top"/>
              <w:rPr>
                <w:rFonts w:ascii="仿宋" w:hAnsi="仿宋" w:eastAsia="仿宋" w:cs="仿宋"/>
                <w:snapToGrid w:val="0"/>
                <w:kern w:val="0"/>
                <w:sz w:val="24"/>
                <w:szCs w:val="24"/>
                <w:highlight w:val="none"/>
              </w:rPr>
            </w:pPr>
            <w:r>
              <w:rPr>
                <w:rFonts w:hint="eastAsia" w:ascii="仿宋" w:hAnsi="仿宋" w:eastAsia="仿宋" w:cs="仿宋"/>
                <w:snapToGrid w:val="0"/>
                <w:kern w:val="0"/>
                <w:sz w:val="24"/>
                <w:szCs w:val="24"/>
                <w:highlight w:val="none"/>
              </w:rPr>
              <w:t>接受</w:t>
            </w:r>
          </w:p>
        </w:tc>
      </w:tr>
      <w:tr w14:paraId="67702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513795E">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1.9</w:t>
            </w:r>
          </w:p>
        </w:tc>
        <w:tc>
          <w:tcPr>
            <w:tcW w:w="1896" w:type="dxa"/>
            <w:vAlign w:val="center"/>
          </w:tcPr>
          <w:p w14:paraId="6723ECC7">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踏勘现场</w:t>
            </w:r>
          </w:p>
        </w:tc>
        <w:tc>
          <w:tcPr>
            <w:tcW w:w="6591" w:type="dxa"/>
            <w:vAlign w:val="center"/>
          </w:tcPr>
          <w:p w14:paraId="683F8221">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不组织</w:t>
            </w:r>
          </w:p>
        </w:tc>
      </w:tr>
      <w:tr w14:paraId="7C4105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44DF1A1">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1.10</w:t>
            </w:r>
          </w:p>
        </w:tc>
        <w:tc>
          <w:tcPr>
            <w:tcW w:w="1896" w:type="dxa"/>
            <w:vAlign w:val="center"/>
          </w:tcPr>
          <w:p w14:paraId="4D3B8AA0">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投标预备会</w:t>
            </w:r>
          </w:p>
        </w:tc>
        <w:tc>
          <w:tcPr>
            <w:tcW w:w="6591" w:type="dxa"/>
            <w:vAlign w:val="center"/>
          </w:tcPr>
          <w:p w14:paraId="0041ED80">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不召开</w:t>
            </w:r>
          </w:p>
        </w:tc>
      </w:tr>
      <w:tr w14:paraId="2F9BF1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5" w:hRule="atLeast"/>
          <w:jc w:val="center"/>
        </w:trPr>
        <w:tc>
          <w:tcPr>
            <w:tcW w:w="1236" w:type="dxa"/>
            <w:vAlign w:val="center"/>
          </w:tcPr>
          <w:p w14:paraId="656A4929">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1.10.2</w:t>
            </w:r>
          </w:p>
        </w:tc>
        <w:tc>
          <w:tcPr>
            <w:tcW w:w="1896" w:type="dxa"/>
            <w:vAlign w:val="center"/>
          </w:tcPr>
          <w:p w14:paraId="3985A8E6">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供应商提出问题的截止时间</w:t>
            </w:r>
          </w:p>
        </w:tc>
        <w:tc>
          <w:tcPr>
            <w:tcW w:w="6591" w:type="dxa"/>
            <w:vAlign w:val="center"/>
          </w:tcPr>
          <w:p w14:paraId="57AD54D2">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w:t>
            </w:r>
            <w:r>
              <w:rPr>
                <w:rFonts w:ascii="仿宋" w:hAnsi="仿宋" w:eastAsia="仿宋" w:cs="仿宋"/>
                <w:snapToGrid w:val="0"/>
                <w:kern w:val="0"/>
                <w:sz w:val="24"/>
                <w:szCs w:val="24"/>
              </w:rPr>
              <w:t>5</w:t>
            </w:r>
            <w:r>
              <w:rPr>
                <w:rFonts w:hint="eastAsia" w:ascii="仿宋" w:hAnsi="仿宋" w:eastAsia="仿宋" w:cs="仿宋"/>
                <w:snapToGrid w:val="0"/>
                <w:kern w:val="0"/>
                <w:sz w:val="24"/>
                <w:szCs w:val="24"/>
              </w:rPr>
              <w:t>天前</w:t>
            </w:r>
          </w:p>
        </w:tc>
      </w:tr>
      <w:tr w14:paraId="7DC5F2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0C8312D9">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1.10.3</w:t>
            </w:r>
          </w:p>
        </w:tc>
        <w:tc>
          <w:tcPr>
            <w:tcW w:w="1896" w:type="dxa"/>
            <w:vAlign w:val="center"/>
          </w:tcPr>
          <w:p w14:paraId="1B76C635">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采购人书面澄清的时间</w:t>
            </w:r>
          </w:p>
        </w:tc>
        <w:tc>
          <w:tcPr>
            <w:tcW w:w="6591" w:type="dxa"/>
            <w:vAlign w:val="center"/>
          </w:tcPr>
          <w:p w14:paraId="369E9BA6">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w:t>
            </w:r>
            <w:r>
              <w:rPr>
                <w:rFonts w:ascii="仿宋" w:hAnsi="仿宋" w:eastAsia="仿宋" w:cs="仿宋"/>
                <w:snapToGrid w:val="0"/>
                <w:kern w:val="0"/>
                <w:sz w:val="24"/>
                <w:szCs w:val="24"/>
              </w:rPr>
              <w:t>5</w:t>
            </w:r>
            <w:r>
              <w:rPr>
                <w:rFonts w:hint="eastAsia" w:ascii="仿宋" w:hAnsi="仿宋" w:eastAsia="仿宋" w:cs="仿宋"/>
                <w:snapToGrid w:val="0"/>
                <w:kern w:val="0"/>
                <w:sz w:val="24"/>
                <w:szCs w:val="24"/>
              </w:rPr>
              <w:t>天前</w:t>
            </w:r>
          </w:p>
        </w:tc>
      </w:tr>
      <w:tr w14:paraId="3F8E39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2DEA09B0">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1.11</w:t>
            </w:r>
          </w:p>
        </w:tc>
        <w:tc>
          <w:tcPr>
            <w:tcW w:w="1896" w:type="dxa"/>
            <w:vAlign w:val="center"/>
          </w:tcPr>
          <w:p w14:paraId="06827963">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分包</w:t>
            </w:r>
          </w:p>
        </w:tc>
        <w:tc>
          <w:tcPr>
            <w:tcW w:w="6591" w:type="dxa"/>
            <w:vAlign w:val="center"/>
          </w:tcPr>
          <w:p w14:paraId="56777346">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不允许</w:t>
            </w:r>
          </w:p>
        </w:tc>
      </w:tr>
      <w:tr w14:paraId="29200E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4E539EE3">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1.12</w:t>
            </w:r>
          </w:p>
        </w:tc>
        <w:tc>
          <w:tcPr>
            <w:tcW w:w="1896" w:type="dxa"/>
            <w:vAlign w:val="center"/>
          </w:tcPr>
          <w:p w14:paraId="79034D98">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偏离</w:t>
            </w:r>
          </w:p>
        </w:tc>
        <w:tc>
          <w:tcPr>
            <w:tcW w:w="6591" w:type="dxa"/>
            <w:vAlign w:val="center"/>
          </w:tcPr>
          <w:p w14:paraId="0EC4A5FA">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不允许</w:t>
            </w:r>
          </w:p>
        </w:tc>
      </w:tr>
      <w:tr w14:paraId="7478D5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4DE11A02">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2.1</w:t>
            </w:r>
          </w:p>
        </w:tc>
        <w:tc>
          <w:tcPr>
            <w:tcW w:w="1896" w:type="dxa"/>
            <w:vAlign w:val="center"/>
          </w:tcPr>
          <w:p w14:paraId="4FAF99EA">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构成竞争性磋商文件的其他材料</w:t>
            </w:r>
          </w:p>
        </w:tc>
        <w:tc>
          <w:tcPr>
            <w:tcW w:w="6591" w:type="dxa"/>
            <w:vAlign w:val="center"/>
          </w:tcPr>
          <w:p w14:paraId="1EB08206">
            <w:pPr>
              <w:overflowPunct w:val="0"/>
              <w:topLinePunct/>
              <w:spacing w:line="360" w:lineRule="auto"/>
              <w:jc w:val="left"/>
              <w:textAlignment w:val="top"/>
              <w:rPr>
                <w:rFonts w:ascii="仿宋" w:hAnsi="仿宋" w:eastAsia="仿宋" w:cs="仿宋"/>
                <w:snapToGrid w:val="0"/>
                <w:kern w:val="0"/>
                <w:sz w:val="24"/>
                <w:szCs w:val="24"/>
              </w:rPr>
            </w:pPr>
            <w:r>
              <w:rPr>
                <w:rFonts w:hint="eastAsia" w:ascii="仿宋" w:hAnsi="仿宋" w:eastAsia="仿宋" w:cs="仿宋"/>
                <w:sz w:val="24"/>
                <w:szCs w:val="24"/>
              </w:rPr>
              <w:t>采购人或采购代理机构发出的补遗书和其他正式有效函件</w:t>
            </w:r>
          </w:p>
        </w:tc>
      </w:tr>
      <w:tr w14:paraId="734614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AAD2215">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2.2.1</w:t>
            </w:r>
          </w:p>
        </w:tc>
        <w:tc>
          <w:tcPr>
            <w:tcW w:w="1896" w:type="dxa"/>
            <w:vAlign w:val="center"/>
          </w:tcPr>
          <w:p w14:paraId="3F0158DE">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供应商要求澄清竞争性磋商文件的截止时间</w:t>
            </w:r>
          </w:p>
        </w:tc>
        <w:tc>
          <w:tcPr>
            <w:tcW w:w="6591" w:type="dxa"/>
            <w:vAlign w:val="center"/>
          </w:tcPr>
          <w:p w14:paraId="31BB234D">
            <w:pPr>
              <w:overflowPunct w:val="0"/>
              <w:topLinePunct/>
              <w:spacing w:line="380" w:lineRule="exact"/>
              <w:jc w:val="lef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w:t>
            </w:r>
            <w:r>
              <w:rPr>
                <w:rFonts w:ascii="仿宋" w:hAnsi="仿宋" w:eastAsia="仿宋" w:cs="仿宋"/>
                <w:snapToGrid w:val="0"/>
                <w:kern w:val="0"/>
                <w:sz w:val="24"/>
                <w:szCs w:val="24"/>
              </w:rPr>
              <w:t>5</w:t>
            </w:r>
            <w:r>
              <w:rPr>
                <w:rFonts w:hint="eastAsia" w:ascii="仿宋" w:hAnsi="仿宋" w:eastAsia="仿宋" w:cs="仿宋"/>
                <w:snapToGrid w:val="0"/>
                <w:kern w:val="0"/>
                <w:sz w:val="24"/>
                <w:szCs w:val="24"/>
              </w:rPr>
              <w:t>天前</w:t>
            </w:r>
          </w:p>
        </w:tc>
      </w:tr>
      <w:tr w14:paraId="2E5843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629F3952">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2.2.2</w:t>
            </w:r>
          </w:p>
        </w:tc>
        <w:tc>
          <w:tcPr>
            <w:tcW w:w="1896" w:type="dxa"/>
            <w:vAlign w:val="center"/>
          </w:tcPr>
          <w:p w14:paraId="1166E6B8">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lang w:val="en-US" w:eastAsia="zh-CN"/>
              </w:rPr>
              <w:t>响应截止</w:t>
            </w:r>
            <w:r>
              <w:rPr>
                <w:rFonts w:hint="eastAsia" w:ascii="仿宋" w:hAnsi="仿宋" w:eastAsia="仿宋" w:cs="仿宋"/>
                <w:sz w:val="24"/>
                <w:szCs w:val="24"/>
              </w:rPr>
              <w:t>时间</w:t>
            </w:r>
          </w:p>
        </w:tc>
        <w:tc>
          <w:tcPr>
            <w:tcW w:w="6591" w:type="dxa"/>
            <w:vAlign w:val="center"/>
          </w:tcPr>
          <w:p w14:paraId="33ADD1D9">
            <w:pPr>
              <w:overflowPunct w:val="0"/>
              <w:topLinePunct/>
              <w:spacing w:line="380" w:lineRule="exact"/>
              <w:textAlignment w:val="top"/>
              <w:rPr>
                <w:rFonts w:hint="default" w:ascii="仿宋" w:hAnsi="仿宋" w:eastAsia="仿宋" w:cs="仿宋"/>
                <w:snapToGrid w:val="0"/>
                <w:kern w:val="0"/>
                <w:sz w:val="24"/>
                <w:szCs w:val="24"/>
                <w:lang w:val="en-US" w:eastAsia="zh-CN"/>
              </w:rPr>
            </w:pPr>
            <w:r>
              <w:rPr>
                <w:rFonts w:hint="eastAsia" w:ascii="仿宋" w:hAnsi="仿宋" w:eastAsia="仿宋"/>
                <w:sz w:val="24"/>
                <w:szCs w:val="24"/>
                <w:highlight w:val="none"/>
                <w:lang w:val="en-US" w:eastAsia="zh-CN"/>
              </w:rPr>
              <w:t>详见竞争性磋商公告</w:t>
            </w:r>
          </w:p>
        </w:tc>
      </w:tr>
      <w:tr w14:paraId="29C31D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0B2B24DE">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2.2.3</w:t>
            </w:r>
          </w:p>
        </w:tc>
        <w:tc>
          <w:tcPr>
            <w:tcW w:w="1896" w:type="dxa"/>
            <w:vAlign w:val="center"/>
          </w:tcPr>
          <w:p w14:paraId="11321A83">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供应商确认收到竞争性磋商文件澄清的时间</w:t>
            </w:r>
          </w:p>
        </w:tc>
        <w:tc>
          <w:tcPr>
            <w:tcW w:w="6591" w:type="dxa"/>
            <w:vAlign w:val="center"/>
          </w:tcPr>
          <w:p w14:paraId="4A2FE077">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在收到澄清文件后24小时内</w:t>
            </w:r>
          </w:p>
        </w:tc>
      </w:tr>
      <w:tr w14:paraId="1FC055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3D3C9F28">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2.3.2</w:t>
            </w:r>
          </w:p>
        </w:tc>
        <w:tc>
          <w:tcPr>
            <w:tcW w:w="1896" w:type="dxa"/>
            <w:vAlign w:val="center"/>
          </w:tcPr>
          <w:p w14:paraId="59B29BAB">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供应商确认收到竞争性磋商文件修改的时间</w:t>
            </w:r>
          </w:p>
        </w:tc>
        <w:tc>
          <w:tcPr>
            <w:tcW w:w="6591" w:type="dxa"/>
            <w:vAlign w:val="center"/>
          </w:tcPr>
          <w:p w14:paraId="340ADCAB">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在收到修改文件后24小时内</w:t>
            </w:r>
          </w:p>
        </w:tc>
      </w:tr>
      <w:tr w14:paraId="652F65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9" w:hRule="atLeast"/>
          <w:jc w:val="center"/>
        </w:trPr>
        <w:tc>
          <w:tcPr>
            <w:tcW w:w="1236" w:type="dxa"/>
            <w:vAlign w:val="center"/>
          </w:tcPr>
          <w:p w14:paraId="308ABD45">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3.1.1</w:t>
            </w:r>
          </w:p>
        </w:tc>
        <w:tc>
          <w:tcPr>
            <w:tcW w:w="1896" w:type="dxa"/>
            <w:vAlign w:val="center"/>
          </w:tcPr>
          <w:p w14:paraId="558BBDBB">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构成响应文件的其他材料</w:t>
            </w:r>
          </w:p>
        </w:tc>
        <w:tc>
          <w:tcPr>
            <w:tcW w:w="6591" w:type="dxa"/>
            <w:vAlign w:val="center"/>
          </w:tcPr>
          <w:p w14:paraId="6CFA9B94">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z w:val="24"/>
                <w:szCs w:val="24"/>
              </w:rPr>
              <w:t>供应商认为有必要的其它资料</w:t>
            </w:r>
          </w:p>
        </w:tc>
      </w:tr>
      <w:tr w14:paraId="79E1E6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3" w:hRule="atLeast"/>
          <w:jc w:val="center"/>
        </w:trPr>
        <w:tc>
          <w:tcPr>
            <w:tcW w:w="1236" w:type="dxa"/>
            <w:vAlign w:val="center"/>
          </w:tcPr>
          <w:p w14:paraId="6647F0F7">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3.3.1</w:t>
            </w:r>
          </w:p>
        </w:tc>
        <w:tc>
          <w:tcPr>
            <w:tcW w:w="1896" w:type="dxa"/>
            <w:vAlign w:val="center"/>
          </w:tcPr>
          <w:p w14:paraId="70F41A3B">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lang w:val="en-US" w:eastAsia="zh-CN"/>
              </w:rPr>
              <w:t>投标</w:t>
            </w:r>
            <w:r>
              <w:rPr>
                <w:rFonts w:hint="eastAsia" w:ascii="仿宋" w:hAnsi="仿宋" w:eastAsia="仿宋" w:cs="仿宋"/>
                <w:sz w:val="24"/>
                <w:szCs w:val="24"/>
              </w:rPr>
              <w:t>有效期</w:t>
            </w:r>
          </w:p>
        </w:tc>
        <w:tc>
          <w:tcPr>
            <w:tcW w:w="6591" w:type="dxa"/>
            <w:vAlign w:val="center"/>
          </w:tcPr>
          <w:p w14:paraId="5F9F35DA">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自</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之日起60日历天</w:t>
            </w:r>
          </w:p>
        </w:tc>
      </w:tr>
      <w:tr w14:paraId="076980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5" w:hRule="atLeast"/>
          <w:jc w:val="center"/>
        </w:trPr>
        <w:tc>
          <w:tcPr>
            <w:tcW w:w="1236" w:type="dxa"/>
            <w:vAlign w:val="center"/>
          </w:tcPr>
          <w:p w14:paraId="6A456196">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3.4.1</w:t>
            </w:r>
          </w:p>
        </w:tc>
        <w:tc>
          <w:tcPr>
            <w:tcW w:w="1896" w:type="dxa"/>
            <w:vAlign w:val="center"/>
          </w:tcPr>
          <w:p w14:paraId="02BDB84C">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lang w:val="en-US" w:eastAsia="zh-CN"/>
              </w:rPr>
              <w:t>投标</w:t>
            </w:r>
            <w:r>
              <w:rPr>
                <w:rFonts w:hint="eastAsia" w:ascii="仿宋" w:hAnsi="仿宋" w:eastAsia="仿宋" w:cs="仿宋"/>
                <w:sz w:val="24"/>
                <w:szCs w:val="24"/>
              </w:rPr>
              <w:t>保证金</w:t>
            </w:r>
          </w:p>
        </w:tc>
        <w:tc>
          <w:tcPr>
            <w:tcW w:w="6591" w:type="dxa"/>
            <w:vAlign w:val="center"/>
          </w:tcPr>
          <w:p w14:paraId="4353F84D">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不提交</w:t>
            </w:r>
          </w:p>
        </w:tc>
      </w:tr>
      <w:tr w14:paraId="2A448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2" w:hRule="atLeast"/>
          <w:jc w:val="center"/>
        </w:trPr>
        <w:tc>
          <w:tcPr>
            <w:tcW w:w="1236" w:type="dxa"/>
            <w:vAlign w:val="center"/>
          </w:tcPr>
          <w:p w14:paraId="757D7AB3">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3.5.2</w:t>
            </w:r>
          </w:p>
        </w:tc>
        <w:tc>
          <w:tcPr>
            <w:tcW w:w="1896" w:type="dxa"/>
            <w:vAlign w:val="center"/>
          </w:tcPr>
          <w:p w14:paraId="69D91844">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近年财务状况的年份要求</w:t>
            </w:r>
          </w:p>
        </w:tc>
        <w:tc>
          <w:tcPr>
            <w:tcW w:w="6591" w:type="dxa"/>
            <w:vAlign w:val="center"/>
          </w:tcPr>
          <w:p w14:paraId="4884D0A1">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w:t>
            </w:r>
          </w:p>
        </w:tc>
      </w:tr>
      <w:tr w14:paraId="2FB546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7" w:hRule="atLeast"/>
          <w:jc w:val="center"/>
        </w:trPr>
        <w:tc>
          <w:tcPr>
            <w:tcW w:w="1236" w:type="dxa"/>
            <w:vAlign w:val="center"/>
          </w:tcPr>
          <w:p w14:paraId="221CAE75">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3.6</w:t>
            </w:r>
          </w:p>
        </w:tc>
        <w:tc>
          <w:tcPr>
            <w:tcW w:w="1896" w:type="dxa"/>
            <w:vAlign w:val="center"/>
          </w:tcPr>
          <w:p w14:paraId="415D866F">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是否允许递交备选投标方案</w:t>
            </w:r>
          </w:p>
        </w:tc>
        <w:tc>
          <w:tcPr>
            <w:tcW w:w="6591" w:type="dxa"/>
            <w:vAlign w:val="center"/>
          </w:tcPr>
          <w:p w14:paraId="3BFB388D">
            <w:pPr>
              <w:overflowPunct w:val="0"/>
              <w:topLinePunct/>
              <w:spacing w:line="380" w:lineRule="exa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不允许</w:t>
            </w:r>
          </w:p>
        </w:tc>
      </w:tr>
      <w:tr w14:paraId="5095B4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84F14DB">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3.7.3</w:t>
            </w:r>
          </w:p>
        </w:tc>
        <w:tc>
          <w:tcPr>
            <w:tcW w:w="1896" w:type="dxa"/>
            <w:vAlign w:val="center"/>
          </w:tcPr>
          <w:p w14:paraId="6CE00559">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响应性文件的</w:t>
            </w:r>
          </w:p>
          <w:p w14:paraId="693A27D5">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签章要求</w:t>
            </w:r>
          </w:p>
        </w:tc>
        <w:tc>
          <w:tcPr>
            <w:tcW w:w="6591" w:type="dxa"/>
            <w:vAlign w:val="center"/>
          </w:tcPr>
          <w:p w14:paraId="771703FF">
            <w:pPr>
              <w:tabs>
                <w:tab w:val="left" w:pos="630"/>
              </w:tabs>
              <w:jc w:val="left"/>
              <w:rPr>
                <w:rFonts w:ascii="仿宋" w:hAnsi="仿宋" w:eastAsia="仿宋" w:cs="仿宋"/>
                <w:sz w:val="24"/>
                <w:szCs w:val="24"/>
              </w:rPr>
            </w:pPr>
            <w:r>
              <w:rPr>
                <w:rFonts w:hint="eastAsia" w:ascii="仿宋" w:hAnsi="仿宋" w:eastAsia="仿宋" w:cs="仿宋"/>
                <w:sz w:val="24"/>
                <w:szCs w:val="24"/>
              </w:rPr>
              <w:t>1）供应商在生成电子化响应性文件后，应对电子化响应性文件进行签章，未进行签章的视为无效投标。</w:t>
            </w:r>
          </w:p>
          <w:p w14:paraId="490143E0">
            <w:pPr>
              <w:overflowPunct w:val="0"/>
              <w:topLinePunct/>
              <w:textAlignment w:val="top"/>
              <w:rPr>
                <w:rFonts w:ascii="仿宋" w:hAnsi="仿宋" w:eastAsia="仿宋" w:cs="仿宋"/>
                <w:snapToGrid w:val="0"/>
                <w:kern w:val="0"/>
                <w:sz w:val="24"/>
                <w:szCs w:val="24"/>
              </w:rPr>
            </w:pPr>
            <w:r>
              <w:rPr>
                <w:rFonts w:hint="eastAsia" w:ascii="仿宋" w:hAnsi="仿宋" w:eastAsia="仿宋" w:cs="仿宋"/>
                <w:sz w:val="24"/>
                <w:szCs w:val="24"/>
              </w:rPr>
              <w:t>2）</w:t>
            </w:r>
            <w:r>
              <w:rPr>
                <w:rFonts w:hint="eastAsia" w:ascii="仿宋" w:hAnsi="仿宋" w:eastAsia="仿宋" w:cs="仿宋"/>
                <w:snapToGrid w:val="0"/>
                <w:kern w:val="0"/>
                <w:sz w:val="24"/>
                <w:szCs w:val="24"/>
              </w:rPr>
              <w:t>竞争性磋商</w:t>
            </w:r>
            <w:r>
              <w:rPr>
                <w:rFonts w:hint="eastAsia" w:ascii="仿宋" w:hAnsi="仿宋" w:eastAsia="仿宋" w:cs="仿宋"/>
                <w:sz w:val="24"/>
                <w:szCs w:val="24"/>
              </w:rPr>
              <w:t>文件中要求法定代表人或授权委托人签字或盖章的，供应商在进行响应性文件签章时，以签盖法定代表人签章为准。电子化</w:t>
            </w:r>
            <w:r>
              <w:rPr>
                <w:rFonts w:hint="eastAsia" w:ascii="仿宋" w:hAnsi="仿宋" w:eastAsia="仿宋" w:cs="仿宋"/>
                <w:snapToGrid w:val="0"/>
                <w:kern w:val="0"/>
                <w:sz w:val="24"/>
                <w:szCs w:val="24"/>
              </w:rPr>
              <w:t>竞争性磋商文件</w:t>
            </w:r>
            <w:r>
              <w:rPr>
                <w:rFonts w:hint="eastAsia" w:ascii="仿宋" w:hAnsi="仿宋" w:eastAsia="仿宋" w:cs="仿宋"/>
                <w:sz w:val="24"/>
                <w:szCs w:val="24"/>
              </w:rPr>
              <w:t>具体制作教材请供应商通过CA证书登录平顶山市公共资源电子化交易系统在右上角“组件下载”中查看。</w:t>
            </w:r>
          </w:p>
        </w:tc>
      </w:tr>
      <w:tr w14:paraId="57FDD5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1A2C21F8">
            <w:pPr>
              <w:overflowPunct w:val="0"/>
              <w:topLinePunct/>
              <w:spacing w:line="360" w:lineRule="auto"/>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4.2.2</w:t>
            </w:r>
          </w:p>
        </w:tc>
        <w:tc>
          <w:tcPr>
            <w:tcW w:w="1896" w:type="dxa"/>
            <w:vAlign w:val="center"/>
          </w:tcPr>
          <w:p w14:paraId="2A1FE19D">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递交响应文件地点</w:t>
            </w:r>
          </w:p>
        </w:tc>
        <w:tc>
          <w:tcPr>
            <w:tcW w:w="6591" w:type="dxa"/>
            <w:vAlign w:val="center"/>
          </w:tcPr>
          <w:p w14:paraId="241F188E">
            <w:pPr>
              <w:overflowPunct w:val="0"/>
              <w:topLinePun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平顶山市公共资源交易中心系统（注：供应商采用网上远程异地解密，用CA证书登录平顶山市公共资源交易中心业务系统，进入本项目开标大厅点击解密来完成投标文件（竞争性磋商响应文件）的解密工作。）</w:t>
            </w:r>
          </w:p>
        </w:tc>
      </w:tr>
      <w:tr w14:paraId="41FE8F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3FEA0383">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4.2.3</w:t>
            </w:r>
          </w:p>
        </w:tc>
        <w:tc>
          <w:tcPr>
            <w:tcW w:w="1896" w:type="dxa"/>
            <w:vAlign w:val="center"/>
          </w:tcPr>
          <w:p w14:paraId="0F959295">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是否退还响应文件电子文档</w:t>
            </w:r>
          </w:p>
        </w:tc>
        <w:tc>
          <w:tcPr>
            <w:tcW w:w="6591" w:type="dxa"/>
            <w:vAlign w:val="center"/>
          </w:tcPr>
          <w:p w14:paraId="7825175F">
            <w:pPr>
              <w:overflowPunct w:val="0"/>
              <w:topLinePun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否</w:t>
            </w:r>
          </w:p>
        </w:tc>
      </w:tr>
      <w:tr w14:paraId="3B2553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DC1A83A">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5.1</w:t>
            </w:r>
          </w:p>
        </w:tc>
        <w:tc>
          <w:tcPr>
            <w:tcW w:w="1896" w:type="dxa"/>
            <w:vAlign w:val="center"/>
          </w:tcPr>
          <w:p w14:paraId="695FAB1C">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开标时间和地点</w:t>
            </w:r>
          </w:p>
        </w:tc>
        <w:tc>
          <w:tcPr>
            <w:tcW w:w="6591" w:type="dxa"/>
            <w:vAlign w:val="center"/>
          </w:tcPr>
          <w:p w14:paraId="16343C8C">
            <w:pPr>
              <w:overflowPunct w:val="0"/>
              <w:topLinePun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开标时间：同</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w:t>
            </w:r>
          </w:p>
          <w:p w14:paraId="6D03857F">
            <w:pPr>
              <w:overflowPunct w:val="0"/>
              <w:topLinePunct/>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开标地点：同递交响应性文件地点</w:t>
            </w:r>
          </w:p>
        </w:tc>
      </w:tr>
      <w:tr w14:paraId="7AB09F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2206BA2F">
            <w:pPr>
              <w:spacing w:line="380" w:lineRule="exact"/>
              <w:jc w:val="center"/>
              <w:rPr>
                <w:rFonts w:ascii="仿宋" w:hAnsi="仿宋" w:eastAsia="仿宋" w:cs="仿宋"/>
                <w:sz w:val="24"/>
                <w:szCs w:val="24"/>
              </w:rPr>
            </w:pPr>
            <w:r>
              <w:rPr>
                <w:rFonts w:hint="eastAsia" w:ascii="仿宋" w:hAnsi="仿宋" w:eastAsia="仿宋" w:cs="仿宋"/>
                <w:sz w:val="24"/>
                <w:szCs w:val="24"/>
              </w:rPr>
              <w:t>5.2</w:t>
            </w:r>
          </w:p>
        </w:tc>
        <w:tc>
          <w:tcPr>
            <w:tcW w:w="1896" w:type="dxa"/>
            <w:vAlign w:val="center"/>
          </w:tcPr>
          <w:p w14:paraId="77215D5C">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开标程序</w:t>
            </w:r>
          </w:p>
        </w:tc>
        <w:tc>
          <w:tcPr>
            <w:tcW w:w="6591" w:type="dxa"/>
            <w:vAlign w:val="center"/>
          </w:tcPr>
          <w:p w14:paraId="56078CC7">
            <w:pPr>
              <w:rPr>
                <w:rFonts w:ascii="仿宋" w:hAnsi="仿宋" w:eastAsia="仿宋" w:cs="仿宋"/>
                <w:sz w:val="24"/>
                <w:szCs w:val="24"/>
              </w:rPr>
            </w:pPr>
            <w:r>
              <w:rPr>
                <w:rFonts w:hint="eastAsia" w:ascii="仿宋" w:hAnsi="仿宋" w:eastAsia="仿宋" w:cs="仿宋"/>
                <w:sz w:val="24"/>
                <w:szCs w:val="24"/>
              </w:rPr>
              <w:t>电子响应文件解密后自动唱标</w:t>
            </w:r>
          </w:p>
        </w:tc>
      </w:tr>
      <w:tr w14:paraId="2EE610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64F568E5">
            <w:pPr>
              <w:overflowPunct w:val="0"/>
              <w:topLinePunct/>
              <w:spacing w:line="380" w:lineRule="exact"/>
              <w:jc w:val="center"/>
              <w:textAlignment w:val="top"/>
              <w:rPr>
                <w:rFonts w:ascii="仿宋" w:hAnsi="仿宋" w:eastAsia="仿宋" w:cs="仿宋"/>
                <w:snapToGrid w:val="0"/>
                <w:kern w:val="0"/>
                <w:sz w:val="24"/>
                <w:szCs w:val="24"/>
              </w:rPr>
            </w:pPr>
            <w:bookmarkStart w:id="44" w:name="_Hlk41394146"/>
            <w:r>
              <w:rPr>
                <w:rFonts w:hint="eastAsia" w:ascii="仿宋" w:hAnsi="仿宋" w:eastAsia="仿宋" w:cs="仿宋"/>
                <w:snapToGrid w:val="0"/>
                <w:kern w:val="0"/>
                <w:sz w:val="24"/>
                <w:szCs w:val="24"/>
              </w:rPr>
              <w:t>6.1.1</w:t>
            </w:r>
          </w:p>
        </w:tc>
        <w:tc>
          <w:tcPr>
            <w:tcW w:w="1896" w:type="dxa"/>
            <w:vAlign w:val="center"/>
          </w:tcPr>
          <w:p w14:paraId="35C612CD">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磋商小组的组成</w:t>
            </w:r>
          </w:p>
        </w:tc>
        <w:tc>
          <w:tcPr>
            <w:tcW w:w="6591" w:type="dxa"/>
            <w:vAlign w:val="center"/>
          </w:tcPr>
          <w:p w14:paraId="0ACC14BF">
            <w:pPr>
              <w:ind w:left="4" w:leftChars="2"/>
              <w:jc w:val="left"/>
              <w:rPr>
                <w:rFonts w:ascii="仿宋" w:hAnsi="仿宋" w:eastAsia="仿宋" w:cs="仿宋"/>
                <w:sz w:val="24"/>
              </w:rPr>
            </w:pPr>
            <w:r>
              <w:rPr>
                <w:rFonts w:hint="eastAsia" w:ascii="仿宋" w:hAnsi="仿宋" w:eastAsia="仿宋" w:cs="仿宋"/>
                <w:sz w:val="24"/>
              </w:rPr>
              <w:t>磋商小组构成:</w:t>
            </w:r>
            <w:r>
              <w:rPr>
                <w:rFonts w:hint="eastAsia" w:ascii="仿宋" w:hAnsi="仿宋" w:eastAsia="仿宋"/>
              </w:rPr>
              <w:t xml:space="preserve"> </w:t>
            </w:r>
            <w:r>
              <w:rPr>
                <w:rFonts w:ascii="仿宋" w:hAnsi="仿宋" w:eastAsia="仿宋" w:cs="仿宋"/>
                <w:sz w:val="24"/>
              </w:rPr>
              <w:t>由采购人代表和评审专家共3人以上单数组成，其中评审专家人数不得少于</w:t>
            </w:r>
            <w:r>
              <w:rPr>
                <w:rFonts w:hint="eastAsia" w:ascii="仿宋" w:hAnsi="仿宋" w:eastAsia="仿宋" w:cs="仿宋"/>
                <w:sz w:val="24"/>
              </w:rPr>
              <w:t>磋商</w:t>
            </w:r>
            <w:r>
              <w:rPr>
                <w:rFonts w:ascii="仿宋" w:hAnsi="仿宋" w:eastAsia="仿宋" w:cs="仿宋"/>
                <w:sz w:val="24"/>
              </w:rPr>
              <w:t>小组成员总数的2/3</w:t>
            </w:r>
            <w:r>
              <w:rPr>
                <w:rFonts w:hint="eastAsia" w:ascii="仿宋" w:hAnsi="仿宋" w:eastAsia="仿宋" w:cs="仿宋"/>
                <w:snapToGrid w:val="0"/>
                <w:kern w:val="0"/>
                <w:sz w:val="24"/>
                <w:szCs w:val="24"/>
              </w:rPr>
              <w:t>。</w:t>
            </w:r>
          </w:p>
          <w:p w14:paraId="5244A7CC">
            <w:pPr>
              <w:ind w:left="4" w:leftChars="2"/>
              <w:jc w:val="left"/>
              <w:rPr>
                <w:rFonts w:ascii="仿宋" w:hAnsi="仿宋" w:eastAsia="仿宋" w:cs="仿宋"/>
                <w:snapToGrid w:val="0"/>
                <w:kern w:val="0"/>
                <w:sz w:val="24"/>
                <w:szCs w:val="24"/>
              </w:rPr>
            </w:pPr>
            <w:r>
              <w:rPr>
                <w:rFonts w:hint="eastAsia" w:ascii="仿宋" w:hAnsi="仿宋" w:eastAsia="仿宋" w:cs="仿宋"/>
                <w:snapToGrid w:val="0"/>
                <w:kern w:val="0"/>
                <w:sz w:val="24"/>
                <w:szCs w:val="24"/>
              </w:rPr>
              <w:t>上述规定为一组评标专家组成方式，根据项目标段数量和评标工作量，可由多组专家完成评审，但一个标段只能由一组专家评审。</w:t>
            </w:r>
          </w:p>
        </w:tc>
      </w:tr>
      <w:bookmarkEnd w:id="44"/>
      <w:tr w14:paraId="5B7569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533" w:hRule="atLeast"/>
          <w:jc w:val="center"/>
        </w:trPr>
        <w:tc>
          <w:tcPr>
            <w:tcW w:w="1236" w:type="dxa"/>
            <w:tcBorders>
              <w:bottom w:val="single" w:color="auto" w:sz="4" w:space="0"/>
            </w:tcBorders>
            <w:vAlign w:val="center"/>
          </w:tcPr>
          <w:p w14:paraId="4B1CA4AF">
            <w:pPr>
              <w:overflowPunct w:val="0"/>
              <w:topLinePunct/>
              <w:spacing w:line="380" w:lineRule="exact"/>
              <w:jc w:val="center"/>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7.1</w:t>
            </w:r>
          </w:p>
        </w:tc>
        <w:tc>
          <w:tcPr>
            <w:tcW w:w="1896" w:type="dxa"/>
            <w:tcBorders>
              <w:bottom w:val="single" w:color="auto" w:sz="4" w:space="0"/>
            </w:tcBorders>
            <w:vAlign w:val="center"/>
          </w:tcPr>
          <w:p w14:paraId="24E6A3BE">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是否授权评标</w:t>
            </w:r>
          </w:p>
          <w:p w14:paraId="3F248584">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委员会确定成交人</w:t>
            </w:r>
          </w:p>
        </w:tc>
        <w:tc>
          <w:tcPr>
            <w:tcW w:w="6591" w:type="dxa"/>
            <w:tcBorders>
              <w:bottom w:val="single" w:color="auto" w:sz="4" w:space="0"/>
            </w:tcBorders>
            <w:vAlign w:val="center"/>
          </w:tcPr>
          <w:p w14:paraId="7722FC74">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否，推荐3名</w:t>
            </w:r>
            <w:r>
              <w:rPr>
                <w:rFonts w:hint="eastAsia" w:ascii="仿宋" w:hAnsi="仿宋" w:eastAsia="仿宋" w:cs="仿宋"/>
                <w:sz w:val="24"/>
                <w:szCs w:val="24"/>
                <w:lang w:val="en-US" w:eastAsia="zh-CN"/>
              </w:rPr>
              <w:t>成交</w:t>
            </w:r>
            <w:r>
              <w:rPr>
                <w:rFonts w:hint="eastAsia" w:ascii="仿宋" w:hAnsi="仿宋" w:eastAsia="仿宋" w:cs="仿宋"/>
                <w:sz w:val="24"/>
                <w:szCs w:val="24"/>
              </w:rPr>
              <w:t>候选人；</w:t>
            </w:r>
          </w:p>
          <w:p w14:paraId="143BF6BD">
            <w:pPr>
              <w:overflowPunct w:val="0"/>
              <w:topLinePunct/>
              <w:jc w:val="left"/>
              <w:textAlignment w:val="top"/>
              <w:rPr>
                <w:rFonts w:ascii="仿宋" w:hAnsi="仿宋" w:eastAsia="仿宋" w:cs="仿宋"/>
                <w:sz w:val="24"/>
                <w:szCs w:val="24"/>
              </w:rPr>
            </w:pPr>
            <w:bookmarkStart w:id="45" w:name="_Hlk41395198"/>
            <w:r>
              <w:rPr>
                <w:rFonts w:hint="eastAsia" w:ascii="仿宋" w:hAnsi="仿宋" w:eastAsia="仿宋" w:cs="仿宋"/>
                <w:sz w:val="24"/>
                <w:szCs w:val="24"/>
              </w:rPr>
              <w:t>以综合评分得分由高到低的顺序推荐前3名为</w:t>
            </w:r>
            <w:r>
              <w:rPr>
                <w:rFonts w:hint="eastAsia" w:ascii="仿宋" w:hAnsi="仿宋" w:eastAsia="仿宋" w:cs="仿宋"/>
                <w:sz w:val="24"/>
                <w:szCs w:val="24"/>
                <w:lang w:val="en-US" w:eastAsia="zh-CN"/>
              </w:rPr>
              <w:t>成交</w:t>
            </w:r>
            <w:r>
              <w:rPr>
                <w:rFonts w:hint="eastAsia" w:ascii="仿宋" w:hAnsi="仿宋" w:eastAsia="仿宋" w:cs="仿宋"/>
                <w:sz w:val="24"/>
                <w:szCs w:val="24"/>
              </w:rPr>
              <w:t>候选人，排名第一的</w:t>
            </w:r>
            <w:r>
              <w:rPr>
                <w:rFonts w:hint="eastAsia" w:ascii="仿宋" w:hAnsi="仿宋" w:eastAsia="仿宋" w:cs="仿宋"/>
                <w:sz w:val="24"/>
                <w:szCs w:val="24"/>
                <w:lang w:val="en-US" w:eastAsia="zh-CN"/>
              </w:rPr>
              <w:t>成交</w:t>
            </w:r>
            <w:r>
              <w:rPr>
                <w:rFonts w:hint="eastAsia" w:ascii="仿宋" w:hAnsi="仿宋" w:eastAsia="仿宋" w:cs="仿宋"/>
                <w:sz w:val="24"/>
                <w:szCs w:val="24"/>
              </w:rPr>
              <w:t>候选人放弃</w:t>
            </w:r>
            <w:r>
              <w:rPr>
                <w:rFonts w:hint="eastAsia" w:ascii="仿宋" w:hAnsi="仿宋" w:eastAsia="仿宋" w:cs="仿宋"/>
                <w:sz w:val="24"/>
                <w:szCs w:val="24"/>
                <w:lang w:val="en-US" w:eastAsia="zh-CN"/>
              </w:rPr>
              <w:t>成交</w:t>
            </w:r>
            <w:r>
              <w:rPr>
                <w:rFonts w:hint="eastAsia" w:ascii="仿宋" w:hAnsi="仿宋" w:eastAsia="仿宋" w:cs="仿宋"/>
                <w:sz w:val="24"/>
                <w:szCs w:val="24"/>
              </w:rPr>
              <w:t>、因不可抗力提出不能履行合同，或者竞争性磋商文件规定应当提交合同履约保证金而在规定的期限内未能提交的，采购人可以确定第二</w:t>
            </w:r>
            <w:r>
              <w:rPr>
                <w:rFonts w:hint="eastAsia" w:ascii="仿宋" w:hAnsi="仿宋" w:eastAsia="仿宋" w:cs="仿宋"/>
                <w:sz w:val="24"/>
                <w:szCs w:val="24"/>
                <w:lang w:val="en-US" w:eastAsia="zh-CN"/>
              </w:rPr>
              <w:t>成交</w:t>
            </w:r>
            <w:r>
              <w:rPr>
                <w:rFonts w:hint="eastAsia" w:ascii="仿宋" w:hAnsi="仿宋" w:eastAsia="仿宋" w:cs="仿宋"/>
                <w:sz w:val="24"/>
                <w:szCs w:val="24"/>
              </w:rPr>
              <w:t>候选人为</w:t>
            </w:r>
            <w:r>
              <w:rPr>
                <w:rFonts w:hint="eastAsia" w:ascii="仿宋" w:hAnsi="仿宋" w:eastAsia="仿宋" w:cs="仿宋"/>
                <w:sz w:val="24"/>
                <w:szCs w:val="24"/>
                <w:lang w:val="en-US" w:eastAsia="zh-CN"/>
              </w:rPr>
              <w:t>成交</w:t>
            </w:r>
            <w:r>
              <w:rPr>
                <w:rFonts w:hint="eastAsia" w:ascii="仿宋" w:hAnsi="仿宋" w:eastAsia="仿宋" w:cs="仿宋"/>
                <w:sz w:val="24"/>
                <w:szCs w:val="24"/>
              </w:rPr>
              <w:t>人；依次类推。当所有</w:t>
            </w:r>
            <w:r>
              <w:rPr>
                <w:rFonts w:hint="eastAsia" w:ascii="仿宋" w:hAnsi="仿宋" w:eastAsia="仿宋" w:cs="仿宋"/>
                <w:sz w:val="24"/>
                <w:szCs w:val="24"/>
                <w:lang w:val="en-US" w:eastAsia="zh-CN"/>
              </w:rPr>
              <w:t>成交</w:t>
            </w:r>
            <w:r>
              <w:rPr>
                <w:rFonts w:hint="eastAsia" w:ascii="仿宋" w:hAnsi="仿宋" w:eastAsia="仿宋" w:cs="仿宋"/>
                <w:sz w:val="24"/>
                <w:szCs w:val="24"/>
              </w:rPr>
              <w:t>候选人因上述同样原因不能签订合同的，采购人将依法重新招标。</w:t>
            </w:r>
            <w:bookmarkEnd w:id="45"/>
          </w:p>
        </w:tc>
      </w:tr>
      <w:tr w14:paraId="270E59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4" w:hRule="atLeast"/>
          <w:jc w:val="center"/>
        </w:trPr>
        <w:tc>
          <w:tcPr>
            <w:tcW w:w="1236" w:type="dxa"/>
            <w:tcBorders>
              <w:top w:val="single" w:color="auto" w:sz="4" w:space="0"/>
            </w:tcBorders>
            <w:vAlign w:val="center"/>
          </w:tcPr>
          <w:p w14:paraId="4252DB98">
            <w:pPr>
              <w:overflowPunct w:val="0"/>
              <w:topLinePunct/>
              <w:spacing w:line="380" w:lineRule="exact"/>
              <w:jc w:val="center"/>
              <w:textAlignment w:val="top"/>
              <w:rPr>
                <w:rFonts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7.3.1</w:t>
            </w:r>
          </w:p>
        </w:tc>
        <w:tc>
          <w:tcPr>
            <w:tcW w:w="1896" w:type="dxa"/>
            <w:tcBorders>
              <w:top w:val="single" w:color="auto" w:sz="4" w:space="0"/>
            </w:tcBorders>
            <w:vAlign w:val="center"/>
          </w:tcPr>
          <w:p w14:paraId="7FBF23EA">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履约担保</w:t>
            </w:r>
          </w:p>
        </w:tc>
        <w:tc>
          <w:tcPr>
            <w:tcW w:w="6591" w:type="dxa"/>
            <w:tcBorders>
              <w:top w:val="single" w:color="auto" w:sz="4" w:space="0"/>
            </w:tcBorders>
            <w:vAlign w:val="center"/>
          </w:tcPr>
          <w:p w14:paraId="62D1D612">
            <w:pPr>
              <w:overflowPunct w:val="0"/>
              <w:topLinePunct/>
              <w:spacing w:line="360" w:lineRule="auto"/>
              <w:jc w:val="left"/>
              <w:textAlignment w:val="top"/>
              <w:rPr>
                <w:rFonts w:ascii="仿宋" w:hAnsi="仿宋" w:eastAsia="仿宋" w:cs="仿宋"/>
                <w:color w:val="000000"/>
                <w:sz w:val="24"/>
                <w:szCs w:val="24"/>
              </w:rPr>
            </w:pPr>
            <w:r>
              <w:rPr>
                <w:rFonts w:hint="eastAsia" w:ascii="仿宋" w:hAnsi="仿宋" w:eastAsia="仿宋" w:cs="仿宋"/>
                <w:color w:val="000000"/>
                <w:sz w:val="24"/>
                <w:szCs w:val="24"/>
              </w:rPr>
              <w:t>不缴纳</w:t>
            </w:r>
          </w:p>
        </w:tc>
      </w:tr>
      <w:tr w14:paraId="31222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6C87230B">
            <w:pPr>
              <w:spacing w:line="380" w:lineRule="exact"/>
              <w:jc w:val="center"/>
              <w:rPr>
                <w:rFonts w:ascii="仿宋" w:hAnsi="仿宋" w:eastAsia="仿宋" w:cs="仿宋"/>
                <w:color w:val="000000"/>
                <w:sz w:val="24"/>
                <w:szCs w:val="24"/>
              </w:rPr>
            </w:pPr>
            <w:r>
              <w:rPr>
                <w:rFonts w:hint="eastAsia" w:ascii="仿宋" w:hAnsi="仿宋" w:eastAsia="仿宋" w:cs="仿宋"/>
                <w:snapToGrid w:val="0"/>
                <w:color w:val="000000"/>
                <w:kern w:val="0"/>
                <w:sz w:val="24"/>
                <w:szCs w:val="24"/>
              </w:rPr>
              <w:t>10</w:t>
            </w:r>
          </w:p>
        </w:tc>
        <w:tc>
          <w:tcPr>
            <w:tcW w:w="8487" w:type="dxa"/>
            <w:gridSpan w:val="2"/>
            <w:vAlign w:val="center"/>
          </w:tcPr>
          <w:p w14:paraId="17584A2B">
            <w:pPr>
              <w:spacing w:line="380" w:lineRule="exact"/>
              <w:rPr>
                <w:rFonts w:ascii="仿宋" w:hAnsi="仿宋" w:eastAsia="仿宋" w:cs="仿宋"/>
                <w:color w:val="000000"/>
                <w:sz w:val="24"/>
                <w:szCs w:val="24"/>
              </w:rPr>
            </w:pPr>
            <w:r>
              <w:rPr>
                <w:rFonts w:hint="eastAsia" w:ascii="仿宋" w:hAnsi="仿宋" w:eastAsia="仿宋" w:cs="仿宋"/>
                <w:b/>
                <w:bCs/>
                <w:color w:val="000000"/>
                <w:sz w:val="24"/>
                <w:szCs w:val="24"/>
              </w:rPr>
              <w:t>需要补充的其他内容</w:t>
            </w:r>
          </w:p>
        </w:tc>
      </w:tr>
      <w:tr w14:paraId="348E8A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6" w:hRule="atLeast"/>
          <w:jc w:val="center"/>
        </w:trPr>
        <w:tc>
          <w:tcPr>
            <w:tcW w:w="1236" w:type="dxa"/>
            <w:vAlign w:val="center"/>
          </w:tcPr>
          <w:p w14:paraId="05373090">
            <w:pPr>
              <w:spacing w:line="380" w:lineRule="exact"/>
              <w:jc w:val="center"/>
              <w:rPr>
                <w:rFonts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10.2</w:t>
            </w:r>
          </w:p>
        </w:tc>
        <w:tc>
          <w:tcPr>
            <w:tcW w:w="8487" w:type="dxa"/>
            <w:gridSpan w:val="2"/>
            <w:vAlign w:val="center"/>
          </w:tcPr>
          <w:p w14:paraId="314EBBFC">
            <w:pPr>
              <w:spacing w:line="380" w:lineRule="exact"/>
              <w:rPr>
                <w:rFonts w:ascii="仿宋" w:hAnsi="仿宋" w:eastAsia="仿宋" w:cs="仿宋"/>
                <w:color w:val="000000"/>
                <w:sz w:val="24"/>
                <w:szCs w:val="24"/>
              </w:rPr>
            </w:pPr>
            <w:r>
              <w:rPr>
                <w:rFonts w:hint="eastAsia" w:ascii="仿宋" w:hAnsi="仿宋" w:eastAsia="仿宋" w:cs="仿宋"/>
                <w:b/>
                <w:bCs/>
                <w:color w:val="000000"/>
                <w:sz w:val="24"/>
                <w:szCs w:val="24"/>
              </w:rPr>
              <w:t>最高限价</w:t>
            </w:r>
          </w:p>
        </w:tc>
      </w:tr>
      <w:tr w14:paraId="5DDF15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1236" w:type="dxa"/>
            <w:tcBorders>
              <w:right w:val="single" w:color="auto" w:sz="4" w:space="0"/>
            </w:tcBorders>
            <w:vAlign w:val="center"/>
          </w:tcPr>
          <w:p w14:paraId="5B70265A">
            <w:pPr>
              <w:spacing w:line="360" w:lineRule="auto"/>
              <w:jc w:val="center"/>
              <w:rPr>
                <w:rFonts w:ascii="仿宋" w:hAnsi="仿宋" w:eastAsia="仿宋" w:cs="仿宋"/>
                <w:b/>
                <w:bCs/>
                <w:color w:val="000000"/>
                <w:sz w:val="24"/>
                <w:szCs w:val="24"/>
                <w:highlight w:val="yellow"/>
              </w:rPr>
            </w:pPr>
          </w:p>
        </w:tc>
        <w:tc>
          <w:tcPr>
            <w:tcW w:w="8487" w:type="dxa"/>
            <w:gridSpan w:val="2"/>
            <w:tcBorders>
              <w:left w:val="single" w:color="auto" w:sz="4" w:space="0"/>
            </w:tcBorders>
          </w:tcPr>
          <w:p w14:paraId="787C2DE6">
            <w:pPr>
              <w:spacing w:line="340" w:lineRule="exact"/>
              <w:rPr>
                <w:rFonts w:ascii="仿宋" w:hAnsi="仿宋" w:eastAsia="仿宋" w:cs="仿宋"/>
                <w:b/>
                <w:bCs/>
                <w:sz w:val="24"/>
                <w:highlight w:val="none"/>
              </w:rPr>
            </w:pPr>
            <w:r>
              <w:rPr>
                <w:rFonts w:hint="eastAsia" w:ascii="仿宋" w:hAnsi="仿宋" w:eastAsia="仿宋" w:cs="仿宋"/>
                <w:b/>
                <w:bCs/>
                <w:sz w:val="24"/>
                <w:highlight w:val="none"/>
              </w:rPr>
              <w:t>本项目最高限价为：</w:t>
            </w:r>
            <w:r>
              <w:rPr>
                <w:rFonts w:hint="eastAsia" w:ascii="仿宋" w:hAnsi="仿宋" w:eastAsia="仿宋" w:cs="仿宋"/>
                <w:b/>
                <w:bCs/>
                <w:sz w:val="24"/>
                <w:highlight w:val="none"/>
                <w:lang w:val="en-US" w:eastAsia="zh-CN"/>
              </w:rPr>
              <w:t>98</w:t>
            </w:r>
            <w:r>
              <w:rPr>
                <w:rFonts w:hint="eastAsia" w:ascii="仿宋" w:hAnsi="仿宋" w:eastAsia="仿宋" w:cs="仿宋"/>
                <w:b/>
                <w:bCs/>
                <w:sz w:val="24"/>
                <w:highlight w:val="none"/>
              </w:rPr>
              <w:t>0000.00元</w:t>
            </w:r>
          </w:p>
          <w:p w14:paraId="4EF9BD46">
            <w:pPr>
              <w:spacing w:line="340" w:lineRule="exact"/>
              <w:rPr>
                <w:rFonts w:ascii="仿宋" w:hAnsi="仿宋" w:eastAsia="仿宋" w:cs="仿宋"/>
                <w:color w:val="000000"/>
                <w:sz w:val="24"/>
                <w:szCs w:val="24"/>
                <w:highlight w:val="none"/>
              </w:rPr>
            </w:pPr>
            <w:r>
              <w:rPr>
                <w:rFonts w:hint="eastAsia" w:ascii="仿宋" w:hAnsi="仿宋" w:eastAsia="仿宋" w:cs="仿宋"/>
                <w:b/>
                <w:bCs/>
                <w:sz w:val="24"/>
                <w:highlight w:val="none"/>
              </w:rPr>
              <w:t>最高限价是采购人能够接受的最高价，供应商磋商总报价超出的为无效投标。</w:t>
            </w:r>
          </w:p>
        </w:tc>
      </w:tr>
      <w:tr w14:paraId="0E775F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256037E">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10</w:t>
            </w:r>
            <w:r>
              <w:rPr>
                <w:rFonts w:hint="eastAsia" w:ascii="仿宋" w:hAnsi="仿宋" w:eastAsia="仿宋" w:cs="仿宋"/>
                <w:sz w:val="24"/>
                <w:szCs w:val="24"/>
              </w:rPr>
              <w:t>.5</w:t>
            </w:r>
          </w:p>
        </w:tc>
        <w:tc>
          <w:tcPr>
            <w:tcW w:w="8487" w:type="dxa"/>
            <w:gridSpan w:val="2"/>
            <w:vAlign w:val="center"/>
          </w:tcPr>
          <w:p w14:paraId="48D0D48F">
            <w:pPr>
              <w:spacing w:line="360" w:lineRule="auto"/>
              <w:rPr>
                <w:rFonts w:ascii="仿宋" w:hAnsi="仿宋" w:eastAsia="仿宋" w:cs="仿宋"/>
                <w:sz w:val="24"/>
                <w:szCs w:val="24"/>
              </w:rPr>
            </w:pPr>
            <w:r>
              <w:rPr>
                <w:rFonts w:hint="eastAsia" w:ascii="仿宋" w:hAnsi="仿宋" w:eastAsia="仿宋" w:cs="仿宋"/>
                <w:sz w:val="24"/>
                <w:szCs w:val="24"/>
              </w:rPr>
              <w:t>成交结果公告</w:t>
            </w:r>
          </w:p>
        </w:tc>
      </w:tr>
      <w:tr w14:paraId="7F7307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5" w:hRule="atLeast"/>
          <w:jc w:val="center"/>
        </w:trPr>
        <w:tc>
          <w:tcPr>
            <w:tcW w:w="1236" w:type="dxa"/>
            <w:vAlign w:val="center"/>
          </w:tcPr>
          <w:p w14:paraId="1491944E">
            <w:pPr>
              <w:spacing w:line="380" w:lineRule="exact"/>
              <w:jc w:val="center"/>
              <w:rPr>
                <w:rFonts w:ascii="仿宋" w:hAnsi="仿宋" w:eastAsia="仿宋" w:cs="仿宋"/>
                <w:snapToGrid w:val="0"/>
                <w:kern w:val="0"/>
                <w:sz w:val="24"/>
                <w:szCs w:val="24"/>
              </w:rPr>
            </w:pPr>
          </w:p>
        </w:tc>
        <w:tc>
          <w:tcPr>
            <w:tcW w:w="8487" w:type="dxa"/>
            <w:gridSpan w:val="2"/>
            <w:vAlign w:val="center"/>
          </w:tcPr>
          <w:p w14:paraId="2FF325F1">
            <w:pPr>
              <w:snapToGrid w:val="0"/>
              <w:spacing w:line="288" w:lineRule="auto"/>
              <w:ind w:firstLine="470" w:firstLineChars="196"/>
              <w:contextualSpacing/>
              <w:rPr>
                <w:rFonts w:ascii="仿宋" w:hAnsi="仿宋" w:eastAsia="仿宋"/>
                <w:sz w:val="24"/>
                <w:szCs w:val="24"/>
              </w:rPr>
            </w:pPr>
            <w:r>
              <w:rPr>
                <w:rFonts w:hint="eastAsia" w:ascii="仿宋" w:hAnsi="仿宋" w:eastAsia="仿宋"/>
                <w:sz w:val="24"/>
                <w:szCs w:val="24"/>
              </w:rPr>
              <w:t>（1）采购人应当在成</w:t>
            </w:r>
            <w:r>
              <w:rPr>
                <w:rFonts w:hint="eastAsia" w:ascii="仿宋" w:hAnsi="仿宋" w:eastAsia="仿宋"/>
                <w:sz w:val="24"/>
                <w:szCs w:val="24"/>
                <w:highlight w:val="none"/>
              </w:rPr>
              <w:t>交人确定后2个工作日内，在公告发布的同一媒介上公告成交结果，同时向成交供应商发出成交通知书，并将磋商文件随</w:t>
            </w:r>
            <w:r>
              <w:rPr>
                <w:rFonts w:hint="eastAsia" w:ascii="仿宋" w:hAnsi="仿宋" w:eastAsia="仿宋"/>
                <w:sz w:val="24"/>
                <w:szCs w:val="24"/>
              </w:rPr>
              <w:t>成交结果同时公告，公告期限1个工作日。</w:t>
            </w:r>
          </w:p>
          <w:p w14:paraId="1E034B78">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2）成交结果公告内容应当包括采购人和采购代理机构的名称、地址、联系方式，项目名称和项目编号，成交供应商名称、地址，主要成交标的的名称、规格型号、数量、单价、服务要求或标的的基本概况以及磋商小组名单</w:t>
            </w:r>
            <w:r>
              <w:rPr>
                <w:rFonts w:hint="eastAsia" w:ascii="仿宋" w:hAnsi="仿宋" w:eastAsia="仿宋" w:cs="黑体"/>
                <w:sz w:val="24"/>
                <w:szCs w:val="24"/>
              </w:rPr>
              <w:t>。</w:t>
            </w:r>
          </w:p>
        </w:tc>
      </w:tr>
      <w:tr w14:paraId="201AE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7B03AD97">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10</w:t>
            </w:r>
            <w:r>
              <w:rPr>
                <w:rFonts w:hint="eastAsia" w:ascii="仿宋" w:hAnsi="仿宋" w:eastAsia="仿宋" w:cs="仿宋"/>
                <w:sz w:val="24"/>
                <w:szCs w:val="24"/>
              </w:rPr>
              <w:t>.6</w:t>
            </w:r>
          </w:p>
        </w:tc>
        <w:tc>
          <w:tcPr>
            <w:tcW w:w="8487" w:type="dxa"/>
            <w:gridSpan w:val="2"/>
            <w:vAlign w:val="center"/>
          </w:tcPr>
          <w:p w14:paraId="5727775C">
            <w:pPr>
              <w:spacing w:line="360" w:lineRule="auto"/>
              <w:rPr>
                <w:rFonts w:ascii="仿宋" w:hAnsi="仿宋" w:eastAsia="仿宋" w:cs="仿宋"/>
                <w:sz w:val="24"/>
                <w:szCs w:val="24"/>
              </w:rPr>
            </w:pPr>
            <w:r>
              <w:rPr>
                <w:rFonts w:hint="eastAsia" w:ascii="仿宋" w:hAnsi="仿宋" w:eastAsia="仿宋" w:cs="仿宋"/>
                <w:sz w:val="24"/>
                <w:szCs w:val="24"/>
              </w:rPr>
              <w:t>解释权</w:t>
            </w:r>
          </w:p>
        </w:tc>
      </w:tr>
      <w:tr w14:paraId="6FB904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49" w:hRule="atLeast"/>
          <w:jc w:val="center"/>
        </w:trPr>
        <w:tc>
          <w:tcPr>
            <w:tcW w:w="1236" w:type="dxa"/>
            <w:vAlign w:val="center"/>
          </w:tcPr>
          <w:p w14:paraId="433D7175">
            <w:pPr>
              <w:spacing w:line="380" w:lineRule="exact"/>
              <w:jc w:val="center"/>
              <w:rPr>
                <w:rFonts w:ascii="仿宋" w:hAnsi="仿宋" w:eastAsia="仿宋" w:cs="仿宋"/>
                <w:snapToGrid w:val="0"/>
                <w:kern w:val="0"/>
                <w:sz w:val="24"/>
                <w:szCs w:val="24"/>
              </w:rPr>
            </w:pPr>
          </w:p>
        </w:tc>
        <w:tc>
          <w:tcPr>
            <w:tcW w:w="8487" w:type="dxa"/>
            <w:gridSpan w:val="2"/>
            <w:vAlign w:val="center"/>
          </w:tcPr>
          <w:p w14:paraId="2736787C">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构成本竞争性磋商文件的各个组成文件应互为解释，互为说明；如有不明确或不一致，构成合同文件组成内容的，以合同文件约定内容为准，且以专用合同条款约定的合同文件优先顺序解释；同一组成文件中就同一事项的规定或约定不一致的，以编排顺序在后者为准；同一组成文件不同版本之间有不一致的，已形成时间在后者为准。按本款前述规定仍不能形成结论的，由采购人负责解释。</w:t>
            </w:r>
          </w:p>
        </w:tc>
      </w:tr>
      <w:tr w14:paraId="0A3B20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27FC67A1">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10</w:t>
            </w:r>
            <w:r>
              <w:rPr>
                <w:rFonts w:hint="eastAsia" w:ascii="仿宋" w:hAnsi="仿宋" w:eastAsia="仿宋" w:cs="仿宋"/>
                <w:sz w:val="24"/>
                <w:szCs w:val="24"/>
              </w:rPr>
              <w:t>.7</w:t>
            </w:r>
          </w:p>
        </w:tc>
        <w:tc>
          <w:tcPr>
            <w:tcW w:w="8487" w:type="dxa"/>
            <w:gridSpan w:val="2"/>
            <w:tcBorders>
              <w:right w:val="single" w:color="auto" w:sz="4" w:space="0"/>
            </w:tcBorders>
            <w:vAlign w:val="center"/>
          </w:tcPr>
          <w:p w14:paraId="19206122">
            <w:pPr>
              <w:spacing w:line="360" w:lineRule="auto"/>
              <w:rPr>
                <w:rFonts w:ascii="仿宋" w:hAnsi="仿宋" w:eastAsia="仿宋" w:cs="仿宋"/>
                <w:sz w:val="24"/>
                <w:szCs w:val="24"/>
              </w:rPr>
            </w:pPr>
            <w:r>
              <w:rPr>
                <w:rFonts w:hint="eastAsia" w:ascii="仿宋" w:hAnsi="仿宋" w:eastAsia="仿宋" w:cs="仿宋"/>
                <w:sz w:val="24"/>
                <w:szCs w:val="24"/>
              </w:rPr>
              <w:t>采购人补充的其他内容</w:t>
            </w:r>
          </w:p>
        </w:tc>
      </w:tr>
      <w:tr w14:paraId="477CD1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1957F5F4">
            <w:pPr>
              <w:spacing w:line="380" w:lineRule="exact"/>
              <w:jc w:val="center"/>
              <w:rPr>
                <w:rFonts w:ascii="仿宋" w:hAnsi="仿宋" w:eastAsia="仿宋" w:cs="仿宋"/>
                <w:snapToGrid w:val="0"/>
                <w:kern w:val="0"/>
                <w:sz w:val="24"/>
                <w:szCs w:val="24"/>
              </w:rPr>
            </w:pPr>
            <w:bookmarkStart w:id="46" w:name="_Hlk136617091"/>
            <w:r>
              <w:rPr>
                <w:rFonts w:hint="eastAsia" w:ascii="仿宋" w:hAnsi="仿宋" w:eastAsia="仿宋" w:cs="仿宋"/>
                <w:snapToGrid w:val="0"/>
                <w:kern w:val="0"/>
                <w:sz w:val="24"/>
                <w:szCs w:val="24"/>
              </w:rPr>
              <w:t>10</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.1</w:t>
            </w:r>
          </w:p>
        </w:tc>
        <w:tc>
          <w:tcPr>
            <w:tcW w:w="1896" w:type="dxa"/>
            <w:vAlign w:val="center"/>
          </w:tcPr>
          <w:p w14:paraId="5E834AE2">
            <w:pPr>
              <w:spacing w:line="360" w:lineRule="auto"/>
              <w:jc w:val="center"/>
              <w:rPr>
                <w:rFonts w:ascii="仿宋" w:hAnsi="仿宋" w:eastAsia="仿宋" w:cs="仿宋"/>
                <w:sz w:val="24"/>
                <w:szCs w:val="24"/>
              </w:rPr>
            </w:pPr>
            <w:r>
              <w:rPr>
                <w:rFonts w:hint="eastAsia" w:ascii="仿宋" w:hAnsi="仿宋" w:eastAsia="仿宋" w:cs="仿宋"/>
                <w:sz w:val="24"/>
                <w:szCs w:val="24"/>
              </w:rPr>
              <w:t>有关费用</w:t>
            </w:r>
          </w:p>
        </w:tc>
        <w:tc>
          <w:tcPr>
            <w:tcW w:w="6591" w:type="dxa"/>
          </w:tcPr>
          <w:p w14:paraId="6DDCB79C">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本项目招标代理服务费参照“河南省招标投标协会关于印发《河南省招标代理服务收费指导意见》的通知（豫招协【2023】002号文）”收取，由成交人支付。成交人领取成交通知书前向代理机构缴纳。</w:t>
            </w:r>
          </w:p>
        </w:tc>
      </w:tr>
      <w:tr w14:paraId="3D6B4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738A130A">
            <w:pPr>
              <w:spacing w:line="380" w:lineRule="exact"/>
              <w:jc w:val="center"/>
              <w:rPr>
                <w:rFonts w:hint="default" w:ascii="仿宋" w:hAnsi="仿宋" w:eastAsia="仿宋" w:cs="仿宋"/>
                <w:snapToGrid w:val="0"/>
                <w:kern w:val="0"/>
                <w:sz w:val="24"/>
                <w:szCs w:val="24"/>
                <w:lang w:val="en-US" w:eastAsia="zh-CN"/>
              </w:rPr>
            </w:pPr>
            <w:r>
              <w:rPr>
                <w:rFonts w:hint="eastAsia" w:ascii="仿宋" w:hAnsi="仿宋" w:eastAsia="仿宋" w:cs="仿宋"/>
                <w:snapToGrid w:val="0"/>
                <w:kern w:val="0"/>
                <w:sz w:val="24"/>
                <w:szCs w:val="24"/>
                <w:lang w:val="en-US" w:eastAsia="zh-CN"/>
              </w:rPr>
              <w:t>10.7.2</w:t>
            </w:r>
          </w:p>
        </w:tc>
        <w:tc>
          <w:tcPr>
            <w:tcW w:w="1896" w:type="dxa"/>
            <w:vAlign w:val="center"/>
          </w:tcPr>
          <w:p w14:paraId="1828806E">
            <w:pPr>
              <w:spacing w:line="360" w:lineRule="auto"/>
              <w:rPr>
                <w:rFonts w:hint="eastAsia" w:ascii="仿宋" w:hAnsi="仿宋" w:eastAsia="仿宋" w:cs="仿宋"/>
                <w:sz w:val="24"/>
                <w:szCs w:val="24"/>
              </w:rPr>
            </w:pPr>
            <w:r>
              <w:rPr>
                <w:rFonts w:hint="eastAsia" w:ascii="仿宋" w:hAnsi="仿宋" w:eastAsia="仿宋" w:cs="仿宋"/>
                <w:sz w:val="24"/>
              </w:rPr>
              <w:t>接收质疑函的方式和联系方式</w:t>
            </w:r>
          </w:p>
        </w:tc>
        <w:tc>
          <w:tcPr>
            <w:tcW w:w="6591" w:type="dxa"/>
          </w:tcPr>
          <w:p w14:paraId="1E7C6A49">
            <w:pPr>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1、质疑提出：</w:t>
            </w:r>
          </w:p>
          <w:p w14:paraId="6BA8A243">
            <w:pPr>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供应商认为采购文件、采购过程、中标或者成交结果使自己的权益受到损害的，可以在知道或者应知其权益受到损害之日起7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p>
          <w:p w14:paraId="2B6E4268">
            <w:pPr>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（2）质疑函的内容、格式：应符合《政府采购质疑和投诉办法》（财政部第94号令）相关规定和财政部门制定的《政府采购质疑函范本》格式。</w:t>
            </w:r>
          </w:p>
          <w:p w14:paraId="4B90356A">
            <w:pPr>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（3）投标人应在法定质疑期内一次性提出针对同一采购程序环节的质疑。</w:t>
            </w:r>
          </w:p>
          <w:p w14:paraId="4F93BCF2">
            <w:pPr>
              <w:spacing w:line="240" w:lineRule="auto"/>
              <w:ind w:firstLine="480" w:firstLineChars="200"/>
              <w:jc w:val="left"/>
              <w:rPr>
                <w:rFonts w:hint="default" w:ascii="仿宋" w:hAnsi="仿宋" w:eastAsia="仿宋" w:cs="仿宋"/>
                <w:sz w:val="24"/>
                <w:szCs w:val="24"/>
                <w:lang w:val="en-US" w:eastAsia="zh-CN"/>
              </w:rPr>
            </w:pPr>
            <w:r>
              <w:rPr>
                <w:rFonts w:hint="eastAsia" w:ascii="仿宋" w:hAnsi="仿宋" w:eastAsia="仿宋" w:cs="仿宋"/>
                <w:sz w:val="24"/>
                <w:szCs w:val="24"/>
              </w:rPr>
              <w:t>2、接收质疑联系方式</w:t>
            </w:r>
            <w:r>
              <w:rPr>
                <w:rFonts w:hint="eastAsia" w:ascii="仿宋" w:hAnsi="仿宋" w:eastAsia="仿宋" w:cs="仿宋"/>
                <w:sz w:val="24"/>
                <w:szCs w:val="24"/>
                <w:lang w:val="en-US" w:eastAsia="zh-CN"/>
              </w:rPr>
              <w:t>同竞争性磋商公告采购人、采购代理机构信息。</w:t>
            </w:r>
          </w:p>
          <w:p w14:paraId="25241F4D">
            <w:pPr>
              <w:overflowPunct w:val="0"/>
              <w:topLinePunct/>
              <w:ind w:firstLine="480" w:firstLineChars="200"/>
              <w:jc w:val="left"/>
              <w:textAlignment w:val="top"/>
              <w:rPr>
                <w:rFonts w:hint="eastAsia" w:ascii="仿宋" w:hAnsi="仿宋" w:eastAsia="仿宋" w:cs="仿宋"/>
                <w:sz w:val="24"/>
                <w:szCs w:val="24"/>
              </w:rPr>
            </w:pPr>
            <w:r>
              <w:rPr>
                <w:rFonts w:hint="eastAsia" w:ascii="仿宋" w:hAnsi="仿宋" w:eastAsia="仿宋" w:cs="仿宋"/>
                <w:sz w:val="24"/>
                <w:szCs w:val="24"/>
              </w:rPr>
              <w:t>3、质疑投标人对采购人、采购代理机构的答复不满意，或者采购人、采购代理机构未在规定时间内作出答复的，可以在答复期满后15个工作日内向有关监督部门提起投诉。</w:t>
            </w:r>
          </w:p>
        </w:tc>
      </w:tr>
      <w:bookmarkEnd w:id="46"/>
      <w:tr w14:paraId="6B3994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1A6B24F4">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10</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.3</w:t>
            </w:r>
          </w:p>
        </w:tc>
        <w:tc>
          <w:tcPr>
            <w:tcW w:w="1896" w:type="dxa"/>
            <w:vAlign w:val="center"/>
          </w:tcPr>
          <w:p w14:paraId="1B755559">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竞争性磋商文件的答疑、澄清、修改、补充等</w:t>
            </w:r>
          </w:p>
        </w:tc>
        <w:tc>
          <w:tcPr>
            <w:tcW w:w="6591" w:type="dxa"/>
            <w:vAlign w:val="center"/>
          </w:tcPr>
          <w:p w14:paraId="7F57ED5A">
            <w:pPr>
              <w:spacing w:line="360" w:lineRule="auto"/>
              <w:rPr>
                <w:rFonts w:ascii="仿宋" w:hAnsi="仿宋" w:eastAsia="仿宋"/>
              </w:rPr>
            </w:pPr>
            <w:r>
              <w:rPr>
                <w:rFonts w:hint="eastAsia" w:ascii="仿宋" w:hAnsi="仿宋" w:eastAsia="仿宋" w:cs="仿宋"/>
                <w:sz w:val="24"/>
                <w:szCs w:val="24"/>
              </w:rPr>
              <w:t>为竞争性磋商文件的有效组成部分</w:t>
            </w:r>
          </w:p>
        </w:tc>
      </w:tr>
      <w:tr w14:paraId="05BDA7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41" w:hRule="atLeast"/>
          <w:jc w:val="center"/>
        </w:trPr>
        <w:tc>
          <w:tcPr>
            <w:tcW w:w="1236" w:type="dxa"/>
            <w:vAlign w:val="center"/>
          </w:tcPr>
          <w:p w14:paraId="1B01CCB0">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w:t>
            </w:r>
            <w:r>
              <w:rPr>
                <w:rFonts w:ascii="仿宋" w:hAnsi="仿宋" w:eastAsia="仿宋" w:cs="仿宋"/>
                <w:snapToGrid w:val="0"/>
                <w:kern w:val="0"/>
                <w:sz w:val="24"/>
                <w:szCs w:val="24"/>
              </w:rPr>
              <w:t>0.</w:t>
            </w:r>
            <w:r>
              <w:rPr>
                <w:rFonts w:hint="eastAsia" w:ascii="仿宋" w:hAnsi="仿宋" w:eastAsia="仿宋" w:cs="仿宋"/>
                <w:snapToGrid w:val="0"/>
                <w:kern w:val="0"/>
                <w:sz w:val="24"/>
                <w:szCs w:val="24"/>
                <w:lang w:val="en-US" w:eastAsia="zh-CN"/>
              </w:rPr>
              <w:t>7</w:t>
            </w:r>
            <w:r>
              <w:rPr>
                <w:rFonts w:ascii="仿宋" w:hAnsi="仿宋" w:eastAsia="仿宋" w:cs="仿宋"/>
                <w:snapToGrid w:val="0"/>
                <w:kern w:val="0"/>
                <w:sz w:val="24"/>
                <w:szCs w:val="24"/>
              </w:rPr>
              <w:t>.4</w:t>
            </w:r>
          </w:p>
        </w:tc>
        <w:tc>
          <w:tcPr>
            <w:tcW w:w="1896" w:type="dxa"/>
            <w:vAlign w:val="center"/>
          </w:tcPr>
          <w:p w14:paraId="2F16309D">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591" w:type="dxa"/>
            <w:vAlign w:val="center"/>
          </w:tcPr>
          <w:p w14:paraId="0153C51D">
            <w:pPr>
              <w:overflowPunct w:val="0"/>
              <w:topLinePunct/>
              <w:jc w:val="left"/>
              <w:textAlignment w:val="top"/>
              <w:rPr>
                <w:rFonts w:ascii="仿宋" w:hAnsi="仿宋" w:eastAsia="仿宋" w:cs="仿宋"/>
                <w:sz w:val="24"/>
                <w:szCs w:val="24"/>
                <w:highlight w:val="none"/>
              </w:rPr>
            </w:pPr>
            <w:r>
              <w:rPr>
                <w:rFonts w:hint="eastAsia" w:ascii="仿宋" w:hAnsi="仿宋" w:eastAsia="仿宋" w:cs="仿宋"/>
                <w:sz w:val="24"/>
                <w:szCs w:val="24"/>
                <w:highlight w:val="none"/>
              </w:rPr>
              <w:t>签订合同后，支付合同额的30%作为预付款，实施方案完成后，支付至合同额的80%，采购人进行履约验收后，支付剩余合同价款。</w:t>
            </w:r>
          </w:p>
        </w:tc>
      </w:tr>
      <w:tr w14:paraId="2F36C9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7C9FBEA">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w:t>
            </w:r>
            <w:r>
              <w:rPr>
                <w:rFonts w:ascii="仿宋" w:hAnsi="仿宋" w:eastAsia="仿宋" w:cs="仿宋"/>
                <w:snapToGrid w:val="0"/>
                <w:kern w:val="0"/>
                <w:sz w:val="24"/>
                <w:szCs w:val="24"/>
              </w:rPr>
              <w:t>0.</w:t>
            </w:r>
            <w:r>
              <w:rPr>
                <w:rFonts w:hint="eastAsia" w:ascii="仿宋" w:hAnsi="仿宋" w:eastAsia="仿宋" w:cs="仿宋"/>
                <w:snapToGrid w:val="0"/>
                <w:kern w:val="0"/>
                <w:sz w:val="24"/>
                <w:szCs w:val="24"/>
                <w:lang w:val="en-US" w:eastAsia="zh-CN"/>
              </w:rPr>
              <w:t>7</w:t>
            </w:r>
            <w:r>
              <w:rPr>
                <w:rFonts w:ascii="仿宋" w:hAnsi="仿宋" w:eastAsia="仿宋" w:cs="仿宋"/>
                <w:snapToGrid w:val="0"/>
                <w:kern w:val="0"/>
                <w:sz w:val="24"/>
                <w:szCs w:val="24"/>
              </w:rPr>
              <w:t>.5</w:t>
            </w:r>
          </w:p>
        </w:tc>
        <w:tc>
          <w:tcPr>
            <w:tcW w:w="1896" w:type="dxa"/>
            <w:vAlign w:val="center"/>
          </w:tcPr>
          <w:p w14:paraId="7AD22BA2">
            <w:pPr>
              <w:spacing w:line="360" w:lineRule="auto"/>
              <w:jc w:val="center"/>
              <w:rPr>
                <w:rFonts w:ascii="仿宋" w:hAnsi="仿宋" w:eastAsia="仿宋" w:cs="仿宋"/>
                <w:sz w:val="24"/>
                <w:szCs w:val="24"/>
              </w:rPr>
            </w:pPr>
            <w:r>
              <w:rPr>
                <w:rFonts w:hint="eastAsia" w:ascii="仿宋" w:hAnsi="仿宋" w:eastAsia="仿宋" w:cs="仿宋"/>
                <w:sz w:val="24"/>
                <w:szCs w:val="24"/>
              </w:rPr>
              <w:t>验收标准</w:t>
            </w:r>
          </w:p>
        </w:tc>
        <w:tc>
          <w:tcPr>
            <w:tcW w:w="6591" w:type="dxa"/>
            <w:vAlign w:val="center"/>
          </w:tcPr>
          <w:p w14:paraId="6BE0EED1">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采购人根据国家有关规定、磋商文件、成交供应商的响应文件以及合同约定的内容和验收标准进行验收。验收情况作为合同款支付的依据。</w:t>
            </w:r>
          </w:p>
        </w:tc>
      </w:tr>
      <w:tr w14:paraId="641A68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63E1E926">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w:t>
            </w:r>
            <w:r>
              <w:rPr>
                <w:rFonts w:ascii="仿宋" w:hAnsi="仿宋" w:eastAsia="仿宋" w:cs="仿宋"/>
                <w:snapToGrid w:val="0"/>
                <w:kern w:val="0"/>
                <w:sz w:val="24"/>
                <w:szCs w:val="24"/>
              </w:rPr>
              <w:t>0.</w:t>
            </w:r>
            <w:r>
              <w:rPr>
                <w:rFonts w:hint="eastAsia" w:ascii="仿宋" w:hAnsi="仿宋" w:eastAsia="仿宋" w:cs="仿宋"/>
                <w:snapToGrid w:val="0"/>
                <w:kern w:val="0"/>
                <w:sz w:val="24"/>
                <w:szCs w:val="24"/>
                <w:lang w:val="en-US" w:eastAsia="zh-CN"/>
              </w:rPr>
              <w:t>7</w:t>
            </w:r>
            <w:r>
              <w:rPr>
                <w:rFonts w:ascii="仿宋" w:hAnsi="仿宋" w:eastAsia="仿宋" w:cs="仿宋"/>
                <w:snapToGrid w:val="0"/>
                <w:kern w:val="0"/>
                <w:sz w:val="24"/>
                <w:szCs w:val="24"/>
              </w:rPr>
              <w:t>.6</w:t>
            </w:r>
          </w:p>
        </w:tc>
        <w:tc>
          <w:tcPr>
            <w:tcW w:w="1896" w:type="dxa"/>
            <w:vAlign w:val="center"/>
          </w:tcPr>
          <w:p w14:paraId="6CBA3177">
            <w:pPr>
              <w:spacing w:line="360" w:lineRule="auto"/>
              <w:jc w:val="center"/>
              <w:rPr>
                <w:rFonts w:ascii="仿宋" w:hAnsi="仿宋" w:eastAsia="仿宋" w:cs="仿宋"/>
                <w:sz w:val="24"/>
                <w:szCs w:val="24"/>
              </w:rPr>
            </w:pPr>
            <w:r>
              <w:rPr>
                <w:rFonts w:hint="eastAsia" w:ascii="仿宋" w:hAnsi="仿宋" w:eastAsia="仿宋" w:cs="仿宋"/>
                <w:sz w:val="24"/>
                <w:szCs w:val="24"/>
              </w:rPr>
              <w:t>所属行业</w:t>
            </w:r>
          </w:p>
        </w:tc>
        <w:tc>
          <w:tcPr>
            <w:tcW w:w="6591" w:type="dxa"/>
            <w:vAlign w:val="center"/>
          </w:tcPr>
          <w:p w14:paraId="3E089A31">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其他未列明行业</w:t>
            </w:r>
          </w:p>
          <w:p w14:paraId="6B101C4B">
            <w:pPr>
              <w:overflowPunct w:val="0"/>
              <w:topLinePunct/>
              <w:jc w:val="left"/>
              <w:textAlignment w:val="top"/>
              <w:rPr>
                <w:rFonts w:ascii="仿宋" w:hAnsi="仿宋" w:eastAsia="仿宋" w:cs="仿宋"/>
                <w:sz w:val="24"/>
                <w:szCs w:val="24"/>
              </w:rPr>
            </w:pPr>
            <w:r>
              <w:rPr>
                <w:rFonts w:hint="eastAsia" w:ascii="仿宋" w:hAnsi="仿宋" w:eastAsia="仿宋" w:cs="仿宋"/>
                <w:sz w:val="24"/>
                <w:szCs w:val="24"/>
              </w:rPr>
              <w:t>划定标准为：中小微企业划分按照《国家统计局关于印发&lt;统计上大中小微型企业划分办法（2017）&gt;的通知》国统字【2017】213 号文件及《工业和信息化部、国家统计局、国家发展和改革委员会、财政部关于印发&lt; 中小企业划型标准规定&gt;（工信部联企业〔2011〕300号）规定的划分标准为依据。</w:t>
            </w:r>
          </w:p>
        </w:tc>
      </w:tr>
      <w:tr w14:paraId="7BCBC7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6438135A">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w:t>
            </w:r>
            <w:r>
              <w:rPr>
                <w:rFonts w:ascii="仿宋" w:hAnsi="仿宋" w:eastAsia="仿宋" w:cs="仿宋"/>
                <w:snapToGrid w:val="0"/>
                <w:kern w:val="0"/>
                <w:sz w:val="24"/>
                <w:szCs w:val="24"/>
              </w:rPr>
              <w:t>0.</w:t>
            </w:r>
            <w:r>
              <w:rPr>
                <w:rFonts w:hint="eastAsia" w:ascii="仿宋" w:hAnsi="仿宋" w:eastAsia="仿宋" w:cs="仿宋"/>
                <w:snapToGrid w:val="0"/>
                <w:kern w:val="0"/>
                <w:sz w:val="24"/>
                <w:szCs w:val="24"/>
                <w:lang w:val="en-US" w:eastAsia="zh-CN"/>
              </w:rPr>
              <w:t>7</w:t>
            </w:r>
            <w:r>
              <w:rPr>
                <w:rFonts w:ascii="仿宋" w:hAnsi="仿宋" w:eastAsia="仿宋" w:cs="仿宋"/>
                <w:snapToGrid w:val="0"/>
                <w:kern w:val="0"/>
                <w:sz w:val="24"/>
                <w:szCs w:val="24"/>
              </w:rPr>
              <w:t>.8</w:t>
            </w:r>
          </w:p>
        </w:tc>
        <w:tc>
          <w:tcPr>
            <w:tcW w:w="1896" w:type="dxa"/>
            <w:vAlign w:val="center"/>
          </w:tcPr>
          <w:p w14:paraId="564B59EE">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落实绿色产品（节能产品、环境标志产品）优先采购政策。</w:t>
            </w:r>
          </w:p>
        </w:tc>
        <w:tc>
          <w:tcPr>
            <w:tcW w:w="6591" w:type="dxa"/>
            <w:vAlign w:val="center"/>
          </w:tcPr>
          <w:p w14:paraId="23C5F16E">
            <w:pPr>
              <w:spacing w:line="360" w:lineRule="auto"/>
              <w:jc w:val="both"/>
              <w:rPr>
                <w:rFonts w:ascii="仿宋" w:hAnsi="仿宋" w:eastAsia="仿宋" w:cs="仿宋"/>
                <w:bCs/>
                <w:sz w:val="24"/>
                <w:szCs w:val="24"/>
              </w:rPr>
            </w:pPr>
            <w:r>
              <w:rPr>
                <w:rFonts w:hint="eastAsia" w:ascii="仿宋" w:hAnsi="仿宋" w:eastAsia="仿宋" w:cs="仿宋"/>
                <w:bCs/>
                <w:sz w:val="24"/>
              </w:rPr>
              <w:t>不适用</w:t>
            </w:r>
          </w:p>
        </w:tc>
      </w:tr>
      <w:tr w14:paraId="64211B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539E3420">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w:t>
            </w:r>
            <w:r>
              <w:rPr>
                <w:rFonts w:ascii="仿宋" w:hAnsi="仿宋" w:eastAsia="仿宋" w:cs="仿宋"/>
                <w:snapToGrid w:val="0"/>
                <w:kern w:val="0"/>
                <w:sz w:val="24"/>
                <w:szCs w:val="24"/>
              </w:rPr>
              <w:t>0.</w:t>
            </w:r>
            <w:r>
              <w:rPr>
                <w:rFonts w:hint="eastAsia" w:ascii="仿宋" w:hAnsi="仿宋" w:eastAsia="仿宋" w:cs="仿宋"/>
                <w:snapToGrid w:val="0"/>
                <w:kern w:val="0"/>
                <w:sz w:val="24"/>
                <w:szCs w:val="24"/>
                <w:lang w:val="en-US" w:eastAsia="zh-CN"/>
              </w:rPr>
              <w:t>7</w:t>
            </w:r>
            <w:r>
              <w:rPr>
                <w:rFonts w:ascii="仿宋" w:hAnsi="仿宋" w:eastAsia="仿宋" w:cs="仿宋"/>
                <w:snapToGrid w:val="0"/>
                <w:kern w:val="0"/>
                <w:sz w:val="24"/>
                <w:szCs w:val="24"/>
              </w:rPr>
              <w:t>.9</w:t>
            </w:r>
          </w:p>
        </w:tc>
        <w:tc>
          <w:tcPr>
            <w:tcW w:w="1896" w:type="dxa"/>
            <w:vAlign w:val="center"/>
          </w:tcPr>
          <w:p w14:paraId="77428377">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政采领域优化营商环境相关政策</w:t>
            </w:r>
          </w:p>
        </w:tc>
        <w:tc>
          <w:tcPr>
            <w:tcW w:w="6591" w:type="dxa"/>
            <w:vAlign w:val="center"/>
          </w:tcPr>
          <w:p w14:paraId="626F613E">
            <w:pPr>
              <w:adjustRightInd w:val="0"/>
              <w:snapToGrid w:val="0"/>
              <w:ind w:firstLine="482" w:firstLineChars="200"/>
              <w:rPr>
                <w:rFonts w:hint="eastAsia" w:ascii="仿宋" w:hAnsi="仿宋" w:eastAsia="仿宋" w:cs="仿宋"/>
                <w:b/>
                <w:bCs/>
                <w:sz w:val="24"/>
              </w:rPr>
            </w:pPr>
            <w:r>
              <w:rPr>
                <w:rFonts w:hint="eastAsia" w:ascii="仿宋" w:hAnsi="仿宋" w:eastAsia="仿宋" w:cs="仿宋"/>
                <w:b/>
                <w:bCs/>
                <w:sz w:val="24"/>
                <w:lang w:val="en-US" w:eastAsia="zh-CN"/>
              </w:rPr>
              <w:t>一</w:t>
            </w:r>
            <w:r>
              <w:rPr>
                <w:rFonts w:hint="eastAsia" w:ascii="仿宋" w:hAnsi="仿宋" w:eastAsia="仿宋" w:cs="仿宋"/>
                <w:b/>
                <w:bCs/>
                <w:sz w:val="24"/>
              </w:rPr>
              <w:t>、落实四个“一日办”精神：</w:t>
            </w:r>
          </w:p>
          <w:p w14:paraId="5E91F799">
            <w:pPr>
              <w:adjustRightInd w:val="0"/>
              <w:snapToGrid w:val="0"/>
              <w:ind w:firstLine="480" w:firstLineChars="200"/>
              <w:rPr>
                <w:rFonts w:hint="eastAsia" w:ascii="仿宋" w:hAnsi="仿宋" w:eastAsia="仿宋" w:cs="仿宋"/>
                <w:sz w:val="24"/>
              </w:rPr>
            </w:pPr>
            <w:r>
              <w:rPr>
                <w:rFonts w:hint="eastAsia" w:ascii="仿宋" w:hAnsi="仿宋" w:eastAsia="仿宋" w:cs="仿宋"/>
                <w:sz w:val="24"/>
              </w:rPr>
              <w:t>按照《平顶山市财政局关于压减政府采购各环节时限 进一步优化政府采购营商环境的通知》（平财购〔2021〕34号）通知，落实四个“一日办”精神：</w:t>
            </w:r>
          </w:p>
          <w:p w14:paraId="40A99846">
            <w:pPr>
              <w:adjustRightInd w:val="0"/>
              <w:snapToGrid w:val="0"/>
              <w:ind w:firstLine="480" w:firstLineChars="200"/>
              <w:rPr>
                <w:rFonts w:hint="eastAsia" w:ascii="仿宋" w:hAnsi="仿宋" w:eastAsia="仿宋" w:cs="仿宋"/>
                <w:sz w:val="24"/>
              </w:rPr>
            </w:pPr>
            <w:r>
              <w:rPr>
                <w:rFonts w:hint="eastAsia" w:ascii="仿宋" w:hAnsi="仿宋" w:eastAsia="仿宋" w:cs="仿宋"/>
                <w:sz w:val="24"/>
              </w:rPr>
              <w:t>（1）在评审结束后1日内确定采购结果，同时对中标单位发出中标或成交通知书，并在网上进行公告；</w:t>
            </w:r>
          </w:p>
          <w:p w14:paraId="3FE11060">
            <w:pPr>
              <w:adjustRightInd w:val="0"/>
              <w:snapToGrid w:val="0"/>
              <w:ind w:firstLine="480" w:firstLineChars="200"/>
              <w:rPr>
                <w:rFonts w:hint="eastAsia" w:ascii="仿宋" w:hAnsi="仿宋" w:eastAsia="仿宋" w:cs="仿宋"/>
                <w:sz w:val="24"/>
              </w:rPr>
            </w:pPr>
            <w:r>
              <w:rPr>
                <w:rFonts w:hint="eastAsia" w:ascii="仿宋" w:hAnsi="仿宋" w:eastAsia="仿宋" w:cs="仿宋"/>
                <w:sz w:val="24"/>
              </w:rPr>
              <w:t>（2）中标或成交通知书发出后，1日内与中标或成交供应商签订合同，合同签订当日完成合同备案工作；</w:t>
            </w:r>
          </w:p>
          <w:p w14:paraId="6E51CB63">
            <w:pPr>
              <w:adjustRightInd w:val="0"/>
              <w:snapToGrid w:val="0"/>
              <w:ind w:firstLine="480" w:firstLineChars="200"/>
              <w:rPr>
                <w:rFonts w:hint="eastAsia" w:ascii="仿宋" w:hAnsi="仿宋" w:eastAsia="仿宋" w:cs="仿宋"/>
                <w:sz w:val="24"/>
              </w:rPr>
            </w:pPr>
            <w:r>
              <w:rPr>
                <w:rFonts w:hint="eastAsia" w:ascii="仿宋" w:hAnsi="仿宋" w:eastAsia="仿宋" w:cs="仿宋"/>
                <w:sz w:val="24"/>
              </w:rPr>
              <w:t>（3）政府采购项目供应商履约完成后，采购人应在供应商提出验收申请1个工作日内完成验收，同时在平顶山市政府采购网发布验收结果公告；</w:t>
            </w:r>
          </w:p>
          <w:p w14:paraId="78C2BEEF">
            <w:pPr>
              <w:adjustRightInd w:val="0"/>
              <w:snapToGrid w:val="0"/>
              <w:ind w:firstLine="480" w:firstLineChars="200"/>
              <w:rPr>
                <w:rFonts w:hint="eastAsia" w:ascii="仿宋" w:hAnsi="仿宋" w:eastAsia="仿宋" w:cs="仿宋"/>
                <w:sz w:val="24"/>
              </w:rPr>
            </w:pPr>
            <w:r>
              <w:rPr>
                <w:rFonts w:hint="eastAsia" w:ascii="仿宋" w:hAnsi="仿宋" w:eastAsia="仿宋" w:cs="仿宋"/>
                <w:sz w:val="24"/>
              </w:rPr>
              <w:t>（4）验收合格具备付款条件的项目，采购人要在1个工作日内按照合同约定支付项目资金。</w:t>
            </w:r>
          </w:p>
          <w:p w14:paraId="74588B44">
            <w:pPr>
              <w:adjustRightInd w:val="0"/>
              <w:snapToGrid w:val="0"/>
              <w:ind w:firstLine="482" w:firstLineChars="200"/>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维护企业在政府采购活动中的知情权</w:t>
            </w:r>
          </w:p>
          <w:p w14:paraId="3D82CAB9">
            <w:pPr>
              <w:adjustRightInd w:val="0"/>
              <w:snapToGrid w:val="0"/>
              <w:ind w:firstLine="480" w:firstLineChars="200"/>
              <w:rPr>
                <w:rFonts w:ascii="仿宋" w:hAnsi="仿宋" w:eastAsia="仿宋" w:cs="仿宋"/>
                <w:sz w:val="24"/>
              </w:rPr>
            </w:pPr>
            <w:r>
              <w:rPr>
                <w:rFonts w:hint="eastAsia" w:ascii="仿宋" w:hAnsi="仿宋" w:eastAsia="仿宋" w:cs="仿宋"/>
                <w:sz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21890BCE">
            <w:pPr>
              <w:adjustRightInd w:val="0"/>
              <w:snapToGrid w:val="0"/>
              <w:ind w:firstLine="482" w:firstLineChars="200"/>
              <w:rPr>
                <w:rFonts w:ascii="仿宋" w:hAnsi="仿宋" w:eastAsia="仿宋" w:cs="仿宋"/>
                <w:b/>
                <w:sz w:val="24"/>
              </w:rPr>
            </w:pPr>
            <w:r>
              <w:rPr>
                <w:rFonts w:hint="eastAsia" w:ascii="仿宋" w:hAnsi="仿宋" w:eastAsia="仿宋" w:cs="仿宋"/>
                <w:b/>
                <w:sz w:val="24"/>
                <w:lang w:val="en-US" w:eastAsia="zh-CN"/>
              </w:rPr>
              <w:t>三</w:t>
            </w:r>
            <w:r>
              <w:rPr>
                <w:rFonts w:hint="eastAsia" w:ascii="仿宋" w:hAnsi="仿宋" w:eastAsia="仿宋" w:cs="仿宋"/>
                <w:b/>
                <w:sz w:val="24"/>
              </w:rPr>
              <w:t>、提供中小企业声明函格式</w:t>
            </w:r>
          </w:p>
          <w:p w14:paraId="4349A5BD">
            <w:pPr>
              <w:adjustRightInd w:val="0"/>
              <w:snapToGrid w:val="0"/>
              <w:ind w:firstLine="480" w:firstLineChars="200"/>
              <w:rPr>
                <w:rFonts w:ascii="仿宋" w:hAnsi="仿宋" w:eastAsia="仿宋" w:cs="仿宋"/>
                <w:sz w:val="24"/>
              </w:rPr>
            </w:pPr>
            <w:r>
              <w:rPr>
                <w:rFonts w:hint="eastAsia" w:ascii="仿宋" w:hAnsi="仿宋" w:eastAsia="仿宋" w:cs="仿宋"/>
                <w:sz w:val="24"/>
              </w:rPr>
              <w:t>在采购文件中，采购代理机构应按照财政部、工信部印发的《政府采购促进中小企业发展管理办法》的通知精神（财库〔2020〕46号）提供中小企业声明函格式。</w:t>
            </w:r>
          </w:p>
          <w:p w14:paraId="3D2ED6C0">
            <w:pPr>
              <w:adjustRightInd w:val="0"/>
              <w:snapToGrid w:val="0"/>
              <w:ind w:firstLine="480" w:firstLineChars="200"/>
              <w:rPr>
                <w:rFonts w:ascii="仿宋" w:hAnsi="仿宋" w:eastAsia="仿宋" w:cs="仿宋"/>
                <w:sz w:val="24"/>
              </w:rPr>
            </w:pPr>
            <w:r>
              <w:rPr>
                <w:rFonts w:hint="eastAsia" w:ascii="仿宋" w:hAnsi="仿宋" w:eastAsia="仿宋" w:cs="仿宋"/>
                <w:sz w:val="24"/>
              </w:rPr>
              <w:t>根据政府采购促进中小企业发展管理办法》（财库〔2020〕46号）第四条：在政府采购活动中，供应商提供的货物、工程或者服务符合下列情形的，享受本办法规定的中小企业扶持政策：</w:t>
            </w:r>
          </w:p>
          <w:p w14:paraId="2FE16FAD">
            <w:pPr>
              <w:adjustRightInd w:val="0"/>
              <w:snapToGrid w:val="0"/>
              <w:ind w:firstLine="480" w:firstLineChars="200"/>
              <w:rPr>
                <w:rFonts w:ascii="仿宋" w:hAnsi="仿宋" w:eastAsia="仿宋" w:cs="仿宋"/>
                <w:sz w:val="24"/>
              </w:rPr>
            </w:pPr>
            <w:r>
              <w:rPr>
                <w:rFonts w:hint="eastAsia" w:ascii="仿宋" w:hAnsi="仿宋" w:eastAsia="仿宋" w:cs="仿宋"/>
                <w:sz w:val="24"/>
              </w:rPr>
              <w:t>（一）在货物采购项目中，货物由中小企业制造，即货物由中小企业生产且使用该中小企业商号或者注册商标；</w:t>
            </w:r>
          </w:p>
          <w:p w14:paraId="4B425045">
            <w:pPr>
              <w:adjustRightInd w:val="0"/>
              <w:snapToGrid w:val="0"/>
              <w:ind w:firstLine="480" w:firstLineChars="200"/>
              <w:rPr>
                <w:rFonts w:ascii="仿宋" w:hAnsi="仿宋" w:eastAsia="仿宋" w:cs="仿宋"/>
                <w:sz w:val="24"/>
              </w:rPr>
            </w:pPr>
            <w:r>
              <w:rPr>
                <w:rFonts w:hint="eastAsia" w:ascii="仿宋" w:hAnsi="仿宋" w:eastAsia="仿宋" w:cs="仿宋"/>
                <w:sz w:val="24"/>
              </w:rPr>
              <w:t>（二）在工程采购项目中，工程由中小企业承建，即工程施工单位为中小企业；</w:t>
            </w:r>
          </w:p>
          <w:p w14:paraId="64BEC757">
            <w:pPr>
              <w:adjustRightInd w:val="0"/>
              <w:snapToGrid w:val="0"/>
              <w:ind w:firstLine="480" w:firstLineChars="200"/>
              <w:rPr>
                <w:rFonts w:ascii="仿宋" w:hAnsi="仿宋" w:eastAsia="仿宋" w:cs="仿宋"/>
                <w:sz w:val="24"/>
              </w:rPr>
            </w:pPr>
            <w:r>
              <w:rPr>
                <w:rFonts w:hint="eastAsia" w:ascii="仿宋" w:hAnsi="仿宋" w:eastAsia="仿宋" w:cs="仿宋"/>
                <w:sz w:val="24"/>
              </w:rPr>
              <w:t>（三）在服务采购项目中，服务由中小企业承接，即提供服务的人员为中小企业依照《中华人民共和国劳动合同法》订立劳动合同的从业人员。</w:t>
            </w:r>
          </w:p>
          <w:p w14:paraId="2A1A493D">
            <w:pPr>
              <w:adjustRightInd w:val="0"/>
              <w:snapToGrid w:val="0"/>
              <w:ind w:firstLine="480" w:firstLineChars="200"/>
              <w:rPr>
                <w:rFonts w:ascii="仿宋" w:hAnsi="仿宋" w:eastAsia="仿宋" w:cs="仿宋"/>
                <w:sz w:val="24"/>
              </w:rPr>
            </w:pPr>
            <w:r>
              <w:rPr>
                <w:rFonts w:hint="eastAsia" w:ascii="仿宋" w:hAnsi="仿宋" w:eastAsia="仿宋" w:cs="仿宋"/>
                <w:sz w:val="24"/>
              </w:rPr>
              <w:t>在货物采购项目中，投标人提供的货物既有中小企业制造货物，也有大型企业制造货物的，不享受本办法规定的中小企业扶持政策。</w:t>
            </w:r>
          </w:p>
          <w:p w14:paraId="2E0D5284">
            <w:pPr>
              <w:adjustRightInd w:val="0"/>
              <w:snapToGrid w:val="0"/>
              <w:ind w:firstLine="480" w:firstLineChars="200"/>
              <w:rPr>
                <w:rFonts w:ascii="仿宋" w:hAnsi="仿宋" w:eastAsia="仿宋" w:cs="仿宋"/>
                <w:sz w:val="24"/>
              </w:rPr>
            </w:pPr>
            <w:r>
              <w:rPr>
                <w:rFonts w:hint="eastAsia" w:ascii="仿宋" w:hAnsi="仿宋" w:eastAsia="仿宋" w:cs="仿宋"/>
                <w:sz w:val="24"/>
              </w:rPr>
              <w:t>以联合体形式参加政府采购活动，联合体各方均为中小企业的，联合体视同中小企业。其中，联合体各方均为小微企业的，联合体视同小微企业。</w:t>
            </w:r>
          </w:p>
          <w:p w14:paraId="6F3C2003">
            <w:pPr>
              <w:adjustRightInd w:val="0"/>
              <w:snapToGrid w:val="0"/>
              <w:ind w:firstLine="482" w:firstLineChars="200"/>
              <w:rPr>
                <w:rFonts w:ascii="仿宋" w:hAnsi="仿宋" w:eastAsia="仿宋" w:cs="仿宋"/>
                <w:b/>
                <w:sz w:val="24"/>
              </w:rPr>
            </w:pPr>
            <w:r>
              <w:rPr>
                <w:rFonts w:hint="eastAsia" w:ascii="仿宋" w:hAnsi="仿宋" w:eastAsia="仿宋" w:cs="仿宋"/>
                <w:b/>
                <w:sz w:val="24"/>
                <w:lang w:val="en-US" w:eastAsia="zh-CN"/>
              </w:rPr>
              <w:t>四</w:t>
            </w:r>
            <w:r>
              <w:rPr>
                <w:rFonts w:hint="eastAsia" w:ascii="仿宋" w:hAnsi="仿宋" w:eastAsia="仿宋" w:cs="仿宋"/>
                <w:b/>
                <w:sz w:val="24"/>
              </w:rPr>
              <w:t>、推广政府采购合同融资</w:t>
            </w:r>
          </w:p>
          <w:p w14:paraId="7F5975E1">
            <w:pPr>
              <w:adjustRightInd w:val="0"/>
              <w:snapToGrid w:val="0"/>
              <w:ind w:firstLine="480" w:firstLineChars="200"/>
              <w:rPr>
                <w:rFonts w:ascii="仿宋" w:hAnsi="仿宋" w:eastAsia="仿宋" w:cs="仿宋"/>
                <w:sz w:val="24"/>
              </w:rPr>
            </w:pPr>
            <w:r>
              <w:rPr>
                <w:rFonts w:hint="eastAsia" w:ascii="仿宋" w:hAnsi="仿宋" w:eastAsia="仿宋" w:cs="仿宋"/>
                <w:sz w:val="24"/>
              </w:rPr>
              <w:t>要求采购人和代理机构将“政府采购合同融资告知函”写入招标/磋商文件，鼓励中标供应商凭借采购合同申请贷款，助力解决中小企业融资难、融资贵的问题。</w:t>
            </w:r>
          </w:p>
          <w:p w14:paraId="35B2AA50">
            <w:pPr>
              <w:adjustRightInd w:val="0"/>
              <w:snapToGrid w:val="0"/>
              <w:ind w:firstLine="482" w:firstLineChars="200"/>
              <w:rPr>
                <w:rFonts w:ascii="仿宋" w:hAnsi="仿宋" w:eastAsia="仿宋" w:cs="仿宋"/>
                <w:b/>
                <w:sz w:val="24"/>
              </w:rPr>
            </w:pPr>
            <w:r>
              <w:rPr>
                <w:rFonts w:hint="eastAsia" w:ascii="仿宋" w:hAnsi="仿宋" w:eastAsia="仿宋" w:cs="仿宋"/>
                <w:b/>
                <w:sz w:val="24"/>
                <w:lang w:val="en-US" w:eastAsia="zh-CN"/>
              </w:rPr>
              <w:t>五</w:t>
            </w:r>
            <w:r>
              <w:rPr>
                <w:rFonts w:hint="eastAsia" w:ascii="仿宋" w:hAnsi="仿宋" w:eastAsia="仿宋" w:cs="仿宋"/>
                <w:b/>
                <w:sz w:val="24"/>
              </w:rPr>
              <w:t>、落实预留采购份额</w:t>
            </w:r>
          </w:p>
          <w:p w14:paraId="23D4061C">
            <w:pPr>
              <w:adjustRightInd w:val="0"/>
              <w:snapToGrid w:val="0"/>
              <w:ind w:firstLine="480" w:firstLineChars="200"/>
              <w:rPr>
                <w:rFonts w:ascii="仿宋" w:hAnsi="仿宋" w:eastAsia="仿宋" w:cs="仿宋"/>
                <w:sz w:val="24"/>
              </w:rPr>
            </w:pPr>
            <w:r>
              <w:rPr>
                <w:rFonts w:hint="eastAsia" w:ascii="仿宋" w:hAnsi="仿宋" w:eastAsia="仿宋" w:cs="仿宋"/>
                <w:sz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3259044B">
            <w:pPr>
              <w:adjustRightInd w:val="0"/>
              <w:snapToGrid w:val="0"/>
              <w:ind w:firstLine="482" w:firstLineChars="200"/>
              <w:rPr>
                <w:rFonts w:ascii="仿宋" w:hAnsi="仿宋" w:eastAsia="仿宋" w:cs="仿宋"/>
                <w:b/>
                <w:sz w:val="24"/>
              </w:rPr>
            </w:pPr>
            <w:r>
              <w:rPr>
                <w:rFonts w:hint="eastAsia" w:ascii="仿宋" w:hAnsi="仿宋" w:eastAsia="仿宋" w:cs="仿宋"/>
                <w:b/>
                <w:sz w:val="24"/>
                <w:lang w:val="en-US" w:eastAsia="zh-CN"/>
              </w:rPr>
              <w:t>六</w:t>
            </w:r>
            <w:r>
              <w:rPr>
                <w:rFonts w:hint="eastAsia" w:ascii="仿宋" w:hAnsi="仿宋" w:eastAsia="仿宋" w:cs="仿宋"/>
                <w:b/>
                <w:sz w:val="24"/>
              </w:rPr>
              <w:t>、落实价格评审优惠政策</w:t>
            </w:r>
          </w:p>
          <w:p w14:paraId="64227C45">
            <w:pPr>
              <w:adjustRightInd w:val="0"/>
              <w:snapToGrid w:val="0"/>
              <w:ind w:firstLine="480" w:firstLineChars="200"/>
              <w:rPr>
                <w:rFonts w:ascii="仿宋" w:hAnsi="仿宋" w:eastAsia="仿宋" w:cs="仿宋"/>
                <w:sz w:val="24"/>
                <w:szCs w:val="24"/>
              </w:rPr>
            </w:pPr>
            <w:r>
              <w:rPr>
                <w:rFonts w:hint="eastAsia" w:ascii="仿宋" w:hAnsi="仿宋" w:eastAsia="仿宋" w:cs="仿宋"/>
                <w:sz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14:paraId="15FEA7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65339DBF">
            <w:pPr>
              <w:spacing w:line="380" w:lineRule="exact"/>
              <w:jc w:val="center"/>
              <w:rPr>
                <w:rFonts w:ascii="仿宋" w:hAnsi="仿宋" w:eastAsia="仿宋" w:cs="仿宋"/>
                <w:snapToGrid w:val="0"/>
                <w:kern w:val="0"/>
                <w:sz w:val="24"/>
                <w:szCs w:val="24"/>
              </w:rPr>
            </w:pPr>
            <w:r>
              <w:rPr>
                <w:rFonts w:hint="eastAsia" w:ascii="仿宋" w:hAnsi="仿宋" w:eastAsia="仿宋" w:cs="仿宋"/>
                <w:snapToGrid w:val="0"/>
                <w:kern w:val="0"/>
                <w:sz w:val="24"/>
                <w:szCs w:val="24"/>
              </w:rPr>
              <w:t>1</w:t>
            </w:r>
            <w:r>
              <w:rPr>
                <w:rFonts w:ascii="仿宋" w:hAnsi="仿宋" w:eastAsia="仿宋" w:cs="仿宋"/>
                <w:snapToGrid w:val="0"/>
                <w:kern w:val="0"/>
                <w:sz w:val="24"/>
                <w:szCs w:val="24"/>
              </w:rPr>
              <w:t>0.</w:t>
            </w:r>
            <w:r>
              <w:rPr>
                <w:rFonts w:hint="eastAsia" w:ascii="仿宋" w:hAnsi="仿宋" w:eastAsia="仿宋" w:cs="仿宋"/>
                <w:snapToGrid w:val="0"/>
                <w:kern w:val="0"/>
                <w:sz w:val="24"/>
                <w:szCs w:val="24"/>
                <w:lang w:val="en-US" w:eastAsia="zh-CN"/>
              </w:rPr>
              <w:t>7</w:t>
            </w:r>
            <w:r>
              <w:rPr>
                <w:rFonts w:ascii="仿宋" w:hAnsi="仿宋" w:eastAsia="仿宋" w:cs="仿宋"/>
                <w:snapToGrid w:val="0"/>
                <w:kern w:val="0"/>
                <w:sz w:val="24"/>
                <w:szCs w:val="24"/>
              </w:rPr>
              <w:t>.10</w:t>
            </w:r>
          </w:p>
        </w:tc>
        <w:tc>
          <w:tcPr>
            <w:tcW w:w="1896" w:type="dxa"/>
            <w:vAlign w:val="center"/>
          </w:tcPr>
          <w:p w14:paraId="08379D47">
            <w:pPr>
              <w:overflowPunct w:val="0"/>
              <w:topLinePunct/>
              <w:jc w:val="center"/>
              <w:textAlignment w:val="top"/>
              <w:rPr>
                <w:rFonts w:ascii="仿宋" w:hAnsi="仿宋" w:eastAsia="仿宋" w:cs="仿宋"/>
                <w:sz w:val="24"/>
                <w:szCs w:val="24"/>
              </w:rPr>
            </w:pPr>
            <w:r>
              <w:rPr>
                <w:rFonts w:hint="eastAsia" w:ascii="仿宋" w:hAnsi="仿宋" w:eastAsia="仿宋" w:cs="仿宋"/>
                <w:sz w:val="24"/>
                <w:szCs w:val="24"/>
              </w:rPr>
              <w:t>监狱企业、残疾人福利性企业优惠政策</w:t>
            </w:r>
          </w:p>
        </w:tc>
        <w:tc>
          <w:tcPr>
            <w:tcW w:w="6591" w:type="dxa"/>
            <w:vAlign w:val="center"/>
          </w:tcPr>
          <w:p w14:paraId="58996E0E">
            <w:pPr>
              <w:overflowPunct w:val="0"/>
              <w:topLinePunct/>
              <w:adjustRightInd w:val="0"/>
              <w:snapToGrid w:val="0"/>
              <w:ind w:firstLine="480" w:firstLineChars="200"/>
              <w:textAlignment w:val="top"/>
              <w:rPr>
                <w:rFonts w:ascii="仿宋" w:hAnsi="仿宋" w:eastAsia="仿宋" w:cs="仿宋"/>
                <w:sz w:val="24"/>
                <w:szCs w:val="24"/>
              </w:rPr>
            </w:pPr>
            <w:r>
              <w:rPr>
                <w:rFonts w:hint="eastAsia" w:ascii="仿宋" w:hAnsi="仿宋" w:eastAsia="仿宋" w:cs="仿宋"/>
                <w:sz w:val="24"/>
                <w:szCs w:val="24"/>
              </w:rPr>
              <w:t>根据《财政部、司法部关于政府采购支持监狱企业发展有关问题的通知》(财库〔2014〕68号)的规定，提供由省级以上监狱管理局、戒毒管理局（含新疆生产建设兵团）出具的属于监狱企业的证明文件的，监狱企业视同小型、微型企业。</w:t>
            </w:r>
          </w:p>
          <w:p w14:paraId="111FF0F2">
            <w:pPr>
              <w:overflowPunct w:val="0"/>
              <w:topLinePunct/>
              <w:adjustRightInd w:val="0"/>
              <w:snapToGrid w:val="0"/>
              <w:ind w:firstLine="470" w:firstLineChars="196"/>
              <w:textAlignment w:val="top"/>
              <w:rPr>
                <w:rFonts w:ascii="仿宋" w:hAnsi="仿宋" w:eastAsia="仿宋" w:cs="仿宋"/>
                <w:sz w:val="24"/>
                <w:szCs w:val="24"/>
              </w:rPr>
            </w:pPr>
            <w:r>
              <w:rPr>
                <w:rFonts w:hint="eastAsia" w:ascii="仿宋" w:hAnsi="仿宋" w:eastAsia="仿宋" w:cs="仿宋"/>
                <w:sz w:val="24"/>
                <w:szCs w:val="24"/>
              </w:rPr>
              <w:t>根据《财政部、民政部、中国残疾人联合会关于促进残疾人就业政府采购政策的通知》（财库[2017]141号）的规定，提供《残疾人福利性单位声明函》（见附件），并对声明的真实性负责。中标/成交投标人为残疾人福利性单位的，采购人应当随中标/成交结果同时公告其《残疾人福利性单位声明函》，接受社会监督。提供的《残疾人福利性单位声明函》与事实不符的，依照《政府采购法》第七十七条第一款的规定追究法律责任。残疾人福利性单位属于小型、微型企业的，不重复享受政策。</w:t>
            </w:r>
          </w:p>
          <w:p w14:paraId="116B2FEF">
            <w:pPr>
              <w:overflowPunct w:val="0"/>
              <w:topLinePunct/>
              <w:adjustRightInd w:val="0"/>
              <w:snapToGrid w:val="0"/>
              <w:ind w:firstLine="470" w:firstLineChars="196"/>
              <w:textAlignment w:val="top"/>
              <w:rPr>
                <w:rFonts w:ascii="仿宋" w:hAnsi="仿宋" w:eastAsia="仿宋" w:cs="仿宋"/>
                <w:sz w:val="24"/>
                <w:szCs w:val="24"/>
              </w:rPr>
            </w:pPr>
            <w:r>
              <w:rPr>
                <w:rFonts w:hint="eastAsia" w:ascii="仿宋" w:hAnsi="仿宋" w:eastAsia="仿宋" w:cs="仿宋"/>
                <w:sz w:val="24"/>
                <w:szCs w:val="24"/>
              </w:rPr>
              <w:t>残疾人福利性单位视同小型、微型企业，享受预留份额、评审中价格扣除等政府采购政策。</w:t>
            </w:r>
          </w:p>
          <w:p w14:paraId="581AAA41">
            <w:pPr>
              <w:overflowPunct w:val="0"/>
              <w:topLinePunct/>
              <w:adjustRightInd w:val="0"/>
              <w:snapToGrid w:val="0"/>
              <w:ind w:firstLine="470" w:firstLineChars="196"/>
              <w:textAlignment w:val="top"/>
              <w:rPr>
                <w:rFonts w:ascii="仿宋" w:hAnsi="仿宋" w:eastAsia="仿宋" w:cs="仿宋"/>
                <w:sz w:val="24"/>
                <w:szCs w:val="24"/>
              </w:rPr>
            </w:pPr>
            <w:r>
              <w:rPr>
                <w:rFonts w:hint="eastAsia" w:ascii="仿宋" w:hAnsi="仿宋" w:eastAsia="仿宋" w:cs="仿宋"/>
                <w:sz w:val="24"/>
                <w:szCs w:val="24"/>
              </w:rPr>
              <w:t>注：（1）供应商若为小型或微型企业，须自行提供中小企业声明函（见响应文件格式部分），并对其真实性负责；</w:t>
            </w:r>
          </w:p>
          <w:p w14:paraId="120275EE">
            <w:pPr>
              <w:overflowPunct w:val="0"/>
              <w:topLinePunct/>
              <w:adjustRightInd w:val="0"/>
              <w:snapToGrid w:val="0"/>
              <w:ind w:firstLine="470" w:firstLineChars="196"/>
              <w:textAlignment w:val="top"/>
              <w:rPr>
                <w:rFonts w:ascii="仿宋" w:hAnsi="仿宋" w:eastAsia="仿宋" w:cs="仿宋"/>
                <w:sz w:val="24"/>
                <w:szCs w:val="24"/>
              </w:rPr>
            </w:pPr>
            <w:r>
              <w:rPr>
                <w:rFonts w:hint="eastAsia" w:ascii="仿宋" w:hAnsi="仿宋" w:eastAsia="仿宋" w:cs="仿宋"/>
                <w:sz w:val="24"/>
                <w:szCs w:val="24"/>
              </w:rPr>
              <w:t>（2）供应商若为残疾人福利性单位，须按规定提供《残疾人福利性单位声明函》（见响应文件格式部分），并对其真实性负责；</w:t>
            </w:r>
          </w:p>
          <w:p w14:paraId="0372D7AC">
            <w:pPr>
              <w:overflowPunct w:val="0"/>
              <w:topLinePunct/>
              <w:adjustRightInd w:val="0"/>
              <w:snapToGrid w:val="0"/>
              <w:ind w:firstLine="470" w:firstLineChars="196"/>
              <w:textAlignment w:val="top"/>
              <w:rPr>
                <w:rFonts w:ascii="仿宋" w:hAnsi="仿宋" w:eastAsia="仿宋" w:cs="仿宋"/>
                <w:sz w:val="24"/>
                <w:szCs w:val="24"/>
              </w:rPr>
            </w:pPr>
            <w:r>
              <w:rPr>
                <w:rFonts w:hint="eastAsia" w:ascii="仿宋" w:hAnsi="仿宋" w:eastAsia="仿宋" w:cs="仿宋"/>
                <w:sz w:val="24"/>
                <w:szCs w:val="24"/>
              </w:rPr>
              <w:t>（3）供应商若为监狱企业参加政府采购活动，应当提供由省级以上监狱管理局、戒毒管理局(含新疆生产建设兵团)出具的属于监狱企业的证明文件。</w:t>
            </w:r>
          </w:p>
          <w:p w14:paraId="67C89B67">
            <w:pPr>
              <w:overflowPunct w:val="0"/>
              <w:topLinePunct/>
              <w:adjustRightInd w:val="0"/>
              <w:snapToGrid w:val="0"/>
              <w:ind w:firstLine="470" w:firstLineChars="196"/>
              <w:textAlignment w:val="top"/>
              <w:rPr>
                <w:rFonts w:ascii="仿宋" w:hAnsi="仿宋" w:eastAsia="仿宋" w:cs="仿宋"/>
                <w:sz w:val="24"/>
                <w:szCs w:val="24"/>
              </w:rPr>
            </w:pPr>
            <w:r>
              <w:rPr>
                <w:rFonts w:hint="eastAsia" w:ascii="仿宋" w:hAnsi="仿宋" w:eastAsia="仿宋" w:cs="仿宋"/>
                <w:sz w:val="24"/>
                <w:szCs w:val="24"/>
              </w:rPr>
              <w:t>(4)供应商为小型、微型企业的，同时又为残疾人福利性单位或监狱企业的，不重复享受政策。</w:t>
            </w:r>
          </w:p>
        </w:tc>
      </w:tr>
      <w:tr w14:paraId="75F1D6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1236" w:type="dxa"/>
            <w:vAlign w:val="center"/>
          </w:tcPr>
          <w:p w14:paraId="391F3D66">
            <w:pPr>
              <w:spacing w:line="380" w:lineRule="exact"/>
              <w:jc w:val="center"/>
              <w:rPr>
                <w:rFonts w:hint="default" w:ascii="仿宋" w:hAnsi="仿宋" w:eastAsia="仿宋" w:cs="仿宋"/>
                <w:snapToGrid w:val="0"/>
                <w:kern w:val="0"/>
                <w:sz w:val="24"/>
                <w:szCs w:val="24"/>
                <w:lang w:val="en-US" w:eastAsia="zh-CN"/>
              </w:rPr>
            </w:pPr>
            <w:r>
              <w:rPr>
                <w:rFonts w:hint="eastAsia" w:ascii="仿宋" w:hAnsi="仿宋" w:eastAsia="仿宋" w:cs="仿宋"/>
                <w:snapToGrid w:val="0"/>
                <w:kern w:val="0"/>
                <w:sz w:val="24"/>
                <w:szCs w:val="24"/>
                <w:lang w:val="en-US" w:eastAsia="zh-CN"/>
              </w:rPr>
              <w:t>10.7.11</w:t>
            </w:r>
          </w:p>
        </w:tc>
        <w:tc>
          <w:tcPr>
            <w:tcW w:w="1896" w:type="dxa"/>
            <w:vAlign w:val="center"/>
          </w:tcPr>
          <w:p w14:paraId="7C90BDCC">
            <w:pPr>
              <w:widowControl/>
              <w:spacing w:line="360" w:lineRule="auto"/>
              <w:ind w:left="191" w:leftChars="91"/>
              <w:jc w:val="center"/>
              <w:rPr>
                <w:rFonts w:hint="eastAsia" w:ascii="仿宋" w:hAnsi="仿宋" w:eastAsia="仿宋" w:cs="仿宋"/>
                <w:sz w:val="24"/>
                <w:szCs w:val="24"/>
              </w:rPr>
            </w:pPr>
            <w:r>
              <w:rPr>
                <w:rFonts w:hint="eastAsia" w:ascii="仿宋" w:hAnsi="仿宋" w:eastAsia="仿宋" w:cs="仿宋"/>
                <w:b/>
                <w:kern w:val="0"/>
                <w:sz w:val="24"/>
                <w:lang w:bidi="ar"/>
              </w:rPr>
              <w:t>温馨提示</w:t>
            </w:r>
          </w:p>
        </w:tc>
        <w:tc>
          <w:tcPr>
            <w:tcW w:w="6591" w:type="dxa"/>
            <w:vAlign w:val="center"/>
          </w:tcPr>
          <w:p w14:paraId="73864A11">
            <w:pPr>
              <w:adjustRightInd w:val="0"/>
              <w:snapToGrid w:val="0"/>
              <w:spacing w:line="360" w:lineRule="auto"/>
              <w:ind w:left="36" w:leftChars="17" w:firstLine="482" w:firstLineChars="200"/>
              <w:jc w:val="left"/>
              <w:rPr>
                <w:rFonts w:hint="eastAsia" w:ascii="仿宋" w:hAnsi="仿宋" w:eastAsia="仿宋" w:cs="仿宋"/>
                <w:bCs/>
                <w:sz w:val="24"/>
              </w:rPr>
            </w:pPr>
            <w:r>
              <w:rPr>
                <w:rFonts w:hint="eastAsia" w:ascii="仿宋" w:hAnsi="仿宋" w:eastAsia="仿宋" w:cs="仿宋"/>
                <w:b/>
                <w:kern w:val="0"/>
                <w:sz w:val="24"/>
                <w:lang w:bidi="ar"/>
              </w:rPr>
              <w:t>为了不影响</w:t>
            </w:r>
            <w:r>
              <w:rPr>
                <w:rFonts w:hint="eastAsia" w:ascii="仿宋" w:hAnsi="仿宋" w:eastAsia="仿宋" w:cs="仿宋"/>
                <w:b/>
                <w:kern w:val="0"/>
                <w:sz w:val="24"/>
                <w:lang w:val="en-US" w:eastAsia="zh-CN" w:bidi="ar"/>
              </w:rPr>
              <w:t>成交</w:t>
            </w:r>
            <w:r>
              <w:rPr>
                <w:rFonts w:hint="eastAsia" w:ascii="仿宋" w:hAnsi="仿宋" w:eastAsia="仿宋" w:cs="仿宋"/>
                <w:b/>
                <w:kern w:val="0"/>
                <w:sz w:val="24"/>
                <w:lang w:bidi="ar"/>
              </w:rPr>
              <w:t>后及时发布合同公告，请供应商在开标前完成河南省政府采购网企业账号注册。</w:t>
            </w:r>
          </w:p>
        </w:tc>
      </w:tr>
      <w:tr w14:paraId="6022C1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236" w:type="dxa"/>
            <w:vAlign w:val="center"/>
          </w:tcPr>
          <w:p w14:paraId="3C75BD2B">
            <w:pPr>
              <w:spacing w:line="380" w:lineRule="exact"/>
              <w:jc w:val="center"/>
              <w:rPr>
                <w:rFonts w:hint="default" w:ascii="仿宋" w:hAnsi="仿宋" w:eastAsia="仿宋" w:cs="仿宋"/>
                <w:snapToGrid w:val="0"/>
                <w:kern w:val="0"/>
                <w:sz w:val="24"/>
                <w:szCs w:val="24"/>
                <w:lang w:val="en-US" w:eastAsia="zh-CN"/>
              </w:rPr>
            </w:pPr>
            <w:r>
              <w:rPr>
                <w:rFonts w:hint="eastAsia" w:ascii="仿宋" w:hAnsi="仿宋" w:eastAsia="仿宋" w:cs="仿宋"/>
                <w:snapToGrid w:val="0"/>
                <w:kern w:val="0"/>
                <w:sz w:val="24"/>
                <w:szCs w:val="24"/>
                <w:lang w:val="en-US" w:eastAsia="zh-CN"/>
              </w:rPr>
              <w:t>10.7.12</w:t>
            </w:r>
          </w:p>
        </w:tc>
        <w:tc>
          <w:tcPr>
            <w:tcW w:w="1896" w:type="dxa"/>
            <w:vAlign w:val="center"/>
          </w:tcPr>
          <w:p w14:paraId="1654B922">
            <w:pPr>
              <w:pStyle w:val="14"/>
              <w:spacing w:line="360" w:lineRule="auto"/>
              <w:rPr>
                <w:rFonts w:hint="eastAsia" w:ascii="仿宋" w:hAnsi="仿宋" w:eastAsia="仿宋" w:cs="仿宋"/>
                <w:b/>
                <w:kern w:val="0"/>
                <w:sz w:val="24"/>
                <w:lang w:bidi="ar"/>
              </w:rPr>
            </w:pPr>
            <w:r>
              <w:rPr>
                <w:rFonts w:hint="eastAsia" w:ascii="仿宋" w:hAnsi="仿宋" w:eastAsia="仿宋" w:cs="仿宋"/>
                <w:b/>
                <w:bCs/>
                <w:sz w:val="24"/>
              </w:rPr>
              <w:t>四方信用评价</w:t>
            </w:r>
          </w:p>
        </w:tc>
        <w:tc>
          <w:tcPr>
            <w:tcW w:w="6591" w:type="dxa"/>
            <w:vAlign w:val="center"/>
          </w:tcPr>
          <w:p w14:paraId="6653F3D5">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平顶山市政府采购项目已实行四方信用评价功能，各方主体请登录“平顶山市政府采购网”按照评价要求进行客观公正的评价。</w:t>
            </w:r>
          </w:p>
          <w:p w14:paraId="499BC1FC">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1.采购人评价指标</w:t>
            </w:r>
          </w:p>
          <w:p w14:paraId="2C4118B8">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评价主体:中标、成交供应商。</w:t>
            </w:r>
          </w:p>
          <w:p w14:paraId="30A32B49">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评价节点:合同履约完成后。</w:t>
            </w:r>
          </w:p>
          <w:p w14:paraId="33821941">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2.对中标、成交供应商评价指标</w:t>
            </w:r>
          </w:p>
          <w:p w14:paraId="6A57F85E">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评价主体为:采购人。</w:t>
            </w:r>
          </w:p>
          <w:p w14:paraId="302D44B8">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评价节点:合同履约完成后。</w:t>
            </w:r>
          </w:p>
          <w:p w14:paraId="0F2A9BD8">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3.评审专家评价指标</w:t>
            </w:r>
          </w:p>
          <w:p w14:paraId="14F5B274">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评价主体为:采购人、代理机构。</w:t>
            </w:r>
          </w:p>
          <w:p w14:paraId="029EF458">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评价节点:项目评审结束后。</w:t>
            </w:r>
          </w:p>
          <w:p w14:paraId="66387E3F">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4.代理机构评价指标</w:t>
            </w:r>
          </w:p>
          <w:p w14:paraId="2B580527">
            <w:pPr>
              <w:adjustRightInd w:val="0"/>
              <w:snapToGrid w:val="0"/>
              <w:spacing w:line="240" w:lineRule="auto"/>
              <w:ind w:firstLine="360" w:firstLineChars="150"/>
              <w:rPr>
                <w:rFonts w:hint="eastAsia" w:ascii="仿宋" w:hAnsi="仿宋" w:eastAsia="仿宋" w:cs="仿宋"/>
                <w:bCs/>
                <w:sz w:val="24"/>
                <w:lang w:val="en-US" w:eastAsia="zh-CN"/>
              </w:rPr>
            </w:pPr>
            <w:r>
              <w:rPr>
                <w:rFonts w:hint="eastAsia" w:ascii="仿宋" w:hAnsi="仿宋" w:eastAsia="仿宋" w:cs="仿宋"/>
                <w:bCs/>
                <w:sz w:val="24"/>
                <w:lang w:val="en-US" w:eastAsia="zh-CN"/>
              </w:rPr>
              <w:t>评价主体为:采购人、评审专家、供应商。</w:t>
            </w:r>
          </w:p>
          <w:p w14:paraId="0F5B392A">
            <w:pPr>
              <w:adjustRightInd w:val="0"/>
              <w:snapToGrid w:val="0"/>
              <w:spacing w:line="240" w:lineRule="auto"/>
              <w:ind w:firstLine="360" w:firstLineChars="150"/>
              <w:rPr>
                <w:rFonts w:hint="eastAsia" w:ascii="仿宋" w:hAnsi="仿宋" w:eastAsia="仿宋" w:cs="仿宋"/>
                <w:b/>
                <w:kern w:val="0"/>
                <w:sz w:val="24"/>
                <w:lang w:bidi="ar"/>
              </w:rPr>
            </w:pPr>
            <w:r>
              <w:rPr>
                <w:rFonts w:hint="eastAsia" w:ascii="仿宋" w:hAnsi="仿宋" w:eastAsia="仿宋" w:cs="仿宋"/>
                <w:bCs/>
                <w:sz w:val="24"/>
                <w:lang w:val="en-US" w:eastAsia="zh-CN"/>
              </w:rPr>
              <w:t>评价节点:项目评审结束后。</w:t>
            </w:r>
          </w:p>
        </w:tc>
      </w:tr>
    </w:tbl>
    <w:p w14:paraId="6E56F93F">
      <w:pPr>
        <w:overflowPunct w:val="0"/>
        <w:topLinePunct/>
        <w:snapToGrid w:val="0"/>
        <w:spacing w:before="156" w:beforeLines="50" w:after="156" w:afterLines="50" w:line="360" w:lineRule="auto"/>
        <w:jc w:val="center"/>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br w:type="page"/>
      </w:r>
      <w:bookmarkEnd w:id="35"/>
      <w:bookmarkEnd w:id="36"/>
      <w:bookmarkEnd w:id="37"/>
      <w:bookmarkEnd w:id="38"/>
      <w:bookmarkEnd w:id="39"/>
      <w:bookmarkEnd w:id="40"/>
      <w:bookmarkEnd w:id="41"/>
      <w:bookmarkEnd w:id="42"/>
      <w:bookmarkEnd w:id="43"/>
      <w:bookmarkStart w:id="47" w:name="_Toc152042354"/>
      <w:bookmarkStart w:id="48" w:name="_Toc292897348"/>
      <w:bookmarkStart w:id="49" w:name="_Toc179632596"/>
      <w:bookmarkStart w:id="50" w:name="_Toc144974546"/>
      <w:bookmarkStart w:id="51" w:name="_Toc152045578"/>
      <w:r>
        <w:rPr>
          <w:rFonts w:hint="eastAsia" w:ascii="仿宋" w:hAnsi="仿宋" w:eastAsia="仿宋" w:cs="仿宋"/>
          <w:b/>
          <w:snapToGrid w:val="0"/>
          <w:kern w:val="0"/>
          <w:sz w:val="24"/>
          <w:szCs w:val="24"/>
        </w:rPr>
        <w:t>供应商须知</w:t>
      </w:r>
    </w:p>
    <w:p w14:paraId="19A4E68B">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1.总则</w:t>
      </w:r>
    </w:p>
    <w:p w14:paraId="662D1153">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1.1项目概况</w:t>
      </w:r>
    </w:p>
    <w:p w14:paraId="69FE8B25">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1.1.1根据《中华人民共和国政府采购法》及《政府采购竞争性磋商采购方式管理暂行办法》等有关法律、法规和规章的规定，本项目已具备招标条件，现对本项目进行招标。</w:t>
      </w:r>
    </w:p>
    <w:p w14:paraId="652CFD28">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1.1.2 本招标项目采购人：见供应商须知前附表。</w:t>
      </w:r>
    </w:p>
    <w:p w14:paraId="09F8C4E5">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1.1.3 本项目采购代理机构：见供应商须知前附表。</w:t>
      </w:r>
    </w:p>
    <w:p w14:paraId="27A6451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1.1.4 本招标项目名称：见供应商须知前附表。</w:t>
      </w:r>
    </w:p>
    <w:p w14:paraId="30B5F453">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1.1.5 本项目服务地点：见供应商须知前附表。</w:t>
      </w:r>
    </w:p>
    <w:p w14:paraId="4F6AF3FC">
      <w:pPr>
        <w:overflowPunct w:val="0"/>
        <w:topLinePunct/>
        <w:spacing w:line="360" w:lineRule="auto"/>
        <w:textAlignment w:val="top"/>
        <w:rPr>
          <w:rFonts w:ascii="仿宋" w:hAnsi="仿宋" w:eastAsia="仿宋" w:cs="仿宋"/>
          <w:b/>
          <w:snapToGrid w:val="0"/>
          <w:kern w:val="0"/>
          <w:sz w:val="24"/>
          <w:szCs w:val="24"/>
        </w:rPr>
      </w:pPr>
      <w:bookmarkStart w:id="52" w:name="_Toc179632548"/>
      <w:bookmarkStart w:id="53" w:name="_Toc152045531"/>
      <w:bookmarkStart w:id="54" w:name="_Toc144974499"/>
      <w:bookmarkStart w:id="55" w:name="_Toc292897308"/>
      <w:bookmarkStart w:id="56" w:name="_Toc152042307"/>
      <w:r>
        <w:rPr>
          <w:rFonts w:hint="eastAsia" w:ascii="仿宋" w:hAnsi="仿宋" w:eastAsia="仿宋" w:cs="仿宋"/>
          <w:b/>
          <w:snapToGrid w:val="0"/>
          <w:kern w:val="0"/>
          <w:sz w:val="24"/>
          <w:szCs w:val="24"/>
        </w:rPr>
        <w:t>1.2 资金来源</w:t>
      </w:r>
      <w:bookmarkEnd w:id="52"/>
      <w:bookmarkEnd w:id="53"/>
      <w:bookmarkEnd w:id="54"/>
      <w:bookmarkEnd w:id="55"/>
      <w:bookmarkEnd w:id="56"/>
      <w:r>
        <w:rPr>
          <w:rFonts w:hint="eastAsia" w:ascii="仿宋" w:hAnsi="仿宋" w:eastAsia="仿宋" w:cs="仿宋"/>
          <w:b/>
          <w:snapToGrid w:val="0"/>
          <w:kern w:val="0"/>
          <w:sz w:val="24"/>
          <w:szCs w:val="24"/>
        </w:rPr>
        <w:t>和落实情况</w:t>
      </w:r>
    </w:p>
    <w:p w14:paraId="551EF099">
      <w:pPr>
        <w:spacing w:line="360" w:lineRule="auto"/>
        <w:ind w:firstLine="480" w:firstLineChars="200"/>
        <w:rPr>
          <w:rFonts w:ascii="仿宋" w:hAnsi="仿宋" w:eastAsia="仿宋" w:cs="仿宋"/>
          <w:sz w:val="24"/>
          <w:szCs w:val="24"/>
        </w:rPr>
      </w:pPr>
      <w:bookmarkStart w:id="57" w:name="_Toc152042308"/>
      <w:bookmarkStart w:id="58" w:name="_Toc292897309"/>
      <w:bookmarkStart w:id="59" w:name="_Toc152045532"/>
      <w:bookmarkStart w:id="60" w:name="_Toc179632549"/>
      <w:bookmarkStart w:id="61" w:name="_Toc144974500"/>
      <w:r>
        <w:rPr>
          <w:rFonts w:hint="eastAsia" w:ascii="仿宋" w:hAnsi="仿宋" w:eastAsia="仿宋" w:cs="仿宋"/>
          <w:sz w:val="24"/>
          <w:szCs w:val="24"/>
        </w:rPr>
        <w:t>1.2.1 本招标项目的资金来源：见供应商须知前附表。</w:t>
      </w:r>
    </w:p>
    <w:p w14:paraId="1F01068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1.2.3 本招标项目的资金落实情况：见供应商须知前附表。</w:t>
      </w:r>
    </w:p>
    <w:p w14:paraId="056561C9">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 xml:space="preserve">1.3 </w:t>
      </w:r>
      <w:r>
        <w:rPr>
          <w:rFonts w:hint="eastAsia" w:ascii="仿宋" w:hAnsi="仿宋" w:eastAsia="仿宋" w:cs="仿宋"/>
          <w:b/>
          <w:snapToGrid w:val="0"/>
          <w:kern w:val="0"/>
          <w:sz w:val="24"/>
          <w:szCs w:val="24"/>
          <w:lang w:val="en-US" w:eastAsia="zh-CN"/>
        </w:rPr>
        <w:t>服务</w:t>
      </w:r>
      <w:r>
        <w:rPr>
          <w:rFonts w:hint="eastAsia" w:ascii="仿宋" w:hAnsi="仿宋" w:eastAsia="仿宋" w:cs="仿宋"/>
          <w:b/>
          <w:snapToGrid w:val="0"/>
          <w:kern w:val="0"/>
          <w:sz w:val="24"/>
          <w:szCs w:val="24"/>
        </w:rPr>
        <w:t>范围、服务期限和</w:t>
      </w:r>
      <w:r>
        <w:rPr>
          <w:rFonts w:hint="eastAsia" w:ascii="仿宋" w:hAnsi="仿宋" w:eastAsia="仿宋" w:cs="仿宋"/>
          <w:b/>
          <w:snapToGrid w:val="0"/>
          <w:kern w:val="0"/>
          <w:sz w:val="24"/>
          <w:szCs w:val="24"/>
          <w:lang w:val="en-US" w:eastAsia="zh-CN"/>
        </w:rPr>
        <w:t>服务</w:t>
      </w:r>
      <w:r>
        <w:rPr>
          <w:rFonts w:hint="eastAsia" w:ascii="仿宋" w:hAnsi="仿宋" w:eastAsia="仿宋" w:cs="仿宋"/>
          <w:b/>
          <w:snapToGrid w:val="0"/>
          <w:kern w:val="0"/>
          <w:sz w:val="24"/>
          <w:szCs w:val="24"/>
        </w:rPr>
        <w:t>要求</w:t>
      </w:r>
      <w:bookmarkEnd w:id="57"/>
      <w:bookmarkEnd w:id="58"/>
      <w:bookmarkEnd w:id="59"/>
      <w:bookmarkEnd w:id="60"/>
      <w:bookmarkEnd w:id="61"/>
    </w:p>
    <w:p w14:paraId="1D651A96">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1.3.1 本招标项目的</w:t>
      </w:r>
      <w:r>
        <w:rPr>
          <w:rFonts w:hint="eastAsia" w:ascii="仿宋" w:hAnsi="仿宋" w:eastAsia="仿宋" w:cs="仿宋"/>
          <w:snapToGrid w:val="0"/>
          <w:kern w:val="0"/>
          <w:sz w:val="24"/>
          <w:szCs w:val="24"/>
          <w:lang w:val="en-US" w:eastAsia="zh-CN"/>
        </w:rPr>
        <w:t>服务</w:t>
      </w:r>
      <w:r>
        <w:rPr>
          <w:rFonts w:hint="eastAsia" w:ascii="仿宋" w:hAnsi="仿宋" w:eastAsia="仿宋" w:cs="仿宋"/>
          <w:snapToGrid w:val="0"/>
          <w:kern w:val="0"/>
          <w:sz w:val="24"/>
          <w:szCs w:val="24"/>
        </w:rPr>
        <w:t>范围：见供应商须知前附表。</w:t>
      </w:r>
    </w:p>
    <w:p w14:paraId="4AB9B9A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1.3.2 本招标项目的服务期限：见供应商须知前附表。</w:t>
      </w:r>
    </w:p>
    <w:p w14:paraId="5214B268">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1.3.3 本招标项目的</w:t>
      </w:r>
      <w:r>
        <w:rPr>
          <w:rFonts w:hint="eastAsia" w:ascii="仿宋" w:hAnsi="仿宋" w:eastAsia="仿宋" w:cs="仿宋"/>
          <w:snapToGrid w:val="0"/>
          <w:kern w:val="0"/>
          <w:sz w:val="24"/>
          <w:szCs w:val="24"/>
          <w:lang w:val="en-US" w:eastAsia="zh-CN"/>
        </w:rPr>
        <w:t>服务</w:t>
      </w:r>
      <w:r>
        <w:rPr>
          <w:rFonts w:hint="eastAsia" w:ascii="仿宋" w:hAnsi="仿宋" w:eastAsia="仿宋" w:cs="仿宋"/>
          <w:snapToGrid w:val="0"/>
          <w:kern w:val="0"/>
          <w:sz w:val="24"/>
          <w:szCs w:val="24"/>
        </w:rPr>
        <w:t>要求：见供应商须知前附表。</w:t>
      </w:r>
    </w:p>
    <w:p w14:paraId="7F0D1F16">
      <w:pPr>
        <w:overflowPunct w:val="0"/>
        <w:topLinePunct/>
        <w:spacing w:line="360" w:lineRule="auto"/>
        <w:textAlignment w:val="top"/>
        <w:rPr>
          <w:rFonts w:ascii="仿宋" w:hAnsi="仿宋" w:eastAsia="仿宋" w:cs="仿宋"/>
          <w:b/>
          <w:snapToGrid w:val="0"/>
          <w:kern w:val="0"/>
          <w:sz w:val="24"/>
          <w:szCs w:val="24"/>
        </w:rPr>
      </w:pPr>
      <w:bookmarkStart w:id="62" w:name="_Toc292897311"/>
      <w:bookmarkStart w:id="63" w:name="_Toc152042311"/>
      <w:bookmarkStart w:id="64" w:name="_Toc152045535"/>
      <w:bookmarkStart w:id="65" w:name="_Toc179632552"/>
      <w:bookmarkStart w:id="66" w:name="_Toc144974503"/>
      <w:r>
        <w:rPr>
          <w:rFonts w:hint="eastAsia" w:ascii="仿宋" w:hAnsi="仿宋" w:eastAsia="仿宋" w:cs="仿宋"/>
          <w:b/>
          <w:snapToGrid w:val="0"/>
          <w:kern w:val="0"/>
          <w:sz w:val="24"/>
          <w:szCs w:val="24"/>
        </w:rPr>
        <w:t>1.4 供应商资格要求</w:t>
      </w:r>
    </w:p>
    <w:p w14:paraId="356E90F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1.4.1 供应商应具备承担本项目的资质条件、能力和信誉。</w:t>
      </w:r>
    </w:p>
    <w:p w14:paraId="6DBD3FC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（1）资质条件：见供应商须知前附表；</w:t>
      </w:r>
    </w:p>
    <w:p w14:paraId="1045B262">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（2）财务要求: 见供应商须知前附表；</w:t>
      </w:r>
    </w:p>
    <w:p w14:paraId="5CD9067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（3）信誉要求：见供应商须知前附表；</w:t>
      </w:r>
    </w:p>
    <w:p w14:paraId="0CDA9552">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（4）其他要求：见供应商须知前附表。</w:t>
      </w:r>
    </w:p>
    <w:p w14:paraId="389F2F33">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1.4.2 供应商须知前附表规定接受联合体投标的，除应符合本章第1.4.1项和供应商须知前附表的要求外，还应遵守以下规定：</w:t>
      </w:r>
    </w:p>
    <w:p w14:paraId="4DE28B26">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（1）联合体各方应按竞争性磋商文件提供的格式签订联合体协议书，明确联合体牵头人和各方权利义务；</w:t>
      </w:r>
    </w:p>
    <w:p w14:paraId="0700FF8F">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（2）由同一专业的单位组成的联合体，按照资质等级较低的单位确定资质等级；</w:t>
      </w:r>
    </w:p>
    <w:p w14:paraId="4C58C0C1">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（3）联合体各方不得再以自己名义单独或参加其他联合体在同一项目中投标。</w:t>
      </w:r>
    </w:p>
    <w:p w14:paraId="03E7819C">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1.4.3 供应商不得存在下列情形之一：</w:t>
      </w:r>
    </w:p>
    <w:p w14:paraId="6363FAD0">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（1）为采购人不具有独立法人资格的附属机构（单位）；</w:t>
      </w:r>
    </w:p>
    <w:p w14:paraId="0D99DFCC">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（2）为本项目前期准备提供过咨询服务的；</w:t>
      </w:r>
    </w:p>
    <w:p w14:paraId="632B4D9A">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w:t>
      </w:r>
      <w:r>
        <w:rPr>
          <w:rFonts w:ascii="仿宋" w:hAnsi="仿宋" w:eastAsia="仿宋" w:cs="仿宋"/>
          <w:snapToGrid w:val="0"/>
          <w:kern w:val="0"/>
          <w:sz w:val="24"/>
          <w:szCs w:val="24"/>
        </w:rPr>
        <w:t>3</w:t>
      </w:r>
      <w:r>
        <w:rPr>
          <w:rFonts w:hint="eastAsia" w:ascii="仿宋" w:hAnsi="仿宋" w:eastAsia="仿宋" w:cs="仿宋"/>
          <w:snapToGrid w:val="0"/>
          <w:kern w:val="0"/>
          <w:sz w:val="24"/>
          <w:szCs w:val="24"/>
        </w:rPr>
        <w:t>）为本项目提供招标代理服务的；</w:t>
      </w:r>
    </w:p>
    <w:p w14:paraId="0F4D0B81">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w:t>
      </w:r>
      <w:r>
        <w:rPr>
          <w:rFonts w:ascii="仿宋" w:hAnsi="仿宋" w:eastAsia="仿宋" w:cs="仿宋"/>
          <w:snapToGrid w:val="0"/>
          <w:kern w:val="0"/>
          <w:sz w:val="24"/>
          <w:szCs w:val="24"/>
        </w:rPr>
        <w:t>4</w:t>
      </w:r>
      <w:r>
        <w:rPr>
          <w:rFonts w:hint="eastAsia" w:ascii="仿宋" w:hAnsi="仿宋" w:eastAsia="仿宋" w:cs="仿宋"/>
          <w:snapToGrid w:val="0"/>
          <w:kern w:val="0"/>
          <w:sz w:val="24"/>
          <w:szCs w:val="24"/>
        </w:rPr>
        <w:t>）被责令停业的；</w:t>
      </w:r>
    </w:p>
    <w:p w14:paraId="19BEFF53">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w:t>
      </w:r>
      <w:r>
        <w:rPr>
          <w:rFonts w:ascii="仿宋" w:hAnsi="仿宋" w:eastAsia="仿宋" w:cs="仿宋"/>
          <w:snapToGrid w:val="0"/>
          <w:kern w:val="0"/>
          <w:sz w:val="24"/>
          <w:szCs w:val="24"/>
        </w:rPr>
        <w:t>5</w:t>
      </w:r>
      <w:r>
        <w:rPr>
          <w:rFonts w:hint="eastAsia" w:ascii="仿宋" w:hAnsi="仿宋" w:eastAsia="仿宋" w:cs="仿宋"/>
          <w:snapToGrid w:val="0"/>
          <w:kern w:val="0"/>
          <w:sz w:val="24"/>
          <w:szCs w:val="24"/>
        </w:rPr>
        <w:t>）被暂停或取消投标资格的；</w:t>
      </w:r>
    </w:p>
    <w:p w14:paraId="4F55D41D">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w:t>
      </w:r>
      <w:r>
        <w:rPr>
          <w:rFonts w:ascii="仿宋" w:hAnsi="仿宋" w:eastAsia="仿宋" w:cs="仿宋"/>
          <w:snapToGrid w:val="0"/>
          <w:kern w:val="0"/>
          <w:sz w:val="24"/>
          <w:szCs w:val="24"/>
        </w:rPr>
        <w:t>6</w:t>
      </w:r>
      <w:r>
        <w:rPr>
          <w:rFonts w:hint="eastAsia" w:ascii="仿宋" w:hAnsi="仿宋" w:eastAsia="仿宋" w:cs="仿宋"/>
          <w:snapToGrid w:val="0"/>
          <w:kern w:val="0"/>
          <w:sz w:val="24"/>
          <w:szCs w:val="24"/>
        </w:rPr>
        <w:t>）财产被接管或冻结的；</w:t>
      </w:r>
    </w:p>
    <w:p w14:paraId="2AB748E2">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w:t>
      </w:r>
      <w:r>
        <w:rPr>
          <w:rFonts w:ascii="仿宋" w:hAnsi="仿宋" w:eastAsia="仿宋" w:cs="仿宋"/>
          <w:snapToGrid w:val="0"/>
          <w:kern w:val="0"/>
          <w:sz w:val="24"/>
          <w:szCs w:val="24"/>
        </w:rPr>
        <w:t>7</w:t>
      </w:r>
      <w:r>
        <w:rPr>
          <w:rFonts w:hint="eastAsia" w:ascii="仿宋" w:hAnsi="仿宋" w:eastAsia="仿宋" w:cs="仿宋"/>
          <w:snapToGrid w:val="0"/>
          <w:kern w:val="0"/>
          <w:sz w:val="24"/>
          <w:szCs w:val="24"/>
        </w:rPr>
        <w:t>）在最近三年内有骗取中标或严重违约或重大工程质量问题的。</w:t>
      </w:r>
    </w:p>
    <w:p w14:paraId="5473D29A">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1.5 费用承担</w:t>
      </w:r>
      <w:bookmarkEnd w:id="62"/>
      <w:bookmarkEnd w:id="63"/>
      <w:bookmarkEnd w:id="64"/>
      <w:bookmarkEnd w:id="65"/>
      <w:bookmarkEnd w:id="66"/>
    </w:p>
    <w:p w14:paraId="7A63493D">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供应商准备和参加投标活动发生的费用自理。</w:t>
      </w:r>
    </w:p>
    <w:p w14:paraId="4DFDAD8F">
      <w:pPr>
        <w:overflowPunct w:val="0"/>
        <w:topLinePunct/>
        <w:spacing w:line="360" w:lineRule="auto"/>
        <w:textAlignment w:val="top"/>
        <w:rPr>
          <w:rFonts w:ascii="仿宋" w:hAnsi="仿宋" w:eastAsia="仿宋" w:cs="仿宋"/>
          <w:b/>
          <w:snapToGrid w:val="0"/>
          <w:kern w:val="0"/>
          <w:sz w:val="24"/>
          <w:szCs w:val="24"/>
        </w:rPr>
      </w:pPr>
      <w:bookmarkStart w:id="67" w:name="_Toc144974505"/>
      <w:bookmarkStart w:id="68" w:name="_Toc152045537"/>
      <w:bookmarkStart w:id="69" w:name="_Toc292897312"/>
      <w:bookmarkStart w:id="70" w:name="_Toc179632554"/>
      <w:bookmarkStart w:id="71" w:name="_Toc152042313"/>
      <w:r>
        <w:rPr>
          <w:rFonts w:hint="eastAsia" w:ascii="仿宋" w:hAnsi="仿宋" w:eastAsia="仿宋" w:cs="仿宋"/>
          <w:b/>
          <w:snapToGrid w:val="0"/>
          <w:kern w:val="0"/>
          <w:sz w:val="24"/>
          <w:szCs w:val="24"/>
        </w:rPr>
        <w:t>1.6保密</w:t>
      </w:r>
    </w:p>
    <w:p w14:paraId="17F81F4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 xml:space="preserve">参与招标投标活动的各方应对竞争性磋商文件和响应文件中的商业和技术等秘密保密，违者应对由此造成的后果承担法律责任。 </w:t>
      </w:r>
    </w:p>
    <w:p w14:paraId="24D539A5">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1.7语言</w:t>
      </w:r>
      <w:bookmarkEnd w:id="67"/>
      <w:r>
        <w:rPr>
          <w:rFonts w:hint="eastAsia" w:ascii="仿宋" w:hAnsi="仿宋" w:eastAsia="仿宋" w:cs="仿宋"/>
          <w:b/>
          <w:snapToGrid w:val="0"/>
          <w:kern w:val="0"/>
          <w:sz w:val="24"/>
          <w:szCs w:val="24"/>
        </w:rPr>
        <w:t>文字</w:t>
      </w:r>
      <w:bookmarkEnd w:id="68"/>
      <w:bookmarkEnd w:id="69"/>
      <w:bookmarkEnd w:id="70"/>
      <w:bookmarkEnd w:id="71"/>
    </w:p>
    <w:p w14:paraId="231127AA">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除专用术语外，与招标投标有关的语言均使用中文。必要时专用术语应附有中文注释。</w:t>
      </w:r>
    </w:p>
    <w:p w14:paraId="642B6B7D">
      <w:pPr>
        <w:overflowPunct w:val="0"/>
        <w:topLinePunct/>
        <w:spacing w:line="360" w:lineRule="auto"/>
        <w:textAlignment w:val="top"/>
        <w:rPr>
          <w:rFonts w:ascii="仿宋" w:hAnsi="仿宋" w:eastAsia="仿宋" w:cs="仿宋"/>
          <w:b/>
          <w:snapToGrid w:val="0"/>
          <w:kern w:val="0"/>
          <w:sz w:val="24"/>
          <w:szCs w:val="24"/>
        </w:rPr>
      </w:pPr>
      <w:bookmarkStart w:id="72" w:name="_Toc179632555"/>
      <w:bookmarkStart w:id="73" w:name="_Toc292897313"/>
      <w:bookmarkStart w:id="74" w:name="_Toc152042314"/>
      <w:bookmarkStart w:id="75" w:name="_Toc152045538"/>
      <w:bookmarkStart w:id="76" w:name="_Toc144974506"/>
      <w:r>
        <w:rPr>
          <w:rFonts w:hint="eastAsia" w:ascii="仿宋" w:hAnsi="仿宋" w:eastAsia="仿宋" w:cs="仿宋"/>
          <w:b/>
          <w:snapToGrid w:val="0"/>
          <w:kern w:val="0"/>
          <w:sz w:val="24"/>
          <w:szCs w:val="24"/>
        </w:rPr>
        <w:t>1.8 计量单位</w:t>
      </w:r>
      <w:bookmarkEnd w:id="72"/>
      <w:bookmarkEnd w:id="73"/>
      <w:bookmarkEnd w:id="74"/>
      <w:bookmarkEnd w:id="75"/>
      <w:bookmarkEnd w:id="76"/>
    </w:p>
    <w:p w14:paraId="70C7863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所有计量均采用中华人民共和国法定计量单位。</w:t>
      </w:r>
    </w:p>
    <w:p w14:paraId="31756DE3">
      <w:pPr>
        <w:overflowPunct w:val="0"/>
        <w:topLinePunct/>
        <w:spacing w:line="360" w:lineRule="auto"/>
        <w:textAlignment w:val="top"/>
        <w:rPr>
          <w:rFonts w:ascii="仿宋" w:hAnsi="仿宋" w:eastAsia="仿宋" w:cs="仿宋"/>
          <w:b/>
          <w:snapToGrid w:val="0"/>
          <w:kern w:val="0"/>
          <w:sz w:val="24"/>
          <w:szCs w:val="24"/>
        </w:rPr>
      </w:pPr>
      <w:bookmarkStart w:id="77" w:name="_Toc152045539"/>
      <w:bookmarkStart w:id="78" w:name="_Toc292897314"/>
      <w:bookmarkStart w:id="79" w:name="_Toc144974507"/>
      <w:bookmarkStart w:id="80" w:name="_Toc152042315"/>
      <w:bookmarkStart w:id="81" w:name="_Toc179632556"/>
      <w:r>
        <w:rPr>
          <w:rFonts w:hint="eastAsia" w:ascii="仿宋" w:hAnsi="仿宋" w:eastAsia="仿宋" w:cs="仿宋"/>
          <w:b/>
          <w:snapToGrid w:val="0"/>
          <w:kern w:val="0"/>
          <w:sz w:val="24"/>
          <w:szCs w:val="24"/>
        </w:rPr>
        <w:t>1.9 踏勘现场</w:t>
      </w:r>
      <w:bookmarkEnd w:id="77"/>
      <w:bookmarkEnd w:id="78"/>
      <w:bookmarkEnd w:id="79"/>
      <w:bookmarkEnd w:id="80"/>
      <w:bookmarkEnd w:id="81"/>
    </w:p>
    <w:p w14:paraId="01055909">
      <w:pPr>
        <w:overflowPunct w:val="0"/>
        <w:topLinePunct/>
        <w:spacing w:line="360" w:lineRule="auto"/>
        <w:ind w:firstLine="480" w:firstLineChars="200"/>
        <w:textAlignment w:val="top"/>
        <w:rPr>
          <w:rFonts w:ascii="仿宋" w:hAnsi="仿宋" w:eastAsia="仿宋" w:cs="仿宋"/>
          <w:snapToGrid w:val="0"/>
          <w:kern w:val="0"/>
          <w:sz w:val="24"/>
          <w:szCs w:val="24"/>
        </w:rPr>
      </w:pPr>
      <w:bookmarkStart w:id="82" w:name="_Toc152045540"/>
      <w:bookmarkStart w:id="83" w:name="_Toc292897315"/>
      <w:bookmarkStart w:id="84" w:name="_Toc179632557"/>
      <w:bookmarkStart w:id="85" w:name="_Toc152042316"/>
      <w:bookmarkStart w:id="86" w:name="_Toc144974508"/>
      <w:r>
        <w:rPr>
          <w:rFonts w:hint="eastAsia" w:ascii="仿宋" w:hAnsi="仿宋" w:eastAsia="仿宋" w:cs="仿宋"/>
          <w:snapToGrid w:val="0"/>
          <w:kern w:val="0"/>
          <w:sz w:val="24"/>
          <w:szCs w:val="24"/>
        </w:rPr>
        <w:t>1.9.1 供应商须知前附表规定组织踏勘现场的，采购人按供应商须知前附表规定的时间、地点组织供应商踏勘项目现场。</w:t>
      </w:r>
    </w:p>
    <w:p w14:paraId="45357141">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1.9.2 供应商踏勘现场发生的费用自理。</w:t>
      </w:r>
    </w:p>
    <w:p w14:paraId="2E46B34A">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1.9.3 除采购人的原因外，供应商自行负责在踏勘现场中所发生的人员伤亡和财产损失。</w:t>
      </w:r>
    </w:p>
    <w:p w14:paraId="6958F9A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1.9.4 采购人在踏勘现场中介绍的有关场地和相关的周边环境情况，供供应商在编制响应文件时参考，采购人不对供应商据此作出的判断和决策负责。</w:t>
      </w:r>
    </w:p>
    <w:p w14:paraId="156F0285">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1.10投标预备会</w:t>
      </w:r>
      <w:bookmarkEnd w:id="82"/>
      <w:bookmarkEnd w:id="83"/>
      <w:bookmarkEnd w:id="84"/>
      <w:bookmarkEnd w:id="85"/>
      <w:bookmarkEnd w:id="86"/>
    </w:p>
    <w:p w14:paraId="5EC06349">
      <w:pPr>
        <w:overflowPunct w:val="0"/>
        <w:topLinePunct/>
        <w:spacing w:line="360" w:lineRule="auto"/>
        <w:ind w:firstLine="480" w:firstLineChars="200"/>
        <w:textAlignment w:val="top"/>
        <w:rPr>
          <w:rFonts w:ascii="仿宋" w:hAnsi="仿宋" w:eastAsia="仿宋" w:cs="仿宋"/>
          <w:snapToGrid w:val="0"/>
          <w:kern w:val="0"/>
          <w:sz w:val="24"/>
          <w:szCs w:val="24"/>
        </w:rPr>
      </w:pPr>
      <w:bookmarkStart w:id="87" w:name="_Toc179632559"/>
      <w:r>
        <w:rPr>
          <w:rFonts w:hint="eastAsia" w:ascii="仿宋" w:hAnsi="仿宋" w:eastAsia="仿宋" w:cs="仿宋"/>
          <w:snapToGrid w:val="0"/>
          <w:kern w:val="0"/>
          <w:sz w:val="24"/>
          <w:szCs w:val="24"/>
        </w:rPr>
        <w:t>1.10.1 供应商须知前附表规定召开投标预备会的，采购人按供应商须知前附表规定的时间和地点召开投标预备会，澄清供应商提出的问题。</w:t>
      </w:r>
    </w:p>
    <w:p w14:paraId="15ADBF7D">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1.10.2 供应商应在供应商须知前附表规定的时间前，以书面形式将提出的问题送达采购人，以便采购人在会议期间澄清。</w:t>
      </w:r>
    </w:p>
    <w:p w14:paraId="4597DB54">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1.10.3 投标预备会后，采购人在供应商须知前附表规定的时间内，将对供应商所提问题的澄清，以书面方式通知所有购买竞争性磋商文件的供应商。该澄清内容为竞争性磋商文件的组成部分。</w:t>
      </w:r>
    </w:p>
    <w:p w14:paraId="6DC5F2D7">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1.11分包</w:t>
      </w:r>
    </w:p>
    <w:p w14:paraId="5E020D54">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不允许</w:t>
      </w:r>
    </w:p>
    <w:p w14:paraId="0FC626A9">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1.12偏离</w:t>
      </w:r>
    </w:p>
    <w:bookmarkEnd w:id="87"/>
    <w:p w14:paraId="3FC5DE63">
      <w:pPr>
        <w:overflowPunct w:val="0"/>
        <w:topLinePunct/>
        <w:spacing w:line="360" w:lineRule="auto"/>
        <w:ind w:firstLine="480" w:firstLineChars="200"/>
        <w:textAlignment w:val="top"/>
        <w:rPr>
          <w:rFonts w:ascii="仿宋" w:hAnsi="仿宋" w:eastAsia="仿宋" w:cs="仿宋"/>
          <w:snapToGrid w:val="0"/>
          <w:kern w:val="0"/>
          <w:sz w:val="24"/>
          <w:szCs w:val="24"/>
        </w:rPr>
      </w:pPr>
      <w:bookmarkStart w:id="88" w:name="_Toc144974510"/>
      <w:bookmarkStart w:id="89" w:name="_Toc152045542"/>
      <w:bookmarkStart w:id="90" w:name="_Toc152042318"/>
      <w:bookmarkStart w:id="91" w:name="_Toc179632560"/>
      <w:bookmarkStart w:id="92" w:name="_Toc292897316"/>
      <w:r>
        <w:rPr>
          <w:rFonts w:hint="eastAsia" w:ascii="仿宋" w:hAnsi="仿宋" w:eastAsia="仿宋" w:cs="仿宋"/>
          <w:snapToGrid w:val="0"/>
          <w:kern w:val="0"/>
          <w:sz w:val="24"/>
          <w:szCs w:val="24"/>
        </w:rPr>
        <w:t>供应商须知前附表允许响应文件偏离竞争性磋商文件某些要求的，偏离应当符合竞争性磋商文件规定的偏离范围和幅度。</w:t>
      </w:r>
    </w:p>
    <w:p w14:paraId="24F15043">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2．</w:t>
      </w:r>
      <w:bookmarkEnd w:id="88"/>
      <w:bookmarkEnd w:id="89"/>
      <w:bookmarkEnd w:id="90"/>
      <w:bookmarkEnd w:id="91"/>
      <w:bookmarkEnd w:id="92"/>
      <w:r>
        <w:rPr>
          <w:rFonts w:hint="eastAsia" w:ascii="仿宋" w:hAnsi="仿宋" w:eastAsia="仿宋" w:cs="仿宋"/>
          <w:b/>
          <w:snapToGrid w:val="0"/>
          <w:kern w:val="0"/>
          <w:sz w:val="24"/>
          <w:szCs w:val="24"/>
        </w:rPr>
        <w:t>竞争性磋商文件</w:t>
      </w:r>
    </w:p>
    <w:p w14:paraId="58A0DB14">
      <w:pPr>
        <w:overflowPunct w:val="0"/>
        <w:topLinePunct/>
        <w:spacing w:line="360" w:lineRule="auto"/>
        <w:textAlignment w:val="top"/>
        <w:rPr>
          <w:rFonts w:ascii="仿宋" w:hAnsi="仿宋" w:eastAsia="仿宋" w:cs="仿宋"/>
          <w:b/>
          <w:snapToGrid w:val="0"/>
          <w:kern w:val="0"/>
          <w:sz w:val="24"/>
          <w:szCs w:val="24"/>
        </w:rPr>
      </w:pPr>
      <w:bookmarkStart w:id="93" w:name="_Toc179632561"/>
      <w:bookmarkStart w:id="94" w:name="_Toc292897317"/>
      <w:bookmarkStart w:id="95" w:name="_Toc152042319"/>
      <w:bookmarkStart w:id="96" w:name="_Toc144974511"/>
      <w:bookmarkStart w:id="97" w:name="_Toc152045543"/>
      <w:r>
        <w:rPr>
          <w:rFonts w:hint="eastAsia" w:ascii="仿宋" w:hAnsi="仿宋" w:eastAsia="仿宋" w:cs="仿宋"/>
          <w:b/>
          <w:snapToGrid w:val="0"/>
          <w:kern w:val="0"/>
          <w:sz w:val="24"/>
          <w:szCs w:val="24"/>
        </w:rPr>
        <w:t>2.1 竞争性磋商文件的组成</w:t>
      </w:r>
      <w:bookmarkEnd w:id="93"/>
      <w:bookmarkEnd w:id="94"/>
      <w:bookmarkEnd w:id="95"/>
      <w:bookmarkEnd w:id="96"/>
      <w:bookmarkEnd w:id="97"/>
    </w:p>
    <w:p w14:paraId="2E0165B5">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本竞争性磋商文件包括：</w:t>
      </w:r>
    </w:p>
    <w:p w14:paraId="06A7A99F">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(1)竞争性磋商公告</w:t>
      </w:r>
    </w:p>
    <w:p w14:paraId="6922FC92">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(2)供应商须知</w:t>
      </w:r>
    </w:p>
    <w:p w14:paraId="7E4055A3">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(3)磋商办法</w:t>
      </w:r>
    </w:p>
    <w:p w14:paraId="05223DF0">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(4)合同条款及格式</w:t>
      </w:r>
    </w:p>
    <w:p w14:paraId="0DAECD13">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w:t>
      </w:r>
      <w:r>
        <w:rPr>
          <w:rFonts w:ascii="仿宋" w:hAnsi="仿宋" w:eastAsia="仿宋" w:cs="仿宋"/>
          <w:snapToGrid w:val="0"/>
          <w:color w:val="000000"/>
          <w:kern w:val="0"/>
          <w:sz w:val="24"/>
          <w:szCs w:val="24"/>
          <w:highlight w:val="none"/>
        </w:rPr>
        <w:t>5</w:t>
      </w:r>
      <w:r>
        <w:rPr>
          <w:rFonts w:hint="eastAsia" w:ascii="仿宋" w:hAnsi="仿宋" w:eastAsia="仿宋" w:cs="仿宋"/>
          <w:snapToGrid w:val="0"/>
          <w:color w:val="000000"/>
          <w:kern w:val="0"/>
          <w:sz w:val="24"/>
          <w:szCs w:val="24"/>
          <w:highlight w:val="none"/>
        </w:rPr>
        <w:t>)</w:t>
      </w:r>
      <w:r>
        <w:rPr>
          <w:rFonts w:hint="eastAsia" w:ascii="仿宋" w:hAnsi="仿宋" w:eastAsia="仿宋" w:cs="仿宋"/>
          <w:snapToGrid w:val="0"/>
          <w:color w:val="000000"/>
          <w:kern w:val="0"/>
          <w:sz w:val="24"/>
          <w:szCs w:val="24"/>
          <w:highlight w:val="none"/>
          <w:lang w:val="en-US" w:eastAsia="zh-CN"/>
        </w:rPr>
        <w:t>服务内容</w:t>
      </w:r>
      <w:r>
        <w:rPr>
          <w:rFonts w:hint="eastAsia" w:ascii="仿宋" w:hAnsi="仿宋" w:eastAsia="仿宋" w:cs="仿宋"/>
          <w:snapToGrid w:val="0"/>
          <w:color w:val="000000"/>
          <w:kern w:val="0"/>
          <w:sz w:val="24"/>
          <w:szCs w:val="24"/>
          <w:highlight w:val="none"/>
        </w:rPr>
        <w:t>和要求</w:t>
      </w:r>
    </w:p>
    <w:p w14:paraId="05FDFDD0">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w:t>
      </w:r>
      <w:r>
        <w:rPr>
          <w:rFonts w:ascii="仿宋" w:hAnsi="仿宋" w:eastAsia="仿宋" w:cs="仿宋"/>
          <w:snapToGrid w:val="0"/>
          <w:color w:val="000000"/>
          <w:kern w:val="0"/>
          <w:sz w:val="24"/>
          <w:szCs w:val="24"/>
          <w:highlight w:val="none"/>
        </w:rPr>
        <w:t>6</w:t>
      </w:r>
      <w:r>
        <w:rPr>
          <w:rFonts w:hint="eastAsia" w:ascii="仿宋" w:hAnsi="仿宋" w:eastAsia="仿宋" w:cs="仿宋"/>
          <w:snapToGrid w:val="0"/>
          <w:color w:val="000000"/>
          <w:kern w:val="0"/>
          <w:sz w:val="24"/>
          <w:szCs w:val="24"/>
          <w:highlight w:val="none"/>
        </w:rPr>
        <w:t>)响应文件格式</w:t>
      </w:r>
    </w:p>
    <w:p w14:paraId="7BFED8F8">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采购人按本章第1.10款、第2.2款和第2.3款规定对竞争性磋商文件所作的澄清、修改等构成竞争性磋商文件的组成部分。</w:t>
      </w:r>
    </w:p>
    <w:p w14:paraId="7AD69C13">
      <w:pPr>
        <w:overflowPunct w:val="0"/>
        <w:topLinePunct/>
        <w:spacing w:line="360" w:lineRule="auto"/>
        <w:textAlignment w:val="top"/>
        <w:rPr>
          <w:rFonts w:ascii="仿宋" w:hAnsi="仿宋" w:eastAsia="仿宋" w:cs="仿宋"/>
          <w:b/>
          <w:snapToGrid w:val="0"/>
          <w:kern w:val="0"/>
          <w:sz w:val="24"/>
          <w:szCs w:val="24"/>
        </w:rPr>
      </w:pPr>
      <w:bookmarkStart w:id="98" w:name="_Toc152042320"/>
      <w:bookmarkStart w:id="99" w:name="_Toc179632562"/>
      <w:bookmarkStart w:id="100" w:name="_Toc152045544"/>
      <w:bookmarkStart w:id="101" w:name="_Toc144974512"/>
      <w:bookmarkStart w:id="102" w:name="_Toc292897318"/>
      <w:r>
        <w:rPr>
          <w:rFonts w:hint="eastAsia" w:ascii="仿宋" w:hAnsi="仿宋" w:eastAsia="仿宋" w:cs="仿宋"/>
          <w:b/>
          <w:snapToGrid w:val="0"/>
          <w:kern w:val="0"/>
          <w:sz w:val="24"/>
          <w:szCs w:val="24"/>
        </w:rPr>
        <w:t>2.2 竞争性磋商文件的澄清</w:t>
      </w:r>
      <w:bookmarkEnd w:id="98"/>
      <w:bookmarkEnd w:id="99"/>
      <w:bookmarkEnd w:id="100"/>
      <w:bookmarkEnd w:id="101"/>
      <w:bookmarkEnd w:id="102"/>
    </w:p>
    <w:p w14:paraId="162E7A05">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2.2.1供应商应仔细阅读和检查竞争性磋商文件的全部内容。如发现缺页或附件不全，应及时</w:t>
      </w:r>
      <w:r>
        <w:rPr>
          <w:rFonts w:hint="eastAsia" w:ascii="仿宋" w:hAnsi="仿宋" w:eastAsia="仿宋" w:cs="仿宋"/>
          <w:sz w:val="24"/>
          <w:szCs w:val="24"/>
        </w:rPr>
        <w:t>向</w:t>
      </w:r>
      <w:r>
        <w:rPr>
          <w:rFonts w:hint="eastAsia" w:ascii="仿宋" w:hAnsi="仿宋" w:eastAsia="仿宋" w:cs="仿宋"/>
          <w:snapToGrid w:val="0"/>
          <w:kern w:val="0"/>
          <w:sz w:val="24"/>
          <w:szCs w:val="24"/>
        </w:rPr>
        <w:t>采购人提出，以便补齐。如有疑问，应在供应商须知前附表规定的时间前</w:t>
      </w:r>
      <w:r>
        <w:rPr>
          <w:rFonts w:hint="eastAsia" w:ascii="仿宋" w:hAnsi="仿宋" w:eastAsia="仿宋" w:cs="宋体"/>
          <w:kern w:val="0"/>
          <w:sz w:val="24"/>
          <w:szCs w:val="24"/>
        </w:rPr>
        <w:t>提出</w:t>
      </w:r>
      <w:r>
        <w:rPr>
          <w:rFonts w:hint="eastAsia" w:ascii="仿宋" w:hAnsi="仿宋" w:eastAsia="仿宋" w:cs="仿宋"/>
          <w:snapToGrid w:val="0"/>
          <w:kern w:val="0"/>
          <w:sz w:val="24"/>
          <w:szCs w:val="24"/>
        </w:rPr>
        <w:t>，要求采购人对竞争性磋商文件予以澄清。</w:t>
      </w:r>
    </w:p>
    <w:p w14:paraId="100BC1B3">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2.2.2 竞争性磋商文件的澄清将在供应商须知前附表规定的</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时间5天前</w:t>
      </w:r>
      <w:r>
        <w:rPr>
          <w:rFonts w:hint="eastAsia" w:ascii="仿宋" w:hAnsi="仿宋" w:eastAsia="仿宋" w:cs="宋体"/>
          <w:kern w:val="0"/>
          <w:sz w:val="24"/>
          <w:szCs w:val="24"/>
        </w:rPr>
        <w:t>在电子交易系统中以澄清形式公示</w:t>
      </w:r>
      <w:r>
        <w:rPr>
          <w:rFonts w:hint="eastAsia" w:ascii="仿宋" w:hAnsi="仿宋" w:eastAsia="仿宋" w:cs="仿宋"/>
          <w:sz w:val="24"/>
          <w:szCs w:val="24"/>
        </w:rPr>
        <w:t>给</w:t>
      </w:r>
      <w:r>
        <w:rPr>
          <w:rFonts w:hint="eastAsia" w:ascii="仿宋" w:hAnsi="仿宋" w:eastAsia="仿宋" w:cs="仿宋"/>
          <w:snapToGrid w:val="0"/>
          <w:kern w:val="0"/>
          <w:sz w:val="24"/>
          <w:szCs w:val="24"/>
        </w:rPr>
        <w:t>所有购买竞争性磋商文件的供应商，但不指明澄清问题的来源。如果澄清发出的时间距</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时间不足5天，相应延长</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w:t>
      </w:r>
    </w:p>
    <w:p w14:paraId="1C7BF903">
      <w:pPr>
        <w:overflowPunct w:val="0"/>
        <w:topLinePunct/>
        <w:spacing w:line="360" w:lineRule="auto"/>
        <w:textAlignment w:val="top"/>
        <w:rPr>
          <w:rFonts w:ascii="仿宋" w:hAnsi="仿宋" w:eastAsia="仿宋" w:cs="仿宋"/>
          <w:b/>
          <w:snapToGrid w:val="0"/>
          <w:kern w:val="0"/>
          <w:sz w:val="24"/>
          <w:szCs w:val="24"/>
        </w:rPr>
      </w:pPr>
      <w:bookmarkStart w:id="103" w:name="_Toc179632563"/>
      <w:bookmarkStart w:id="104" w:name="_Toc152042321"/>
      <w:bookmarkStart w:id="105" w:name="_Toc144974513"/>
      <w:bookmarkStart w:id="106" w:name="_Toc292897319"/>
      <w:bookmarkStart w:id="107" w:name="_Toc152045545"/>
      <w:r>
        <w:rPr>
          <w:rFonts w:hint="eastAsia" w:ascii="仿宋" w:hAnsi="仿宋" w:eastAsia="仿宋" w:cs="仿宋"/>
          <w:b/>
          <w:snapToGrid w:val="0"/>
          <w:kern w:val="0"/>
          <w:sz w:val="24"/>
          <w:szCs w:val="24"/>
        </w:rPr>
        <w:t>2.3 竞争性磋商文件的修改</w:t>
      </w:r>
      <w:bookmarkEnd w:id="103"/>
      <w:bookmarkEnd w:id="104"/>
      <w:bookmarkEnd w:id="105"/>
      <w:bookmarkEnd w:id="106"/>
      <w:bookmarkEnd w:id="107"/>
    </w:p>
    <w:p w14:paraId="5B0CA455">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在</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时间5天前，采购人可以</w:t>
      </w:r>
      <w:r>
        <w:rPr>
          <w:rFonts w:hint="eastAsia" w:ascii="仿宋" w:hAnsi="仿宋" w:eastAsia="仿宋" w:cs="仿宋"/>
          <w:sz w:val="24"/>
        </w:rPr>
        <w:t>在电子交易系统中</w:t>
      </w:r>
      <w:r>
        <w:rPr>
          <w:rFonts w:hint="eastAsia" w:ascii="仿宋" w:hAnsi="仿宋" w:eastAsia="仿宋" w:cs="仿宋"/>
          <w:snapToGrid w:val="0"/>
          <w:kern w:val="0"/>
          <w:sz w:val="24"/>
          <w:szCs w:val="24"/>
        </w:rPr>
        <w:t>修改竞争性磋商文件，并通知所有已购买竞争性磋商文件的供应商。如果修改竞争性磋商文件的时间距</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时间不足5天，相应延长</w:t>
      </w:r>
      <w:r>
        <w:rPr>
          <w:rFonts w:hint="eastAsia" w:ascii="仿宋" w:hAnsi="仿宋" w:eastAsia="仿宋" w:cs="仿宋"/>
          <w:snapToGrid w:val="0"/>
          <w:kern w:val="0"/>
          <w:sz w:val="24"/>
          <w:szCs w:val="24"/>
          <w:lang w:val="en-US" w:eastAsia="zh-CN"/>
        </w:rPr>
        <w:t>响应截止</w:t>
      </w:r>
      <w:r>
        <w:rPr>
          <w:rFonts w:hint="eastAsia" w:ascii="仿宋" w:hAnsi="仿宋" w:eastAsia="仿宋" w:cs="仿宋"/>
          <w:snapToGrid w:val="0"/>
          <w:kern w:val="0"/>
          <w:sz w:val="24"/>
          <w:szCs w:val="24"/>
        </w:rPr>
        <w:t xml:space="preserve">时间。 </w:t>
      </w:r>
    </w:p>
    <w:p w14:paraId="6DF223ED">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bookmarkStart w:id="108" w:name="_Toc292897320"/>
      <w:bookmarkStart w:id="109" w:name="_Toc152045546"/>
      <w:bookmarkStart w:id="110" w:name="_Toc144974514"/>
      <w:bookmarkStart w:id="111" w:name="_Toc152042322"/>
      <w:bookmarkStart w:id="112" w:name="_Toc179632564"/>
      <w:r>
        <w:rPr>
          <w:rFonts w:hint="eastAsia" w:ascii="仿宋" w:hAnsi="仿宋" w:eastAsia="仿宋" w:cs="仿宋"/>
          <w:b/>
          <w:snapToGrid w:val="0"/>
          <w:kern w:val="0"/>
          <w:sz w:val="24"/>
          <w:szCs w:val="24"/>
        </w:rPr>
        <w:t>3．</w:t>
      </w:r>
      <w:bookmarkEnd w:id="108"/>
      <w:bookmarkEnd w:id="109"/>
      <w:bookmarkEnd w:id="110"/>
      <w:bookmarkEnd w:id="111"/>
      <w:bookmarkEnd w:id="112"/>
      <w:r>
        <w:rPr>
          <w:rFonts w:hint="eastAsia" w:ascii="仿宋" w:hAnsi="仿宋" w:eastAsia="仿宋" w:cs="仿宋"/>
          <w:b/>
          <w:snapToGrid w:val="0"/>
          <w:kern w:val="0"/>
          <w:sz w:val="24"/>
          <w:szCs w:val="24"/>
        </w:rPr>
        <w:t>响应文件</w:t>
      </w:r>
    </w:p>
    <w:p w14:paraId="7D593527">
      <w:pPr>
        <w:overflowPunct w:val="0"/>
        <w:topLinePunct/>
        <w:spacing w:line="360" w:lineRule="auto"/>
        <w:textAlignment w:val="top"/>
        <w:rPr>
          <w:rFonts w:ascii="仿宋" w:hAnsi="仿宋" w:eastAsia="仿宋" w:cs="仿宋"/>
          <w:b/>
          <w:snapToGrid w:val="0"/>
          <w:kern w:val="0"/>
          <w:sz w:val="24"/>
          <w:szCs w:val="24"/>
        </w:rPr>
      </w:pPr>
      <w:bookmarkStart w:id="113" w:name="_Toc144974515"/>
      <w:bookmarkStart w:id="114" w:name="_Toc152042323"/>
      <w:bookmarkStart w:id="115" w:name="_Toc152045547"/>
      <w:bookmarkStart w:id="116" w:name="_Toc292897322"/>
      <w:bookmarkStart w:id="117" w:name="_Toc179632565"/>
      <w:r>
        <w:rPr>
          <w:rFonts w:hint="eastAsia" w:ascii="仿宋" w:hAnsi="仿宋" w:eastAsia="仿宋" w:cs="仿宋"/>
          <w:b/>
          <w:snapToGrid w:val="0"/>
          <w:kern w:val="0"/>
          <w:sz w:val="24"/>
          <w:szCs w:val="24"/>
        </w:rPr>
        <w:t>3.1 响应文件的组成</w:t>
      </w:r>
      <w:bookmarkEnd w:id="113"/>
      <w:bookmarkEnd w:id="114"/>
      <w:bookmarkEnd w:id="115"/>
      <w:bookmarkEnd w:id="116"/>
      <w:bookmarkEnd w:id="117"/>
    </w:p>
    <w:p w14:paraId="62591553">
      <w:pPr>
        <w:overflowPunct w:val="0"/>
        <w:topLinePunct/>
        <w:spacing w:line="360" w:lineRule="auto"/>
        <w:ind w:firstLine="480" w:firstLineChars="200"/>
        <w:textAlignment w:val="top"/>
        <w:rPr>
          <w:rFonts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3.1.1响应文件应包括下列内容：</w:t>
      </w:r>
    </w:p>
    <w:p w14:paraId="0E93EA3F">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bookmarkStart w:id="118" w:name="_Toc144974516"/>
      <w:bookmarkStart w:id="119" w:name="_Toc179632566"/>
      <w:bookmarkStart w:id="120" w:name="_Toc152042324"/>
      <w:bookmarkStart w:id="121" w:name="_Toc152045548"/>
      <w:bookmarkStart w:id="122" w:name="_Toc292897323"/>
      <w:r>
        <w:rPr>
          <w:rFonts w:hint="eastAsia" w:ascii="仿宋" w:hAnsi="仿宋" w:eastAsia="仿宋" w:cs="仿宋"/>
          <w:snapToGrid w:val="0"/>
          <w:color w:val="000000"/>
          <w:kern w:val="0"/>
          <w:sz w:val="24"/>
          <w:szCs w:val="24"/>
          <w:highlight w:val="none"/>
        </w:rPr>
        <w:t>一、</w:t>
      </w:r>
      <w:r>
        <w:rPr>
          <w:rFonts w:hint="eastAsia" w:ascii="仿宋" w:hAnsi="仿宋" w:eastAsia="仿宋" w:cs="仿宋"/>
          <w:snapToGrid w:val="0"/>
          <w:color w:val="000000"/>
          <w:kern w:val="0"/>
          <w:sz w:val="24"/>
          <w:szCs w:val="24"/>
          <w:highlight w:val="none"/>
          <w:lang w:val="en-US" w:eastAsia="zh-CN"/>
        </w:rPr>
        <w:t>投标函</w:t>
      </w:r>
    </w:p>
    <w:p w14:paraId="5B8E253D">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二、</w:t>
      </w:r>
      <w:r>
        <w:rPr>
          <w:rFonts w:hint="eastAsia" w:ascii="仿宋" w:hAnsi="仿宋" w:eastAsia="仿宋" w:cs="仿宋"/>
          <w:snapToGrid w:val="0"/>
          <w:color w:val="000000"/>
          <w:kern w:val="0"/>
          <w:sz w:val="24"/>
          <w:szCs w:val="24"/>
          <w:highlight w:val="none"/>
          <w:lang w:val="en-US" w:eastAsia="zh-CN"/>
        </w:rPr>
        <w:t>投标函</w:t>
      </w:r>
      <w:r>
        <w:rPr>
          <w:rFonts w:hint="eastAsia" w:ascii="仿宋" w:hAnsi="仿宋" w:eastAsia="仿宋" w:cs="仿宋"/>
          <w:snapToGrid w:val="0"/>
          <w:color w:val="000000"/>
          <w:kern w:val="0"/>
          <w:sz w:val="24"/>
          <w:szCs w:val="24"/>
          <w:highlight w:val="none"/>
        </w:rPr>
        <w:t>附录</w:t>
      </w:r>
    </w:p>
    <w:p w14:paraId="77377165">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三、法定代表人身份证明</w:t>
      </w:r>
    </w:p>
    <w:p w14:paraId="25062089">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四、法定代表人授权书</w:t>
      </w:r>
    </w:p>
    <w:p w14:paraId="5F8A2CD4">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五、供应商资格证明文件</w:t>
      </w:r>
    </w:p>
    <w:p w14:paraId="52E6AD70">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六、服务方案</w:t>
      </w:r>
    </w:p>
    <w:p w14:paraId="76987528">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七、拟投入项目人员</w:t>
      </w:r>
    </w:p>
    <w:p w14:paraId="51D366B5">
      <w:pPr>
        <w:overflowPunct w:val="0"/>
        <w:topLinePunct/>
        <w:spacing w:line="360" w:lineRule="auto"/>
        <w:ind w:firstLine="480" w:firstLineChars="200"/>
        <w:textAlignment w:val="top"/>
        <w:rPr>
          <w:rFonts w:hint="eastAsia" w:ascii="仿宋" w:hAnsi="仿宋" w:eastAsia="仿宋" w:cs="仿宋"/>
          <w:snapToGrid w:val="0"/>
          <w:color w:val="000000"/>
          <w:kern w:val="0"/>
          <w:sz w:val="24"/>
          <w:szCs w:val="24"/>
          <w:highlight w:val="none"/>
          <w:lang w:eastAsia="zh-CN"/>
        </w:rPr>
      </w:pPr>
      <w:r>
        <w:rPr>
          <w:rFonts w:hint="eastAsia" w:ascii="仿宋" w:hAnsi="仿宋" w:eastAsia="仿宋" w:cs="仿宋"/>
          <w:snapToGrid w:val="0"/>
          <w:color w:val="000000"/>
          <w:kern w:val="0"/>
          <w:sz w:val="24"/>
          <w:szCs w:val="24"/>
          <w:highlight w:val="none"/>
        </w:rPr>
        <w:t>八、</w:t>
      </w:r>
      <w:r>
        <w:rPr>
          <w:rFonts w:hint="eastAsia" w:ascii="仿宋" w:hAnsi="仿宋" w:eastAsia="仿宋" w:cs="仿宋"/>
          <w:snapToGrid w:val="0"/>
          <w:color w:val="000000"/>
          <w:kern w:val="0"/>
          <w:sz w:val="24"/>
          <w:szCs w:val="24"/>
          <w:highlight w:val="none"/>
          <w:lang w:val="en-US" w:eastAsia="zh-CN"/>
        </w:rPr>
        <w:t>类似项目情况表</w:t>
      </w:r>
    </w:p>
    <w:p w14:paraId="36180C3D">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九、反商业贿赂承诺书</w:t>
      </w:r>
    </w:p>
    <w:p w14:paraId="539A5BDF">
      <w:pPr>
        <w:overflowPunct w:val="0"/>
        <w:topLinePunct/>
        <w:spacing w:line="360" w:lineRule="auto"/>
        <w:ind w:firstLine="480" w:firstLineChars="200"/>
        <w:textAlignment w:val="top"/>
        <w:rPr>
          <w:rFonts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十、供应商认为有必要提交的其他资料</w:t>
      </w:r>
    </w:p>
    <w:p w14:paraId="63C36070">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 xml:space="preserve">3.2 </w:t>
      </w:r>
      <w:r>
        <w:rPr>
          <w:rFonts w:hint="eastAsia" w:ascii="仿宋" w:hAnsi="仿宋" w:eastAsia="仿宋" w:cs="仿宋"/>
          <w:b/>
          <w:snapToGrid w:val="0"/>
          <w:kern w:val="0"/>
          <w:sz w:val="24"/>
          <w:szCs w:val="24"/>
          <w:lang w:val="en-US" w:eastAsia="zh-CN"/>
        </w:rPr>
        <w:t>磋商</w:t>
      </w:r>
      <w:r>
        <w:rPr>
          <w:rFonts w:hint="eastAsia" w:ascii="仿宋" w:hAnsi="仿宋" w:eastAsia="仿宋" w:cs="仿宋"/>
          <w:b/>
          <w:snapToGrid w:val="0"/>
          <w:kern w:val="0"/>
          <w:sz w:val="24"/>
          <w:szCs w:val="24"/>
        </w:rPr>
        <w:t>报价</w:t>
      </w:r>
      <w:bookmarkEnd w:id="118"/>
      <w:bookmarkEnd w:id="119"/>
      <w:bookmarkEnd w:id="120"/>
      <w:bookmarkEnd w:id="121"/>
      <w:bookmarkEnd w:id="122"/>
    </w:p>
    <w:p w14:paraId="59578E24">
      <w:pPr>
        <w:pStyle w:val="63"/>
        <w:spacing w:line="360" w:lineRule="auto"/>
        <w:ind w:firstLine="420"/>
        <w:rPr>
          <w:rFonts w:ascii="仿宋" w:hAnsi="仿宋" w:eastAsia="仿宋" w:cs="仿宋"/>
          <w:snapToGrid w:val="0"/>
          <w:sz w:val="24"/>
          <w:szCs w:val="24"/>
        </w:rPr>
      </w:pPr>
      <w:bookmarkStart w:id="123" w:name="_Toc152045549"/>
      <w:bookmarkStart w:id="124" w:name="_Toc144974517"/>
      <w:bookmarkStart w:id="125" w:name="_Toc179632567"/>
      <w:bookmarkStart w:id="126" w:name="_Toc152042325"/>
      <w:bookmarkStart w:id="127" w:name="_Toc292897324"/>
      <w:r>
        <w:rPr>
          <w:rFonts w:hint="eastAsia" w:ascii="仿宋" w:hAnsi="仿宋" w:eastAsia="仿宋" w:cs="仿宋"/>
          <w:snapToGrid w:val="0"/>
          <w:sz w:val="24"/>
          <w:szCs w:val="24"/>
        </w:rPr>
        <w:t>3.2.1 响应人对该项目根据市场行情自主报价。本项目分为二次报价：第一次报价为磋商响应文件中的报价（必须按照投标函附录格式填报），第二次报价在磋商中填报，第二次报价（不得高于一次报价）即为最终报价，</w:t>
      </w:r>
      <w:r>
        <w:rPr>
          <w:rFonts w:hint="eastAsia" w:ascii="仿宋" w:hAnsi="仿宋" w:eastAsia="仿宋" w:cs="仿宋"/>
          <w:snapToGrid w:val="0"/>
          <w:sz w:val="24"/>
          <w:szCs w:val="24"/>
          <w:lang w:val="en-US" w:eastAsia="zh-CN"/>
        </w:rPr>
        <w:t>成交</w:t>
      </w:r>
      <w:r>
        <w:rPr>
          <w:rFonts w:hint="eastAsia" w:ascii="仿宋" w:hAnsi="仿宋" w:eastAsia="仿宋" w:cs="仿宋"/>
          <w:snapToGrid w:val="0"/>
          <w:sz w:val="24"/>
          <w:szCs w:val="24"/>
        </w:rPr>
        <w:t>后不再调整。</w:t>
      </w:r>
    </w:p>
    <w:p w14:paraId="0EF4D2AC">
      <w:pPr>
        <w:pStyle w:val="63"/>
        <w:spacing w:line="360" w:lineRule="auto"/>
        <w:ind w:firstLine="420"/>
        <w:rPr>
          <w:rFonts w:ascii="仿宋" w:hAnsi="仿宋" w:eastAsia="仿宋" w:cs="仿宋"/>
          <w:snapToGrid w:val="0"/>
          <w:sz w:val="24"/>
          <w:szCs w:val="24"/>
        </w:rPr>
      </w:pPr>
      <w:r>
        <w:rPr>
          <w:rFonts w:hint="eastAsia" w:ascii="仿宋" w:hAnsi="仿宋" w:eastAsia="仿宋" w:cs="仿宋"/>
          <w:snapToGrid w:val="0"/>
          <w:sz w:val="24"/>
          <w:szCs w:val="24"/>
        </w:rPr>
        <w:t>3.2.2 响应报价表中的大写金额和小写金额不一致的，以大写金额为准；总价金额与单价金额不一致的，以单价金额为准，但单价金额小数点有明显错误的除外；对不同文字文本响应文件的解释发生异议的，以中文文本为准。</w:t>
      </w:r>
    </w:p>
    <w:p w14:paraId="6142D0EC">
      <w:pPr>
        <w:overflowPunct w:val="0"/>
        <w:topLinePunct/>
        <w:spacing w:line="360" w:lineRule="auto"/>
        <w:textAlignment w:val="top"/>
        <w:rPr>
          <w:rFonts w:hint="eastAsia" w:ascii="仿宋" w:hAnsi="仿宋" w:eastAsia="仿宋" w:cs="仿宋"/>
          <w:b/>
          <w:snapToGrid w:val="0"/>
          <w:kern w:val="0"/>
          <w:sz w:val="24"/>
          <w:szCs w:val="24"/>
          <w:lang w:eastAsia="zh-CN"/>
        </w:rPr>
      </w:pPr>
      <w:r>
        <w:rPr>
          <w:rFonts w:hint="eastAsia" w:ascii="仿宋" w:hAnsi="仿宋" w:eastAsia="仿宋" w:cs="仿宋"/>
          <w:b/>
          <w:snapToGrid w:val="0"/>
          <w:kern w:val="0"/>
          <w:sz w:val="24"/>
          <w:szCs w:val="24"/>
        </w:rPr>
        <w:t xml:space="preserve">3.3 </w:t>
      </w:r>
      <w:bookmarkEnd w:id="123"/>
      <w:bookmarkEnd w:id="124"/>
      <w:bookmarkEnd w:id="125"/>
      <w:bookmarkEnd w:id="126"/>
      <w:bookmarkEnd w:id="127"/>
      <w:r>
        <w:rPr>
          <w:rFonts w:hint="eastAsia" w:ascii="仿宋" w:hAnsi="仿宋" w:eastAsia="仿宋" w:cs="仿宋"/>
          <w:b/>
          <w:snapToGrid w:val="0"/>
          <w:kern w:val="0"/>
          <w:sz w:val="24"/>
          <w:szCs w:val="24"/>
          <w:lang w:eastAsia="zh-CN"/>
        </w:rPr>
        <w:t>投标有效期</w:t>
      </w:r>
    </w:p>
    <w:p w14:paraId="5B55CFAA">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3.3.1在供应商须知前附表规定的</w:t>
      </w:r>
      <w:r>
        <w:rPr>
          <w:rFonts w:hint="eastAsia" w:ascii="仿宋" w:hAnsi="仿宋" w:eastAsia="仿宋" w:cs="仿宋"/>
          <w:snapToGrid w:val="0"/>
          <w:kern w:val="0"/>
          <w:sz w:val="24"/>
          <w:szCs w:val="24"/>
          <w:lang w:eastAsia="zh-CN"/>
        </w:rPr>
        <w:t>投标有效期</w:t>
      </w:r>
      <w:r>
        <w:rPr>
          <w:rFonts w:hint="eastAsia" w:ascii="仿宋" w:hAnsi="仿宋" w:eastAsia="仿宋" w:cs="仿宋"/>
          <w:snapToGrid w:val="0"/>
          <w:kern w:val="0"/>
          <w:sz w:val="24"/>
          <w:szCs w:val="24"/>
        </w:rPr>
        <w:t>内，供应商不得要求撤销或修改其响应文件。</w:t>
      </w:r>
    </w:p>
    <w:p w14:paraId="060C961C">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3.3.2出现特殊情况需要延长</w:t>
      </w:r>
      <w:r>
        <w:rPr>
          <w:rFonts w:hint="eastAsia" w:ascii="仿宋" w:hAnsi="仿宋" w:eastAsia="仿宋" w:cs="仿宋"/>
          <w:snapToGrid w:val="0"/>
          <w:kern w:val="0"/>
          <w:sz w:val="24"/>
          <w:szCs w:val="24"/>
          <w:lang w:eastAsia="zh-CN"/>
        </w:rPr>
        <w:t>投标有效期</w:t>
      </w:r>
      <w:r>
        <w:rPr>
          <w:rFonts w:hint="eastAsia" w:ascii="仿宋" w:hAnsi="仿宋" w:eastAsia="仿宋" w:cs="仿宋"/>
          <w:snapToGrid w:val="0"/>
          <w:kern w:val="0"/>
          <w:sz w:val="24"/>
          <w:szCs w:val="24"/>
        </w:rPr>
        <w:t>的，采购人</w:t>
      </w:r>
      <w:r>
        <w:rPr>
          <w:rFonts w:hint="eastAsia" w:ascii="仿宋" w:hAnsi="仿宋" w:eastAsia="仿宋" w:cs="仿宋"/>
          <w:sz w:val="24"/>
        </w:rPr>
        <w:t>以书面形式</w:t>
      </w:r>
      <w:r>
        <w:rPr>
          <w:rFonts w:hint="eastAsia" w:ascii="仿宋" w:hAnsi="仿宋" w:eastAsia="仿宋" w:cs="仿宋"/>
          <w:snapToGrid w:val="0"/>
          <w:kern w:val="0"/>
          <w:sz w:val="24"/>
          <w:szCs w:val="24"/>
        </w:rPr>
        <w:t>通知所有供应商延长</w:t>
      </w:r>
      <w:r>
        <w:rPr>
          <w:rFonts w:hint="eastAsia" w:ascii="仿宋" w:hAnsi="仿宋" w:eastAsia="仿宋" w:cs="仿宋"/>
          <w:snapToGrid w:val="0"/>
          <w:kern w:val="0"/>
          <w:sz w:val="24"/>
          <w:szCs w:val="24"/>
          <w:lang w:eastAsia="zh-CN"/>
        </w:rPr>
        <w:t>投标有效期</w:t>
      </w:r>
      <w:r>
        <w:rPr>
          <w:rFonts w:hint="eastAsia" w:ascii="仿宋" w:hAnsi="仿宋" w:eastAsia="仿宋" w:cs="仿宋"/>
          <w:snapToGrid w:val="0"/>
          <w:kern w:val="0"/>
          <w:sz w:val="24"/>
          <w:szCs w:val="24"/>
        </w:rPr>
        <w:t xml:space="preserve">。供应商同意延长，但不得要求或被允许修改或撤销其响应文件；供应商拒绝延长的，其投标失效。 </w:t>
      </w:r>
    </w:p>
    <w:p w14:paraId="2BE7727C">
      <w:pPr>
        <w:overflowPunct w:val="0"/>
        <w:topLinePunct/>
        <w:spacing w:line="360" w:lineRule="auto"/>
        <w:textAlignment w:val="top"/>
        <w:rPr>
          <w:rFonts w:ascii="仿宋" w:hAnsi="仿宋" w:eastAsia="仿宋" w:cs="仿宋"/>
          <w:snapToGrid w:val="0"/>
          <w:kern w:val="0"/>
          <w:sz w:val="24"/>
          <w:szCs w:val="24"/>
        </w:rPr>
      </w:pPr>
      <w:bookmarkStart w:id="128" w:name="_Toc292897325"/>
      <w:bookmarkStart w:id="129" w:name="_Toc152045550"/>
      <w:bookmarkStart w:id="130" w:name="_Toc144974518"/>
      <w:bookmarkStart w:id="131" w:name="_Toc152042326"/>
      <w:bookmarkStart w:id="132" w:name="_Toc179632568"/>
      <w:r>
        <w:rPr>
          <w:rFonts w:hint="eastAsia" w:ascii="仿宋" w:hAnsi="仿宋" w:eastAsia="仿宋" w:cs="仿宋"/>
          <w:b/>
          <w:snapToGrid w:val="0"/>
          <w:kern w:val="0"/>
          <w:sz w:val="24"/>
          <w:szCs w:val="24"/>
        </w:rPr>
        <w:t>3.4 磋商保证金</w:t>
      </w:r>
      <w:bookmarkEnd w:id="128"/>
      <w:bookmarkEnd w:id="129"/>
      <w:bookmarkEnd w:id="130"/>
      <w:bookmarkEnd w:id="131"/>
      <w:bookmarkEnd w:id="132"/>
      <w:r>
        <w:rPr>
          <w:rFonts w:hint="eastAsia" w:ascii="仿宋" w:hAnsi="仿宋" w:eastAsia="仿宋" w:cs="仿宋"/>
          <w:b/>
          <w:snapToGrid w:val="0"/>
          <w:kern w:val="0"/>
          <w:sz w:val="24"/>
          <w:szCs w:val="24"/>
        </w:rPr>
        <w:t>：</w:t>
      </w:r>
      <w:bookmarkStart w:id="133" w:name="_Toc292897327"/>
      <w:bookmarkStart w:id="134" w:name="_Toc152042329"/>
      <w:bookmarkStart w:id="135" w:name="_Toc152045553"/>
      <w:bookmarkStart w:id="136" w:name="_Toc179632571"/>
      <w:bookmarkStart w:id="137" w:name="_Toc144974521"/>
      <w:r>
        <w:rPr>
          <w:rFonts w:hint="eastAsia" w:ascii="仿宋" w:hAnsi="仿宋" w:eastAsia="仿宋" w:cs="仿宋"/>
          <w:sz w:val="24"/>
          <w:szCs w:val="24"/>
        </w:rPr>
        <w:t>无</w:t>
      </w:r>
    </w:p>
    <w:p w14:paraId="691FCF5E">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3.5 资格审查</w:t>
      </w:r>
    </w:p>
    <w:p w14:paraId="04633E91">
      <w:pPr>
        <w:overflowPunct w:val="0"/>
        <w:topLinePunct/>
        <w:spacing w:line="360" w:lineRule="auto"/>
        <w:ind w:firstLine="481"/>
        <w:textAlignment w:val="top"/>
        <w:rPr>
          <w:rFonts w:ascii="仿宋" w:hAnsi="仿宋" w:eastAsia="仿宋" w:cs="仿宋"/>
          <w:color w:val="000000"/>
          <w:sz w:val="24"/>
          <w:szCs w:val="24"/>
        </w:rPr>
      </w:pPr>
      <w:r>
        <w:rPr>
          <w:rFonts w:hint="eastAsia" w:ascii="仿宋" w:hAnsi="仿宋" w:eastAsia="仿宋" w:cs="仿宋"/>
          <w:sz w:val="24"/>
          <w:szCs w:val="24"/>
        </w:rPr>
        <w:t>磋商小组按照供应商须知前附表1.4.1规定对供应商进行资格审查。</w:t>
      </w:r>
    </w:p>
    <w:p w14:paraId="6E63E5FD">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3.6备选投标方案</w:t>
      </w:r>
      <w:bookmarkEnd w:id="133"/>
      <w:bookmarkEnd w:id="134"/>
      <w:bookmarkEnd w:id="135"/>
      <w:bookmarkEnd w:id="136"/>
      <w:bookmarkEnd w:id="137"/>
      <w:r>
        <w:rPr>
          <w:rFonts w:hint="eastAsia" w:ascii="仿宋" w:hAnsi="仿宋" w:eastAsia="仿宋" w:cs="仿宋"/>
          <w:b/>
          <w:snapToGrid w:val="0"/>
          <w:kern w:val="0"/>
          <w:sz w:val="24"/>
          <w:szCs w:val="24"/>
        </w:rPr>
        <w:t xml:space="preserve">  </w:t>
      </w:r>
    </w:p>
    <w:p w14:paraId="097B0649">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除供应商须知前附表另有规定外，供应商不得递交备选投标方案。允许供应商递交备选投标方案的，只有中标人所递交的备选投标方案方可予以考虑。磋商小组认为中标人的备选投标方案优于其按照竞争性磋商文件要求编制的投标方案的，采购人可以接受该备选投标方案。</w:t>
      </w:r>
    </w:p>
    <w:p w14:paraId="4FACDD3C">
      <w:pPr>
        <w:overflowPunct w:val="0"/>
        <w:topLinePunct/>
        <w:spacing w:line="360" w:lineRule="auto"/>
        <w:textAlignment w:val="top"/>
        <w:rPr>
          <w:rFonts w:ascii="仿宋" w:hAnsi="仿宋" w:eastAsia="仿宋" w:cs="仿宋"/>
          <w:b/>
          <w:snapToGrid w:val="0"/>
          <w:kern w:val="0"/>
          <w:sz w:val="24"/>
          <w:szCs w:val="24"/>
        </w:rPr>
      </w:pPr>
      <w:bookmarkStart w:id="138" w:name="_Toc144974522"/>
      <w:bookmarkStart w:id="139" w:name="_Toc152045554"/>
      <w:bookmarkStart w:id="140" w:name="_Toc179632572"/>
      <w:bookmarkStart w:id="141" w:name="_Toc292897328"/>
      <w:bookmarkStart w:id="142" w:name="_Toc152042330"/>
      <w:r>
        <w:rPr>
          <w:rFonts w:hint="eastAsia" w:ascii="仿宋" w:hAnsi="仿宋" w:eastAsia="仿宋" w:cs="仿宋"/>
          <w:b/>
          <w:snapToGrid w:val="0"/>
          <w:kern w:val="0"/>
          <w:sz w:val="24"/>
          <w:szCs w:val="24"/>
        </w:rPr>
        <w:t>3.7 响应文件的编制</w:t>
      </w:r>
      <w:bookmarkEnd w:id="138"/>
      <w:bookmarkEnd w:id="139"/>
      <w:bookmarkEnd w:id="140"/>
      <w:bookmarkEnd w:id="141"/>
      <w:bookmarkEnd w:id="142"/>
    </w:p>
    <w:p w14:paraId="35B021E9">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ascii="仿宋" w:hAnsi="仿宋" w:eastAsia="仿宋" w:cs="仿宋"/>
          <w:snapToGrid w:val="0"/>
          <w:kern w:val="0"/>
          <w:sz w:val="24"/>
          <w:szCs w:val="24"/>
        </w:rPr>
        <w:t xml:space="preserve">3.7.1 </w:t>
      </w:r>
      <w:r>
        <w:rPr>
          <w:rFonts w:hint="eastAsia" w:ascii="仿宋" w:hAnsi="仿宋" w:eastAsia="仿宋" w:cs="仿宋"/>
          <w:snapToGrid w:val="0"/>
          <w:kern w:val="0"/>
          <w:sz w:val="24"/>
          <w:szCs w:val="24"/>
        </w:rPr>
        <w:t>供应商登录《全国公共资源交易平台</w:t>
      </w:r>
      <w:r>
        <w:rPr>
          <w:rFonts w:ascii="仿宋" w:hAnsi="仿宋" w:eastAsia="仿宋" w:cs="仿宋"/>
          <w:snapToGrid w:val="0"/>
          <w:kern w:val="0"/>
          <w:sz w:val="24"/>
          <w:szCs w:val="24"/>
        </w:rPr>
        <w:t>(</w:t>
      </w:r>
      <w:r>
        <w:rPr>
          <w:rFonts w:hint="eastAsia" w:ascii="仿宋" w:hAnsi="仿宋" w:eastAsia="仿宋" w:cs="仿宋"/>
          <w:snapToGrid w:val="0"/>
          <w:kern w:val="0"/>
          <w:sz w:val="24"/>
          <w:szCs w:val="24"/>
        </w:rPr>
        <w:t>河南省</w:t>
      </w:r>
      <w:r>
        <w:rPr>
          <w:rFonts w:hint="eastAsia" w:ascii="微软雅黑" w:hAnsi="微软雅黑" w:eastAsia="微软雅黑" w:cs="微软雅黑"/>
          <w:snapToGrid w:val="0"/>
          <w:kern w:val="0"/>
          <w:sz w:val="24"/>
          <w:szCs w:val="24"/>
        </w:rPr>
        <w:t>▪</w:t>
      </w:r>
      <w:r>
        <w:rPr>
          <w:rFonts w:hint="eastAsia" w:ascii="仿宋" w:hAnsi="仿宋" w:eastAsia="仿宋" w:cs="仿宋"/>
          <w:snapToGrid w:val="0"/>
          <w:kern w:val="0"/>
          <w:sz w:val="24"/>
          <w:szCs w:val="24"/>
        </w:rPr>
        <w:t>平顶山市</w:t>
      </w:r>
      <w:r>
        <w:rPr>
          <w:rFonts w:ascii="仿宋" w:hAnsi="仿宋" w:eastAsia="仿宋" w:cs="仿宋"/>
          <w:snapToGrid w:val="0"/>
          <w:kern w:val="0"/>
          <w:sz w:val="24"/>
          <w:szCs w:val="24"/>
        </w:rPr>
        <w:t>)</w:t>
      </w:r>
      <w:r>
        <w:rPr>
          <w:rFonts w:hint="eastAsia" w:ascii="仿宋" w:hAnsi="仿宋" w:eastAsia="仿宋" w:cs="仿宋"/>
          <w:snapToGrid w:val="0"/>
          <w:kern w:val="0"/>
          <w:sz w:val="24"/>
          <w:szCs w:val="24"/>
        </w:rPr>
        <w:t>》登录业务系统（</w:t>
      </w:r>
      <w:r>
        <w:rPr>
          <w:rFonts w:ascii="仿宋" w:hAnsi="仿宋" w:eastAsia="仿宋" w:cs="仿宋"/>
          <w:snapToGrid w:val="0"/>
          <w:kern w:val="0"/>
          <w:sz w:val="24"/>
          <w:szCs w:val="24"/>
        </w:rPr>
        <w:t>http://ggzy.pds.gov.cn/</w:t>
      </w:r>
      <w:r>
        <w:rPr>
          <w:rFonts w:hint="eastAsia" w:ascii="仿宋" w:hAnsi="仿宋" w:eastAsia="仿宋" w:cs="仿宋"/>
          <w:snapToGrid w:val="0"/>
          <w:kern w:val="0"/>
          <w:sz w:val="24"/>
          <w:szCs w:val="24"/>
        </w:rPr>
        <w:t>）下载“平顶山市公共资源交易中心投标文件制作系统”，按采购文件（竞争性磋商文件）要求制作电子投标文件（竞争性磋商响应文件）。</w:t>
      </w:r>
    </w:p>
    <w:p w14:paraId="4111BCB0">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电子投标文件（竞争性磋商响应文件）的制作，参考《全国公共资源交易平台</w:t>
      </w:r>
      <w:r>
        <w:rPr>
          <w:rFonts w:ascii="仿宋" w:hAnsi="仿宋" w:eastAsia="仿宋" w:cs="仿宋"/>
          <w:snapToGrid w:val="0"/>
          <w:kern w:val="0"/>
          <w:sz w:val="24"/>
          <w:szCs w:val="24"/>
        </w:rPr>
        <w:t>(</w:t>
      </w:r>
      <w:r>
        <w:rPr>
          <w:rFonts w:hint="eastAsia" w:ascii="仿宋" w:hAnsi="仿宋" w:eastAsia="仿宋" w:cs="仿宋"/>
          <w:snapToGrid w:val="0"/>
          <w:kern w:val="0"/>
          <w:sz w:val="24"/>
          <w:szCs w:val="24"/>
        </w:rPr>
        <w:t>河南省</w:t>
      </w:r>
      <w:r>
        <w:rPr>
          <w:rFonts w:hint="eastAsia" w:ascii="微软雅黑" w:hAnsi="微软雅黑" w:eastAsia="微软雅黑" w:cs="微软雅黑"/>
          <w:snapToGrid w:val="0"/>
          <w:kern w:val="0"/>
          <w:sz w:val="24"/>
          <w:szCs w:val="24"/>
        </w:rPr>
        <w:t>▪</w:t>
      </w:r>
      <w:r>
        <w:rPr>
          <w:rFonts w:hint="eastAsia" w:ascii="仿宋" w:hAnsi="仿宋" w:eastAsia="仿宋" w:cs="仿宋"/>
          <w:snapToGrid w:val="0"/>
          <w:kern w:val="0"/>
          <w:sz w:val="24"/>
          <w:szCs w:val="24"/>
        </w:rPr>
        <w:t>平顶山市</w:t>
      </w:r>
      <w:r>
        <w:rPr>
          <w:rFonts w:ascii="仿宋" w:hAnsi="仿宋" w:eastAsia="仿宋" w:cs="仿宋"/>
          <w:snapToGrid w:val="0"/>
          <w:kern w:val="0"/>
          <w:sz w:val="24"/>
          <w:szCs w:val="24"/>
        </w:rPr>
        <w:t>)</w:t>
      </w:r>
      <w:r>
        <w:rPr>
          <w:rFonts w:hint="eastAsia" w:ascii="仿宋" w:hAnsi="仿宋" w:eastAsia="仿宋" w:cs="仿宋"/>
          <w:snapToGrid w:val="0"/>
          <w:kern w:val="0"/>
          <w:sz w:val="24"/>
          <w:szCs w:val="24"/>
        </w:rPr>
        <w:t>》登录业务系统（</w:t>
      </w:r>
      <w:r>
        <w:rPr>
          <w:rFonts w:ascii="仿宋" w:hAnsi="仿宋" w:eastAsia="仿宋" w:cs="仿宋"/>
          <w:snapToGrid w:val="0"/>
          <w:kern w:val="0"/>
          <w:sz w:val="24"/>
          <w:szCs w:val="24"/>
        </w:rPr>
        <w:t>http://ggzy.pds.gov.cn/</w:t>
      </w:r>
      <w:r>
        <w:rPr>
          <w:rFonts w:hint="eastAsia" w:ascii="仿宋" w:hAnsi="仿宋" w:eastAsia="仿宋" w:cs="仿宋"/>
          <w:snapToGrid w:val="0"/>
          <w:kern w:val="0"/>
          <w:sz w:val="24"/>
          <w:szCs w:val="24"/>
        </w:rPr>
        <w:t>）——组件下载——交易系统操作手册。</w:t>
      </w:r>
    </w:p>
    <w:p w14:paraId="60808BF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ascii="仿宋" w:hAnsi="仿宋" w:eastAsia="仿宋" w:cs="仿宋"/>
          <w:snapToGrid w:val="0"/>
          <w:kern w:val="0"/>
          <w:sz w:val="24"/>
          <w:szCs w:val="24"/>
        </w:rPr>
        <w:t>3.7</w:t>
      </w:r>
      <w:r>
        <w:rPr>
          <w:rFonts w:hint="eastAsia" w:ascii="仿宋" w:hAnsi="仿宋" w:eastAsia="仿宋" w:cs="仿宋"/>
          <w:snapToGrid w:val="0"/>
          <w:kern w:val="0"/>
          <w:sz w:val="24"/>
          <w:szCs w:val="24"/>
        </w:rPr>
        <w:t>.2 供应商须将采购文件（竞争性磋商文件）要求的资质、业绩、荣誉及相关人员证明材料等资料原件扫描件（或图片）制作到所提交的电子投标文件（竞争性磋商响应文件）中。</w:t>
      </w:r>
    </w:p>
    <w:p w14:paraId="3E878A3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ascii="仿宋" w:hAnsi="仿宋" w:eastAsia="仿宋" w:cs="仿宋"/>
          <w:snapToGrid w:val="0"/>
          <w:kern w:val="0"/>
          <w:sz w:val="24"/>
          <w:szCs w:val="24"/>
        </w:rPr>
        <w:t>3.7</w:t>
      </w:r>
      <w:r>
        <w:rPr>
          <w:rFonts w:hint="eastAsia" w:ascii="仿宋" w:hAnsi="仿宋" w:eastAsia="仿宋" w:cs="仿宋"/>
          <w:snapToGrid w:val="0"/>
          <w:kern w:val="0"/>
          <w:sz w:val="24"/>
          <w:szCs w:val="24"/>
        </w:rPr>
        <w:t>.3供应商对同一项目多个标段（包）进行投标的，应分别下载所投标段的采购文件（竞争性磋商文件），按标段（包）制作电子投标文件（竞争性磋商响应文件），并按采购文件（竞争性磋商文件）要求在相应位置加盖供应商电子签章和法人电子签章。</w:t>
      </w:r>
    </w:p>
    <w:p w14:paraId="70CED60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一个标段对应生成一个文件夹（xxxx项目xx标段）, 其中包含2个文件和1个文件夹。后缀名为“.file”的文件用于电子投标使用，名称为“备份”的文件夹使用电子介质存储，供开标现场备用。</w:t>
      </w:r>
    </w:p>
    <w:p w14:paraId="49F65151">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bookmarkStart w:id="143" w:name="_Toc144974523"/>
      <w:bookmarkStart w:id="144" w:name="_Toc292897329"/>
      <w:bookmarkStart w:id="145" w:name="_Toc152042331"/>
      <w:bookmarkStart w:id="146" w:name="_Toc152045555"/>
      <w:bookmarkStart w:id="147" w:name="_Toc179632573"/>
      <w:r>
        <w:rPr>
          <w:rFonts w:hint="eastAsia" w:ascii="仿宋" w:hAnsi="仿宋" w:eastAsia="仿宋" w:cs="仿宋"/>
          <w:b/>
          <w:snapToGrid w:val="0"/>
          <w:kern w:val="0"/>
          <w:sz w:val="24"/>
          <w:szCs w:val="24"/>
        </w:rPr>
        <w:t>4．投标</w:t>
      </w:r>
      <w:bookmarkEnd w:id="143"/>
      <w:bookmarkEnd w:id="144"/>
      <w:bookmarkEnd w:id="145"/>
      <w:bookmarkEnd w:id="146"/>
      <w:bookmarkEnd w:id="147"/>
    </w:p>
    <w:p w14:paraId="099A6ADE">
      <w:pPr>
        <w:overflowPunct w:val="0"/>
        <w:topLinePunct/>
        <w:spacing w:line="360" w:lineRule="auto"/>
        <w:textAlignment w:val="top"/>
        <w:rPr>
          <w:rFonts w:ascii="仿宋" w:hAnsi="仿宋" w:eastAsia="仿宋" w:cs="仿宋"/>
          <w:b/>
          <w:snapToGrid w:val="0"/>
          <w:kern w:val="0"/>
          <w:sz w:val="24"/>
          <w:szCs w:val="24"/>
        </w:rPr>
      </w:pPr>
      <w:bookmarkStart w:id="148" w:name="_Toc179632575"/>
      <w:bookmarkStart w:id="149" w:name="_Toc152042333"/>
      <w:bookmarkStart w:id="150" w:name="_Toc292897331"/>
      <w:bookmarkStart w:id="151" w:name="_Toc144974525"/>
      <w:bookmarkStart w:id="152" w:name="_Toc152045557"/>
      <w:r>
        <w:rPr>
          <w:rFonts w:hint="eastAsia" w:ascii="仿宋" w:hAnsi="仿宋" w:eastAsia="仿宋" w:cs="仿宋"/>
          <w:b/>
          <w:snapToGrid w:val="0"/>
          <w:kern w:val="0"/>
          <w:sz w:val="24"/>
          <w:szCs w:val="24"/>
        </w:rPr>
        <w:t>4.1 响应文件的密封和标记</w:t>
      </w:r>
    </w:p>
    <w:p w14:paraId="04028358">
      <w:pPr>
        <w:spacing w:line="360" w:lineRule="auto"/>
        <w:ind w:firstLine="440" w:firstLineChars="200"/>
        <w:rPr>
          <w:rFonts w:ascii="仿宋" w:hAnsi="仿宋" w:eastAsia="仿宋" w:cs="仿宋"/>
          <w:bCs/>
          <w:sz w:val="22"/>
          <w:szCs w:val="28"/>
        </w:rPr>
      </w:pPr>
      <w:r>
        <w:rPr>
          <w:rFonts w:hint="eastAsia" w:ascii="仿宋" w:hAnsi="仿宋" w:eastAsia="仿宋" w:cs="仿宋"/>
          <w:bCs/>
          <w:sz w:val="22"/>
          <w:szCs w:val="28"/>
        </w:rPr>
        <w:t>本项目为电子化交易项目，响应文件是供应商通过“平顶山市公共资源交易中心投标文件制作系统”制作，并经过</w:t>
      </w:r>
      <w:r>
        <w:rPr>
          <w:rFonts w:hint="eastAsia" w:ascii="仿宋" w:hAnsi="仿宋" w:eastAsia="仿宋" w:cs="仿宋"/>
          <w:b/>
          <w:sz w:val="22"/>
          <w:szCs w:val="28"/>
        </w:rPr>
        <w:t>电子签章和加密</w:t>
      </w:r>
      <w:r>
        <w:rPr>
          <w:rFonts w:hint="eastAsia" w:ascii="仿宋" w:hAnsi="仿宋" w:eastAsia="仿宋" w:cs="仿宋"/>
          <w:bCs/>
          <w:sz w:val="22"/>
          <w:szCs w:val="28"/>
        </w:rPr>
        <w:t>后生成的电子版投标文件（竞争性磋商响应文件）。供应商投标时，需要在平顶山市公共资源交易中心交易系统上传电子版投标文件（竞争性磋商响应文件）。</w:t>
      </w:r>
    </w:p>
    <w:p w14:paraId="6F757F63">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4.2 响应文件的递交</w:t>
      </w:r>
      <w:bookmarkEnd w:id="148"/>
      <w:bookmarkEnd w:id="149"/>
      <w:bookmarkEnd w:id="150"/>
      <w:bookmarkEnd w:id="151"/>
      <w:bookmarkEnd w:id="152"/>
    </w:p>
    <w:p w14:paraId="09A4F08E">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4.2.1供应商应将加密电子投标文件（竞争性磋商响应文件）在采购文件（竞争性磋商文件）规定的投标截止时间（开标时间）之前成功提交至《全国公共资源交易平台</w:t>
      </w:r>
      <w:r>
        <w:rPr>
          <w:rFonts w:ascii="仿宋" w:hAnsi="仿宋" w:eastAsia="仿宋" w:cs="仿宋"/>
          <w:sz w:val="24"/>
          <w:szCs w:val="24"/>
        </w:rPr>
        <w:t>(</w:t>
      </w:r>
      <w:r>
        <w:rPr>
          <w:rFonts w:hint="eastAsia" w:ascii="仿宋" w:hAnsi="仿宋" w:eastAsia="仿宋" w:cs="仿宋"/>
          <w:sz w:val="24"/>
          <w:szCs w:val="24"/>
        </w:rPr>
        <w:t>河南省</w:t>
      </w:r>
      <w:r>
        <w:rPr>
          <w:rFonts w:hint="eastAsia" w:ascii="微软雅黑" w:hAnsi="微软雅黑" w:eastAsia="微软雅黑" w:cs="微软雅黑"/>
          <w:sz w:val="24"/>
          <w:szCs w:val="24"/>
        </w:rPr>
        <w:t>▪</w:t>
      </w:r>
      <w:r>
        <w:rPr>
          <w:rFonts w:hint="eastAsia" w:ascii="仿宋" w:hAnsi="仿宋" w:eastAsia="仿宋" w:cs="仿宋"/>
          <w:sz w:val="24"/>
          <w:szCs w:val="24"/>
        </w:rPr>
        <w:t>平顶山市</w:t>
      </w:r>
      <w:r>
        <w:rPr>
          <w:rFonts w:ascii="仿宋" w:hAnsi="仿宋" w:eastAsia="仿宋" w:cs="仿宋"/>
          <w:sz w:val="24"/>
          <w:szCs w:val="24"/>
        </w:rPr>
        <w:t>)</w:t>
      </w:r>
      <w:r>
        <w:rPr>
          <w:rFonts w:hint="eastAsia" w:ascii="仿宋" w:hAnsi="仿宋" w:eastAsia="仿宋" w:cs="仿宋"/>
          <w:sz w:val="24"/>
          <w:szCs w:val="24"/>
        </w:rPr>
        <w:t>》登录业务系统（</w:t>
      </w:r>
      <w:r>
        <w:rPr>
          <w:rFonts w:ascii="仿宋" w:hAnsi="仿宋" w:eastAsia="仿宋" w:cs="仿宋"/>
          <w:sz w:val="24"/>
          <w:szCs w:val="24"/>
        </w:rPr>
        <w:t>http://ggzy.pds.gov.cn/</w:t>
      </w:r>
      <w:r>
        <w:rPr>
          <w:rFonts w:hint="eastAsia" w:ascii="仿宋" w:hAnsi="仿宋" w:eastAsia="仿宋" w:cs="仿宋"/>
          <w:sz w:val="24"/>
          <w:szCs w:val="24"/>
        </w:rPr>
        <w:t>）。</w:t>
      </w:r>
    </w:p>
    <w:p w14:paraId="17AD272B">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供应商应充分考虑并预留技术处理和上传数据所需时间。</w:t>
      </w:r>
    </w:p>
    <w:p w14:paraId="68C45D35">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供应商对同一项目多个标段（包）进行投标的，加密电子投标文件（竞争性磋商响应文件）应按标段（包）分别提交。</w:t>
      </w:r>
    </w:p>
    <w:p w14:paraId="5038AA1F">
      <w:pPr>
        <w:overflowPunct w:val="0"/>
        <w:topLinePunct/>
        <w:spacing w:line="360" w:lineRule="auto"/>
        <w:ind w:firstLine="480" w:firstLineChars="200"/>
        <w:textAlignment w:val="top"/>
        <w:rPr>
          <w:rFonts w:ascii="仿宋" w:hAnsi="仿宋" w:eastAsia="仿宋" w:cs="仿宋"/>
          <w:sz w:val="24"/>
          <w:szCs w:val="24"/>
        </w:rPr>
      </w:pPr>
      <w:bookmarkStart w:id="153" w:name="_Toc152042334"/>
      <w:bookmarkStart w:id="154" w:name="_Toc144974526"/>
      <w:bookmarkStart w:id="155" w:name="_Toc152045558"/>
      <w:bookmarkStart w:id="156" w:name="_Toc179632576"/>
      <w:r>
        <w:rPr>
          <w:rFonts w:hint="eastAsia" w:ascii="仿宋" w:hAnsi="仿宋" w:eastAsia="仿宋" w:cs="仿宋"/>
          <w:sz w:val="24"/>
          <w:szCs w:val="24"/>
        </w:rPr>
        <w:t>4.2.</w:t>
      </w:r>
      <w:r>
        <w:rPr>
          <w:rFonts w:ascii="仿宋" w:hAnsi="仿宋" w:eastAsia="仿宋" w:cs="仿宋"/>
          <w:sz w:val="24"/>
          <w:szCs w:val="24"/>
        </w:rPr>
        <w:t>2</w:t>
      </w:r>
      <w:r>
        <w:rPr>
          <w:rFonts w:hint="eastAsia" w:ascii="仿宋" w:hAnsi="仿宋" w:eastAsia="仿宋" w:cs="仿宋"/>
          <w:sz w:val="24"/>
          <w:szCs w:val="24"/>
        </w:rPr>
        <w:t xml:space="preserve"> 供应商应在供应商须知前附表第2.2.2项规定的</w:t>
      </w:r>
      <w:r>
        <w:rPr>
          <w:rFonts w:hint="eastAsia" w:ascii="仿宋" w:hAnsi="仿宋" w:eastAsia="仿宋" w:cs="仿宋"/>
          <w:sz w:val="24"/>
          <w:szCs w:val="24"/>
          <w:lang w:val="en-US" w:eastAsia="zh-CN"/>
        </w:rPr>
        <w:t>响应截止</w:t>
      </w:r>
      <w:r>
        <w:rPr>
          <w:rFonts w:hint="eastAsia" w:ascii="仿宋" w:hAnsi="仿宋" w:eastAsia="仿宋" w:cs="仿宋"/>
          <w:sz w:val="24"/>
          <w:szCs w:val="24"/>
        </w:rPr>
        <w:t>时间前递交响应文件。</w:t>
      </w:r>
    </w:p>
    <w:p w14:paraId="28E3485F">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4.2.</w:t>
      </w:r>
      <w:r>
        <w:rPr>
          <w:rFonts w:ascii="仿宋" w:hAnsi="仿宋" w:eastAsia="仿宋" w:cs="仿宋"/>
          <w:sz w:val="24"/>
          <w:szCs w:val="24"/>
        </w:rPr>
        <w:t>3</w:t>
      </w:r>
      <w:r>
        <w:rPr>
          <w:rFonts w:hint="eastAsia" w:ascii="仿宋" w:hAnsi="仿宋" w:eastAsia="仿宋" w:cs="仿宋"/>
          <w:sz w:val="24"/>
          <w:szCs w:val="24"/>
        </w:rPr>
        <w:t xml:space="preserve"> 供应商递交响应文件的地点：见供应商须知前附表。</w:t>
      </w:r>
    </w:p>
    <w:p w14:paraId="325C2793">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4.2.</w:t>
      </w:r>
      <w:r>
        <w:rPr>
          <w:rFonts w:ascii="仿宋" w:hAnsi="仿宋" w:eastAsia="仿宋" w:cs="仿宋"/>
          <w:sz w:val="24"/>
          <w:szCs w:val="24"/>
        </w:rPr>
        <w:t>4</w:t>
      </w:r>
      <w:r>
        <w:rPr>
          <w:rFonts w:hint="eastAsia" w:ascii="仿宋" w:hAnsi="仿宋" w:eastAsia="仿宋" w:cs="仿宋"/>
          <w:sz w:val="24"/>
          <w:szCs w:val="24"/>
        </w:rPr>
        <w:t xml:space="preserve"> 除供应商须知前附表另有规定外，供应商所递交的响应文件不予退还。</w:t>
      </w:r>
    </w:p>
    <w:p w14:paraId="1466FBAF">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4.2.</w:t>
      </w:r>
      <w:r>
        <w:rPr>
          <w:rFonts w:ascii="仿宋" w:hAnsi="仿宋" w:eastAsia="仿宋" w:cs="仿宋"/>
          <w:sz w:val="24"/>
          <w:szCs w:val="24"/>
        </w:rPr>
        <w:t>5</w:t>
      </w:r>
      <w:r>
        <w:rPr>
          <w:rFonts w:hint="eastAsia" w:ascii="仿宋" w:hAnsi="仿宋" w:eastAsia="仿宋" w:cs="仿宋"/>
          <w:sz w:val="24"/>
          <w:szCs w:val="24"/>
        </w:rPr>
        <w:t xml:space="preserve"> 平顶山市公共资源交易中心系统收到响应文件后，向供应商出具签收凭证。</w:t>
      </w:r>
    </w:p>
    <w:p w14:paraId="4DD234C7">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4.2.</w:t>
      </w:r>
      <w:r>
        <w:rPr>
          <w:rFonts w:ascii="仿宋" w:hAnsi="仿宋" w:eastAsia="仿宋" w:cs="仿宋"/>
          <w:sz w:val="24"/>
          <w:szCs w:val="24"/>
        </w:rPr>
        <w:t>6</w:t>
      </w:r>
      <w:r>
        <w:rPr>
          <w:rFonts w:hint="eastAsia" w:ascii="仿宋" w:hAnsi="仿宋" w:eastAsia="仿宋" w:cs="仿宋"/>
          <w:sz w:val="24"/>
          <w:szCs w:val="24"/>
        </w:rPr>
        <w:t xml:space="preserve"> 逾期送达（上传）的响应文件，采购人不予受理。</w:t>
      </w:r>
    </w:p>
    <w:p w14:paraId="143F85B8">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4.3 响应文件的修改与撤回</w:t>
      </w:r>
      <w:bookmarkEnd w:id="153"/>
      <w:bookmarkEnd w:id="154"/>
      <w:bookmarkEnd w:id="155"/>
      <w:bookmarkEnd w:id="156"/>
    </w:p>
    <w:p w14:paraId="63F9ABFF">
      <w:pPr>
        <w:overflowPunct w:val="0"/>
        <w:topLinePunct/>
        <w:spacing w:line="360" w:lineRule="auto"/>
        <w:ind w:firstLine="480" w:firstLineChars="200"/>
        <w:textAlignment w:val="top"/>
        <w:rPr>
          <w:rFonts w:ascii="仿宋" w:hAnsi="仿宋" w:eastAsia="仿宋" w:cs="仿宋"/>
          <w:sz w:val="24"/>
          <w:szCs w:val="24"/>
        </w:rPr>
      </w:pPr>
      <w:bookmarkStart w:id="157" w:name="_Toc152042335"/>
      <w:bookmarkStart w:id="158" w:name="_Toc292897332"/>
      <w:bookmarkStart w:id="159" w:name="_Toc144974527"/>
      <w:bookmarkStart w:id="160" w:name="_Toc179632577"/>
      <w:bookmarkStart w:id="161" w:name="_Toc152045559"/>
      <w:r>
        <w:rPr>
          <w:rFonts w:hint="eastAsia" w:ascii="仿宋" w:hAnsi="仿宋" w:eastAsia="仿宋" w:cs="仿宋"/>
          <w:sz w:val="24"/>
          <w:szCs w:val="24"/>
        </w:rPr>
        <w:t>4.3.1 在供应商须知前附表第2.2.2项规定的</w:t>
      </w:r>
      <w:r>
        <w:rPr>
          <w:rFonts w:hint="eastAsia" w:ascii="仿宋" w:hAnsi="仿宋" w:eastAsia="仿宋" w:cs="仿宋"/>
          <w:sz w:val="24"/>
          <w:szCs w:val="24"/>
          <w:lang w:val="en-US" w:eastAsia="zh-CN"/>
        </w:rPr>
        <w:t>响应截止</w:t>
      </w:r>
      <w:r>
        <w:rPr>
          <w:rFonts w:hint="eastAsia" w:ascii="仿宋" w:hAnsi="仿宋" w:eastAsia="仿宋" w:cs="仿宋"/>
          <w:sz w:val="24"/>
          <w:szCs w:val="24"/>
        </w:rPr>
        <w:t>时间前，供应商可以修改或撤回已递交的响应文件，但应</w:t>
      </w:r>
      <w:r>
        <w:rPr>
          <w:rFonts w:hint="eastAsia" w:ascii="仿宋" w:hAnsi="仿宋" w:eastAsia="仿宋" w:cs="仿宋"/>
          <w:sz w:val="24"/>
        </w:rPr>
        <w:t>以书面形式</w:t>
      </w:r>
      <w:r>
        <w:rPr>
          <w:rFonts w:hint="eastAsia" w:ascii="仿宋" w:hAnsi="仿宋" w:eastAsia="仿宋" w:cs="仿宋"/>
          <w:sz w:val="24"/>
          <w:szCs w:val="24"/>
        </w:rPr>
        <w:t>通知采购人。</w:t>
      </w:r>
    </w:p>
    <w:p w14:paraId="7C4852C3">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4.3.2 供应商修改或撤回已递交响应文件的书面通知应按照供应商须知前附表第3.7.3项的要求签字或盖章。采购人收到书面通知后，向供应商出具签收凭证。</w:t>
      </w:r>
    </w:p>
    <w:p w14:paraId="7D9C1014">
      <w:pPr>
        <w:overflowPunct w:val="0"/>
        <w:topLinePunct/>
        <w:spacing w:line="360" w:lineRule="auto"/>
        <w:ind w:firstLine="480" w:firstLineChars="200"/>
        <w:textAlignment w:val="top"/>
        <w:rPr>
          <w:rFonts w:ascii="仿宋" w:hAnsi="仿宋" w:eastAsia="仿宋" w:cs="仿宋"/>
          <w:sz w:val="24"/>
          <w:szCs w:val="24"/>
        </w:rPr>
      </w:pPr>
      <w:r>
        <w:rPr>
          <w:rFonts w:hint="eastAsia" w:ascii="仿宋" w:hAnsi="仿宋" w:eastAsia="仿宋" w:cs="仿宋"/>
          <w:sz w:val="24"/>
          <w:szCs w:val="24"/>
        </w:rPr>
        <w:t>4.3.3 修改的内容为响应文件的组成部分。修改的响应文件应按照本章第3条、第4条规定进行编制、密封、标记和递交，并标明“修改”字样。</w:t>
      </w:r>
    </w:p>
    <w:p w14:paraId="6721B83D">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5．开标</w:t>
      </w:r>
      <w:bookmarkEnd w:id="157"/>
      <w:bookmarkEnd w:id="158"/>
      <w:bookmarkEnd w:id="159"/>
      <w:bookmarkEnd w:id="160"/>
      <w:bookmarkEnd w:id="161"/>
    </w:p>
    <w:p w14:paraId="13A5E86F">
      <w:pPr>
        <w:overflowPunct w:val="0"/>
        <w:topLinePunct/>
        <w:spacing w:line="360" w:lineRule="auto"/>
        <w:textAlignment w:val="top"/>
        <w:rPr>
          <w:rFonts w:ascii="仿宋" w:hAnsi="仿宋" w:eastAsia="仿宋" w:cs="仿宋"/>
          <w:b/>
          <w:snapToGrid w:val="0"/>
          <w:kern w:val="0"/>
          <w:sz w:val="24"/>
          <w:szCs w:val="24"/>
        </w:rPr>
      </w:pPr>
      <w:bookmarkStart w:id="162" w:name="_Toc152045560"/>
      <w:bookmarkStart w:id="163" w:name="_Toc144974528"/>
      <w:bookmarkStart w:id="164" w:name="_Toc292897333"/>
      <w:bookmarkStart w:id="165" w:name="_Toc152042336"/>
      <w:bookmarkStart w:id="166" w:name="_Toc179632578"/>
      <w:r>
        <w:rPr>
          <w:rFonts w:hint="eastAsia" w:ascii="仿宋" w:hAnsi="仿宋" w:eastAsia="仿宋" w:cs="仿宋"/>
          <w:b/>
          <w:snapToGrid w:val="0"/>
          <w:kern w:val="0"/>
          <w:sz w:val="24"/>
          <w:szCs w:val="24"/>
        </w:rPr>
        <w:t>5.1 开标时间和地点</w:t>
      </w:r>
      <w:bookmarkEnd w:id="162"/>
      <w:bookmarkEnd w:id="163"/>
      <w:bookmarkEnd w:id="164"/>
      <w:bookmarkEnd w:id="165"/>
      <w:bookmarkEnd w:id="166"/>
    </w:p>
    <w:p w14:paraId="5ED2AFDB">
      <w:pPr>
        <w:spacing w:line="360" w:lineRule="auto"/>
        <w:ind w:firstLine="480" w:firstLineChars="200"/>
        <w:rPr>
          <w:rFonts w:ascii="仿宋" w:hAnsi="仿宋" w:eastAsia="仿宋" w:cs="仿宋"/>
          <w:sz w:val="24"/>
          <w:szCs w:val="24"/>
        </w:rPr>
      </w:pPr>
      <w:bookmarkStart w:id="167" w:name="_Toc144974529"/>
      <w:bookmarkStart w:id="168" w:name="_Toc152045561"/>
      <w:bookmarkStart w:id="169" w:name="_Toc152042337"/>
      <w:bookmarkStart w:id="170" w:name="_Toc292897334"/>
      <w:bookmarkStart w:id="171" w:name="_Toc179632579"/>
      <w:r>
        <w:rPr>
          <w:rFonts w:hint="eastAsia" w:ascii="仿宋" w:hAnsi="仿宋" w:eastAsia="仿宋" w:cs="仿宋"/>
          <w:sz w:val="24"/>
          <w:szCs w:val="24"/>
        </w:rPr>
        <w:t>采购人在本章规定的</w:t>
      </w:r>
      <w:r>
        <w:rPr>
          <w:rFonts w:hint="eastAsia" w:ascii="仿宋" w:hAnsi="仿宋" w:eastAsia="仿宋" w:cs="仿宋"/>
          <w:sz w:val="24"/>
          <w:szCs w:val="24"/>
          <w:lang w:val="en-US" w:eastAsia="zh-CN"/>
        </w:rPr>
        <w:t>响应截止</w:t>
      </w:r>
      <w:r>
        <w:rPr>
          <w:rFonts w:hint="eastAsia" w:ascii="仿宋" w:hAnsi="仿宋" w:eastAsia="仿宋" w:cs="仿宋"/>
          <w:sz w:val="24"/>
          <w:szCs w:val="24"/>
        </w:rPr>
        <w:t>时间（开标时间）和供应商须知前附表规定的地点开标。</w:t>
      </w:r>
    </w:p>
    <w:p w14:paraId="53B153FA">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5.2</w:t>
      </w:r>
      <w:bookmarkEnd w:id="167"/>
      <w:bookmarkEnd w:id="168"/>
      <w:bookmarkEnd w:id="169"/>
      <w:bookmarkEnd w:id="170"/>
      <w:bookmarkEnd w:id="171"/>
      <w:r>
        <w:rPr>
          <w:rFonts w:hint="eastAsia" w:ascii="仿宋" w:hAnsi="仿宋" w:eastAsia="仿宋" w:cs="仿宋"/>
          <w:b/>
          <w:snapToGrid w:val="0"/>
          <w:kern w:val="0"/>
          <w:sz w:val="24"/>
          <w:szCs w:val="24"/>
        </w:rPr>
        <w:t>磋商流程及注意事项</w:t>
      </w:r>
    </w:p>
    <w:p w14:paraId="54EF7B7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磋商按平顶山市公共资源交易中心全流程电子化交易方式进行，供应商应仔细阅读平顶山市公共资源交易中心相关操作流程。</w:t>
      </w:r>
    </w:p>
    <w:p w14:paraId="0260F97A">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bookmarkStart w:id="172" w:name="_Toc152042338"/>
      <w:bookmarkStart w:id="173" w:name="_Toc292897335"/>
      <w:bookmarkStart w:id="174" w:name="_Toc152045562"/>
      <w:bookmarkStart w:id="175" w:name="_Toc144974530"/>
      <w:bookmarkStart w:id="176" w:name="_Toc179632580"/>
      <w:r>
        <w:rPr>
          <w:rFonts w:hint="eastAsia" w:ascii="仿宋" w:hAnsi="仿宋" w:eastAsia="仿宋" w:cs="仿宋"/>
          <w:b/>
          <w:snapToGrid w:val="0"/>
          <w:kern w:val="0"/>
          <w:sz w:val="24"/>
          <w:szCs w:val="24"/>
        </w:rPr>
        <w:t>6．</w:t>
      </w:r>
      <w:bookmarkEnd w:id="172"/>
      <w:bookmarkEnd w:id="173"/>
      <w:bookmarkEnd w:id="174"/>
      <w:bookmarkEnd w:id="175"/>
      <w:bookmarkEnd w:id="176"/>
      <w:r>
        <w:rPr>
          <w:rFonts w:hint="eastAsia" w:ascii="仿宋" w:hAnsi="仿宋" w:eastAsia="仿宋" w:cs="仿宋"/>
          <w:b/>
          <w:snapToGrid w:val="0"/>
          <w:kern w:val="0"/>
          <w:sz w:val="24"/>
          <w:szCs w:val="24"/>
        </w:rPr>
        <w:t>磋商（电子化项目开标、解密、唱标、评标）</w:t>
      </w:r>
    </w:p>
    <w:p w14:paraId="5D4F5DFD">
      <w:pPr>
        <w:overflowPunct w:val="0"/>
        <w:topLinePunct/>
        <w:spacing w:line="360" w:lineRule="auto"/>
        <w:textAlignment w:val="top"/>
        <w:rPr>
          <w:rFonts w:ascii="仿宋" w:hAnsi="仿宋" w:eastAsia="仿宋" w:cs="仿宋"/>
          <w:b/>
          <w:snapToGrid w:val="0"/>
          <w:kern w:val="0"/>
          <w:sz w:val="24"/>
          <w:szCs w:val="24"/>
        </w:rPr>
      </w:pPr>
      <w:bookmarkStart w:id="177" w:name="_Toc152042339"/>
      <w:bookmarkStart w:id="178" w:name="_Toc179632581"/>
      <w:bookmarkStart w:id="179" w:name="_Toc152045563"/>
      <w:bookmarkStart w:id="180" w:name="_Toc292897336"/>
      <w:bookmarkStart w:id="181" w:name="_Toc144974531"/>
      <w:r>
        <w:rPr>
          <w:rFonts w:hint="eastAsia" w:ascii="仿宋" w:hAnsi="仿宋" w:eastAsia="仿宋" w:cs="仿宋"/>
          <w:b/>
          <w:snapToGrid w:val="0"/>
          <w:kern w:val="0"/>
          <w:sz w:val="24"/>
          <w:szCs w:val="24"/>
        </w:rPr>
        <w:t xml:space="preserve">6.1 </w:t>
      </w:r>
      <w:bookmarkEnd w:id="177"/>
      <w:bookmarkEnd w:id="178"/>
      <w:bookmarkEnd w:id="179"/>
      <w:bookmarkEnd w:id="180"/>
      <w:bookmarkEnd w:id="181"/>
      <w:r>
        <w:rPr>
          <w:rFonts w:hint="eastAsia" w:ascii="仿宋" w:hAnsi="仿宋" w:eastAsia="仿宋" w:cs="仿宋"/>
          <w:b/>
          <w:snapToGrid w:val="0"/>
          <w:kern w:val="0"/>
          <w:sz w:val="24"/>
          <w:szCs w:val="24"/>
        </w:rPr>
        <w:t>磋商小组</w:t>
      </w:r>
    </w:p>
    <w:p w14:paraId="48D5943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6.1.1磋商小组构成: 见供应商须知前附表6</w:t>
      </w:r>
      <w:r>
        <w:rPr>
          <w:rFonts w:ascii="仿宋" w:hAnsi="仿宋" w:eastAsia="仿宋" w:cs="仿宋"/>
          <w:snapToGrid w:val="0"/>
          <w:kern w:val="0"/>
          <w:sz w:val="24"/>
          <w:szCs w:val="24"/>
        </w:rPr>
        <w:t>.1.1</w:t>
      </w:r>
    </w:p>
    <w:p w14:paraId="44A4FD7E">
      <w:pPr>
        <w:overflowPunct w:val="0"/>
        <w:topLinePunct/>
        <w:spacing w:line="360" w:lineRule="auto"/>
        <w:ind w:firstLine="480" w:firstLineChars="200"/>
        <w:textAlignment w:val="top"/>
        <w:rPr>
          <w:rFonts w:ascii="仿宋" w:hAnsi="仿宋" w:eastAsia="仿宋" w:cs="仿宋"/>
          <w:snapToGrid w:val="0"/>
          <w:kern w:val="0"/>
          <w:sz w:val="24"/>
          <w:szCs w:val="24"/>
        </w:rPr>
      </w:pPr>
      <w:bookmarkStart w:id="182" w:name="_Toc152042340"/>
      <w:bookmarkStart w:id="183" w:name="_Toc292897337"/>
      <w:bookmarkStart w:id="184" w:name="_Toc179632582"/>
      <w:bookmarkStart w:id="185" w:name="_Toc144974532"/>
      <w:bookmarkStart w:id="186" w:name="_Toc152045564"/>
      <w:r>
        <w:rPr>
          <w:rFonts w:hint="eastAsia" w:ascii="仿宋" w:hAnsi="仿宋" w:eastAsia="仿宋" w:cs="仿宋"/>
          <w:snapToGrid w:val="0"/>
          <w:kern w:val="0"/>
          <w:sz w:val="24"/>
          <w:szCs w:val="24"/>
        </w:rPr>
        <w:t>6.1.2磋商小组成员有下列情形之一的，应当回避：</w:t>
      </w:r>
    </w:p>
    <w:p w14:paraId="089DA4F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（1）采购人或供应商的主要负责人的近亲属；</w:t>
      </w:r>
    </w:p>
    <w:p w14:paraId="22CF4C10">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（2）项目主管部门或者行政监督部门的人员；</w:t>
      </w:r>
    </w:p>
    <w:p w14:paraId="05A5C69A">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（3）与供应商有经济利益关系，可能影响对投标公正评审的；</w:t>
      </w:r>
    </w:p>
    <w:p w14:paraId="43C0ABA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（4）曾因在招标、评标以及其他与招标投标有关活动中从事违法行为而受过行政处罚或刑事处罚的。</w:t>
      </w:r>
    </w:p>
    <w:p w14:paraId="518712B8">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6.2 磋商原则</w:t>
      </w:r>
      <w:bookmarkEnd w:id="182"/>
      <w:bookmarkEnd w:id="183"/>
      <w:bookmarkEnd w:id="184"/>
      <w:bookmarkEnd w:id="185"/>
      <w:bookmarkEnd w:id="186"/>
    </w:p>
    <w:p w14:paraId="45E5F4E2">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评标活动遵循公平、公正、科学和择优的原则。</w:t>
      </w:r>
    </w:p>
    <w:p w14:paraId="21F06C5A">
      <w:pPr>
        <w:overflowPunct w:val="0"/>
        <w:topLinePunct/>
        <w:spacing w:line="360" w:lineRule="auto"/>
        <w:textAlignment w:val="top"/>
        <w:rPr>
          <w:rFonts w:ascii="仿宋" w:hAnsi="仿宋" w:eastAsia="仿宋" w:cs="仿宋"/>
          <w:b/>
          <w:snapToGrid w:val="0"/>
          <w:kern w:val="0"/>
          <w:sz w:val="24"/>
          <w:szCs w:val="24"/>
        </w:rPr>
      </w:pPr>
      <w:bookmarkStart w:id="187" w:name="_Toc179632583"/>
      <w:bookmarkStart w:id="188" w:name="_Toc292897338"/>
      <w:bookmarkStart w:id="189" w:name="_Toc152042341"/>
      <w:bookmarkStart w:id="190" w:name="_Toc144974533"/>
      <w:bookmarkStart w:id="191" w:name="_Toc152045565"/>
      <w:r>
        <w:rPr>
          <w:rFonts w:hint="eastAsia" w:ascii="仿宋" w:hAnsi="仿宋" w:eastAsia="仿宋" w:cs="仿宋"/>
          <w:b/>
          <w:snapToGrid w:val="0"/>
          <w:kern w:val="0"/>
          <w:sz w:val="24"/>
          <w:szCs w:val="24"/>
        </w:rPr>
        <w:t xml:space="preserve">6.3 </w:t>
      </w:r>
      <w:bookmarkEnd w:id="187"/>
      <w:bookmarkEnd w:id="188"/>
      <w:bookmarkEnd w:id="189"/>
      <w:bookmarkEnd w:id="190"/>
      <w:bookmarkEnd w:id="191"/>
      <w:r>
        <w:rPr>
          <w:rFonts w:hint="eastAsia" w:ascii="仿宋" w:hAnsi="仿宋" w:eastAsia="仿宋" w:cs="仿宋"/>
          <w:b/>
          <w:snapToGrid w:val="0"/>
          <w:kern w:val="0"/>
          <w:sz w:val="24"/>
          <w:szCs w:val="24"/>
        </w:rPr>
        <w:t>磋商程序、内容</w:t>
      </w:r>
    </w:p>
    <w:p w14:paraId="1F7981E7">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磋商小组按照第三章“磋商办法”规定的方法、评审因素、标准和程序对响应文件进行评审。第三章“磋商办法”没有规定的方法、评审因素和标准，不作为评标依据。</w:t>
      </w:r>
    </w:p>
    <w:p w14:paraId="13794028">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bookmarkStart w:id="192" w:name="_Toc179632584"/>
      <w:bookmarkStart w:id="193" w:name="_Toc144974534"/>
      <w:bookmarkStart w:id="194" w:name="_Toc152042342"/>
      <w:bookmarkStart w:id="195" w:name="_Toc152045566"/>
      <w:bookmarkStart w:id="196" w:name="_Toc292897339"/>
      <w:r>
        <w:rPr>
          <w:rFonts w:hint="eastAsia" w:ascii="仿宋" w:hAnsi="仿宋" w:eastAsia="仿宋" w:cs="仿宋"/>
          <w:b/>
          <w:snapToGrid w:val="0"/>
          <w:kern w:val="0"/>
          <w:sz w:val="24"/>
          <w:szCs w:val="24"/>
        </w:rPr>
        <w:t>7．合同授予</w:t>
      </w:r>
      <w:bookmarkEnd w:id="192"/>
      <w:bookmarkEnd w:id="193"/>
      <w:bookmarkEnd w:id="194"/>
      <w:bookmarkEnd w:id="195"/>
      <w:bookmarkEnd w:id="196"/>
    </w:p>
    <w:p w14:paraId="2D9EEBB7">
      <w:pPr>
        <w:overflowPunct w:val="0"/>
        <w:topLinePunct/>
        <w:spacing w:line="360" w:lineRule="auto"/>
        <w:textAlignment w:val="top"/>
        <w:rPr>
          <w:rFonts w:ascii="仿宋" w:hAnsi="仿宋" w:eastAsia="仿宋" w:cs="仿宋"/>
          <w:b/>
          <w:snapToGrid w:val="0"/>
          <w:kern w:val="0"/>
          <w:sz w:val="24"/>
          <w:szCs w:val="24"/>
        </w:rPr>
      </w:pPr>
      <w:bookmarkStart w:id="197" w:name="_Toc292897340"/>
      <w:bookmarkStart w:id="198" w:name="_Toc152045567"/>
      <w:bookmarkStart w:id="199" w:name="_Toc179632585"/>
      <w:bookmarkStart w:id="200" w:name="_Toc152042343"/>
      <w:bookmarkStart w:id="201" w:name="_Toc144974535"/>
      <w:r>
        <w:rPr>
          <w:rFonts w:hint="eastAsia" w:ascii="仿宋" w:hAnsi="仿宋" w:eastAsia="仿宋" w:cs="仿宋"/>
          <w:b/>
          <w:snapToGrid w:val="0"/>
          <w:kern w:val="0"/>
          <w:sz w:val="24"/>
          <w:szCs w:val="24"/>
        </w:rPr>
        <w:t>7.1 定标方式</w:t>
      </w:r>
      <w:bookmarkEnd w:id="197"/>
      <w:bookmarkEnd w:id="198"/>
      <w:bookmarkEnd w:id="199"/>
      <w:bookmarkEnd w:id="200"/>
      <w:bookmarkEnd w:id="201"/>
    </w:p>
    <w:p w14:paraId="44C59343">
      <w:pPr>
        <w:spacing w:line="360" w:lineRule="auto"/>
        <w:ind w:firstLine="480" w:firstLineChars="200"/>
        <w:rPr>
          <w:rFonts w:ascii="仿宋" w:hAnsi="仿宋" w:eastAsia="仿宋" w:cs="仿宋"/>
          <w:sz w:val="24"/>
          <w:szCs w:val="24"/>
        </w:rPr>
      </w:pPr>
      <w:bookmarkStart w:id="202" w:name="_Toc144974536"/>
      <w:bookmarkStart w:id="203" w:name="_Toc152045568"/>
      <w:bookmarkStart w:id="204" w:name="_Toc179632586"/>
      <w:bookmarkStart w:id="205" w:name="_Toc152042344"/>
      <w:bookmarkStart w:id="206" w:name="_Toc292897341"/>
      <w:r>
        <w:rPr>
          <w:rFonts w:hint="eastAsia" w:ascii="仿宋" w:hAnsi="仿宋" w:eastAsia="仿宋" w:cs="仿宋"/>
          <w:sz w:val="24"/>
          <w:szCs w:val="24"/>
        </w:rPr>
        <w:t>除</w:t>
      </w:r>
      <w:r>
        <w:rPr>
          <w:rFonts w:hint="eastAsia" w:ascii="仿宋" w:hAnsi="仿宋" w:eastAsia="仿宋" w:cs="仿宋"/>
          <w:snapToGrid w:val="0"/>
          <w:kern w:val="0"/>
          <w:sz w:val="24"/>
          <w:szCs w:val="24"/>
        </w:rPr>
        <w:t>供应商须知前附表规定磋商小组直接确定</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外，采购人依据磋商小组推荐的中标候选人确定</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，磋商小组推荐</w:t>
      </w:r>
      <w:r>
        <w:rPr>
          <w:rFonts w:hint="eastAsia" w:ascii="仿宋" w:hAnsi="仿宋" w:eastAsia="仿宋" w:cs="仿宋"/>
          <w:snapToGrid w:val="0"/>
          <w:kern w:val="0"/>
          <w:sz w:val="24"/>
          <w:szCs w:val="24"/>
          <w:lang w:val="en-US" w:eastAsia="zh-CN"/>
        </w:rPr>
        <w:t>成交</w:t>
      </w:r>
      <w:r>
        <w:rPr>
          <w:rFonts w:hint="eastAsia" w:ascii="仿宋" w:hAnsi="仿宋" w:eastAsia="仿宋" w:cs="仿宋"/>
          <w:snapToGrid w:val="0"/>
          <w:kern w:val="0"/>
          <w:sz w:val="24"/>
          <w:szCs w:val="24"/>
        </w:rPr>
        <w:t>候选人的人数见供应商须知前附表。</w:t>
      </w:r>
    </w:p>
    <w:p w14:paraId="6AAF4BA0">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7.2 中标通知</w:t>
      </w:r>
      <w:bookmarkEnd w:id="202"/>
      <w:bookmarkEnd w:id="203"/>
      <w:bookmarkEnd w:id="204"/>
      <w:bookmarkEnd w:id="205"/>
      <w:bookmarkEnd w:id="206"/>
    </w:p>
    <w:p w14:paraId="61F5349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在本章第3.3款规定的</w:t>
      </w:r>
      <w:r>
        <w:rPr>
          <w:rFonts w:hint="eastAsia" w:ascii="仿宋" w:hAnsi="仿宋" w:eastAsia="仿宋" w:cs="仿宋"/>
          <w:snapToGrid w:val="0"/>
          <w:kern w:val="0"/>
          <w:sz w:val="24"/>
          <w:szCs w:val="24"/>
          <w:lang w:eastAsia="zh-CN"/>
        </w:rPr>
        <w:t>投标有效期</w:t>
      </w:r>
      <w:r>
        <w:rPr>
          <w:rFonts w:hint="eastAsia" w:ascii="仿宋" w:hAnsi="仿宋" w:eastAsia="仿宋" w:cs="仿宋"/>
          <w:snapToGrid w:val="0"/>
          <w:kern w:val="0"/>
          <w:sz w:val="24"/>
          <w:szCs w:val="24"/>
        </w:rPr>
        <w:t>内，采购人以书面形式向</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发出成交通知书，同时将中标结果通知未中标的供应商。</w:t>
      </w:r>
    </w:p>
    <w:p w14:paraId="16F00556">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7.3 合同履约金</w:t>
      </w:r>
    </w:p>
    <w:p w14:paraId="110984B8">
      <w:pPr>
        <w:overflowPunct w:val="0"/>
        <w:topLinePunct/>
        <w:spacing w:line="360" w:lineRule="auto"/>
        <w:ind w:firstLine="480" w:firstLineChars="200"/>
        <w:textAlignment w:val="top"/>
        <w:rPr>
          <w:rFonts w:ascii="仿宋" w:hAnsi="仿宋" w:eastAsia="仿宋" w:cs="仿宋"/>
          <w:snapToGrid w:val="0"/>
          <w:kern w:val="0"/>
          <w:sz w:val="24"/>
          <w:szCs w:val="24"/>
        </w:rPr>
      </w:pPr>
      <w:bookmarkStart w:id="207" w:name="_Toc152045570"/>
      <w:bookmarkStart w:id="208" w:name="_Toc292897342"/>
      <w:bookmarkStart w:id="209" w:name="_Toc179632588"/>
      <w:bookmarkStart w:id="210" w:name="_Toc144974538"/>
      <w:bookmarkStart w:id="211" w:name="_Toc152042346"/>
      <w:r>
        <w:rPr>
          <w:rFonts w:hint="eastAsia" w:ascii="仿宋" w:hAnsi="仿宋" w:eastAsia="仿宋" w:cs="仿宋"/>
          <w:snapToGrid w:val="0"/>
          <w:kern w:val="0"/>
          <w:sz w:val="24"/>
          <w:szCs w:val="24"/>
        </w:rPr>
        <w:t>不</w:t>
      </w:r>
      <w:r>
        <w:rPr>
          <w:rFonts w:hint="eastAsia" w:ascii="仿宋" w:hAnsi="仿宋" w:eastAsia="仿宋" w:cs="仿宋"/>
          <w:sz w:val="24"/>
          <w:szCs w:val="24"/>
        </w:rPr>
        <w:t>缴纳</w:t>
      </w:r>
    </w:p>
    <w:p w14:paraId="35353D78">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7.4签订合同</w:t>
      </w:r>
      <w:bookmarkEnd w:id="207"/>
      <w:bookmarkEnd w:id="208"/>
      <w:bookmarkEnd w:id="209"/>
      <w:bookmarkEnd w:id="210"/>
      <w:bookmarkEnd w:id="211"/>
    </w:p>
    <w:p w14:paraId="5683E807">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7.4.1采购人和</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应当自成交通知书发出之日起</w:t>
      </w:r>
      <w:r>
        <w:rPr>
          <w:rFonts w:hint="eastAsia" w:ascii="仿宋" w:hAnsi="仿宋" w:eastAsia="仿宋" w:cs="仿宋"/>
          <w:snapToGrid w:val="0"/>
          <w:kern w:val="0"/>
          <w:sz w:val="24"/>
          <w:szCs w:val="24"/>
          <w:highlight w:val="none"/>
          <w:lang w:val="en-US" w:eastAsia="zh-CN"/>
        </w:rPr>
        <w:t>15</w:t>
      </w:r>
      <w:r>
        <w:rPr>
          <w:rFonts w:hint="eastAsia" w:ascii="仿宋" w:hAnsi="仿宋" w:eastAsia="仿宋" w:cs="仿宋"/>
          <w:snapToGrid w:val="0"/>
          <w:kern w:val="0"/>
          <w:sz w:val="24"/>
          <w:szCs w:val="24"/>
          <w:highlight w:val="none"/>
        </w:rPr>
        <w:t>天内，根据</w:t>
      </w:r>
      <w:r>
        <w:rPr>
          <w:rFonts w:hint="eastAsia" w:ascii="仿宋" w:hAnsi="仿宋" w:eastAsia="仿宋" w:cs="仿宋"/>
          <w:snapToGrid w:val="0"/>
          <w:kern w:val="0"/>
          <w:sz w:val="24"/>
          <w:szCs w:val="24"/>
        </w:rPr>
        <w:t>竞争性磋商文件和</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的响应文件订立书面合同。</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无正当理由拒签合同的，采购人取消其中标资格，给采购人造成的损失的，</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 xml:space="preserve">还应当对超过部分予以赔偿。 </w:t>
      </w:r>
    </w:p>
    <w:p w14:paraId="1D6940AB">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7.4.2发出成交通知书后，采购人无正当理由拒签合同，给</w:t>
      </w:r>
      <w:r>
        <w:rPr>
          <w:rFonts w:hint="eastAsia" w:ascii="仿宋" w:hAnsi="仿宋" w:eastAsia="仿宋" w:cs="仿宋"/>
          <w:snapToGrid w:val="0"/>
          <w:kern w:val="0"/>
          <w:sz w:val="24"/>
          <w:szCs w:val="24"/>
          <w:lang w:eastAsia="zh-CN"/>
        </w:rPr>
        <w:t>成交人</w:t>
      </w:r>
      <w:r>
        <w:rPr>
          <w:rFonts w:hint="eastAsia" w:ascii="仿宋" w:hAnsi="仿宋" w:eastAsia="仿宋" w:cs="仿宋"/>
          <w:snapToGrid w:val="0"/>
          <w:kern w:val="0"/>
          <w:sz w:val="24"/>
          <w:szCs w:val="24"/>
        </w:rPr>
        <w:t xml:space="preserve">造成损失的，还应当赔偿损失。 </w:t>
      </w:r>
    </w:p>
    <w:p w14:paraId="69E297B7">
      <w:pPr>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bookmarkStart w:id="212" w:name="_Toc292897344"/>
      <w:bookmarkStart w:id="213" w:name="_Toc152042350"/>
      <w:bookmarkStart w:id="214" w:name="_Toc144974542"/>
      <w:bookmarkStart w:id="215" w:name="_Toc179632592"/>
      <w:bookmarkStart w:id="216" w:name="_Toc152045574"/>
      <w:r>
        <w:rPr>
          <w:rFonts w:hint="eastAsia" w:ascii="仿宋" w:hAnsi="仿宋" w:eastAsia="仿宋" w:cs="仿宋"/>
          <w:b/>
          <w:snapToGrid w:val="0"/>
          <w:kern w:val="0"/>
          <w:sz w:val="24"/>
          <w:szCs w:val="24"/>
        </w:rPr>
        <w:t>8．纪律和监督</w:t>
      </w:r>
      <w:bookmarkEnd w:id="212"/>
      <w:bookmarkEnd w:id="213"/>
      <w:bookmarkEnd w:id="214"/>
      <w:bookmarkEnd w:id="215"/>
      <w:bookmarkEnd w:id="216"/>
    </w:p>
    <w:p w14:paraId="34E33F24">
      <w:pPr>
        <w:overflowPunct w:val="0"/>
        <w:topLinePunct/>
        <w:spacing w:line="360" w:lineRule="auto"/>
        <w:textAlignment w:val="top"/>
        <w:rPr>
          <w:rFonts w:ascii="仿宋" w:hAnsi="仿宋" w:eastAsia="仿宋" w:cs="仿宋"/>
          <w:b/>
          <w:snapToGrid w:val="0"/>
          <w:kern w:val="0"/>
          <w:sz w:val="24"/>
          <w:szCs w:val="24"/>
        </w:rPr>
      </w:pPr>
      <w:bookmarkStart w:id="217" w:name="_Toc152042351"/>
      <w:bookmarkStart w:id="218" w:name="_Toc292897345"/>
      <w:bookmarkStart w:id="219" w:name="_Toc144974543"/>
      <w:bookmarkStart w:id="220" w:name="_Toc152045575"/>
      <w:bookmarkStart w:id="221" w:name="_Toc179632593"/>
      <w:r>
        <w:rPr>
          <w:rFonts w:hint="eastAsia" w:ascii="仿宋" w:hAnsi="仿宋" w:eastAsia="仿宋" w:cs="仿宋"/>
          <w:b/>
          <w:snapToGrid w:val="0"/>
          <w:kern w:val="0"/>
          <w:sz w:val="24"/>
          <w:szCs w:val="24"/>
        </w:rPr>
        <w:t>8.1 对采购人的纪律要求</w:t>
      </w:r>
      <w:bookmarkEnd w:id="217"/>
      <w:bookmarkEnd w:id="218"/>
      <w:bookmarkEnd w:id="219"/>
      <w:bookmarkEnd w:id="220"/>
      <w:bookmarkEnd w:id="221"/>
    </w:p>
    <w:p w14:paraId="0CFA24FE">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采购人不得泄漏招标投标活动中应当保密的情况和资料，不得与供应商串通损害国家利益、社会公共利益或者他人合法权益。</w:t>
      </w:r>
    </w:p>
    <w:p w14:paraId="7369E0BD">
      <w:pPr>
        <w:overflowPunct w:val="0"/>
        <w:topLinePunct/>
        <w:spacing w:line="360" w:lineRule="auto"/>
        <w:textAlignment w:val="top"/>
        <w:rPr>
          <w:rFonts w:ascii="仿宋" w:hAnsi="仿宋" w:eastAsia="仿宋" w:cs="仿宋"/>
          <w:b/>
          <w:snapToGrid w:val="0"/>
          <w:kern w:val="0"/>
          <w:sz w:val="24"/>
          <w:szCs w:val="24"/>
        </w:rPr>
      </w:pPr>
      <w:bookmarkStart w:id="222" w:name="_Toc144974544"/>
      <w:bookmarkStart w:id="223" w:name="_Toc152042352"/>
      <w:bookmarkStart w:id="224" w:name="_Toc292897346"/>
      <w:bookmarkStart w:id="225" w:name="_Toc152045576"/>
      <w:bookmarkStart w:id="226" w:name="_Toc179632594"/>
      <w:r>
        <w:rPr>
          <w:rFonts w:hint="eastAsia" w:ascii="仿宋" w:hAnsi="仿宋" w:eastAsia="仿宋" w:cs="仿宋"/>
          <w:b/>
          <w:snapToGrid w:val="0"/>
          <w:kern w:val="0"/>
          <w:sz w:val="24"/>
          <w:szCs w:val="24"/>
        </w:rPr>
        <w:t>8.2 对供应商的纪律要求</w:t>
      </w:r>
      <w:bookmarkEnd w:id="222"/>
      <w:bookmarkEnd w:id="223"/>
      <w:bookmarkEnd w:id="224"/>
      <w:bookmarkEnd w:id="225"/>
      <w:bookmarkEnd w:id="226"/>
    </w:p>
    <w:p w14:paraId="3FDFA2E7">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供应商不得相互串通投标或者与采购人串通投标，不得向采购人或者磋商小组成员行贿谋取中标，不得以他人名义投标或者以其他方式弄虚作假骗取中标；供应商不得以任何方式干扰、影响评标工作。如发现供应商有上述不正当行为，将取消其投标资格或中标资格。</w:t>
      </w:r>
    </w:p>
    <w:p w14:paraId="017955A8">
      <w:pPr>
        <w:overflowPunct w:val="0"/>
        <w:topLinePunct/>
        <w:spacing w:line="360" w:lineRule="auto"/>
        <w:textAlignment w:val="top"/>
        <w:rPr>
          <w:rFonts w:ascii="仿宋" w:hAnsi="仿宋" w:eastAsia="仿宋" w:cs="仿宋"/>
          <w:b/>
          <w:snapToGrid w:val="0"/>
          <w:kern w:val="0"/>
          <w:sz w:val="24"/>
          <w:szCs w:val="24"/>
        </w:rPr>
      </w:pPr>
      <w:bookmarkStart w:id="227" w:name="_Toc144974545"/>
      <w:bookmarkStart w:id="228" w:name="_Toc179632595"/>
      <w:bookmarkStart w:id="229" w:name="_Toc152042353"/>
      <w:bookmarkStart w:id="230" w:name="_Toc152045577"/>
      <w:bookmarkStart w:id="231" w:name="_Toc292897347"/>
      <w:r>
        <w:rPr>
          <w:rFonts w:hint="eastAsia" w:ascii="仿宋" w:hAnsi="仿宋" w:eastAsia="仿宋" w:cs="仿宋"/>
          <w:b/>
          <w:snapToGrid w:val="0"/>
          <w:kern w:val="0"/>
          <w:sz w:val="24"/>
          <w:szCs w:val="24"/>
        </w:rPr>
        <w:t>8.3 对磋商小组成员的纪律要求</w:t>
      </w:r>
      <w:bookmarkEnd w:id="227"/>
      <w:bookmarkEnd w:id="228"/>
      <w:bookmarkEnd w:id="229"/>
      <w:bookmarkEnd w:id="230"/>
      <w:bookmarkEnd w:id="231"/>
    </w:p>
    <w:p w14:paraId="26D7CA6D">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磋商小组成员不得收受他人的财物或者其他好处，不得向他人透漏对响应文件的评审和比较、中标候选人的推荐情况以及评标有关的其他情况。在评标活动中，磋商小组成员不得擅离职守，影响评标程序正常进行，不得使用第三章“磋商办法”没有规定的评审因素和标准进行评标。</w:t>
      </w:r>
    </w:p>
    <w:p w14:paraId="3F7D7A83">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8.4 对与评标活动有关的工作人员和纪律要求</w:t>
      </w:r>
    </w:p>
    <w:p w14:paraId="4BD1BA6F">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与评标活动有关的工作人员不得收受他人的财物或者其他好处，不得向他人透漏对响应文件评审和比较、中标候选人的推荐情况及评标有关的其他情况。在评标活动中，与评标活动有关的工作人员不得擅离职守，影响评标程序正常进行。</w:t>
      </w:r>
    </w:p>
    <w:p w14:paraId="47EA1761">
      <w:pPr>
        <w:overflowPunct w:val="0"/>
        <w:topLinePunct/>
        <w:spacing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8.5投诉</w:t>
      </w:r>
    </w:p>
    <w:p w14:paraId="7A8FC305">
      <w:pPr>
        <w:overflowPunct w:val="0"/>
        <w:topLinePunct/>
        <w:spacing w:line="360" w:lineRule="auto"/>
        <w:ind w:firstLine="480" w:firstLineChars="200"/>
        <w:textAlignment w:val="top"/>
        <w:rPr>
          <w:rFonts w:ascii="仿宋" w:hAnsi="仿宋" w:eastAsia="仿宋" w:cs="仿宋"/>
          <w:snapToGrid w:val="0"/>
          <w:kern w:val="0"/>
          <w:sz w:val="24"/>
          <w:szCs w:val="24"/>
        </w:rPr>
      </w:pPr>
      <w:r>
        <w:rPr>
          <w:rFonts w:hint="eastAsia" w:ascii="仿宋" w:hAnsi="仿宋" w:eastAsia="仿宋" w:cs="仿宋"/>
          <w:snapToGrid w:val="0"/>
          <w:kern w:val="0"/>
          <w:sz w:val="24"/>
          <w:szCs w:val="24"/>
        </w:rPr>
        <w:t>供应商和其他利害关系人认为本次招标活动违反法律、法规和规章规定的，有权向有关行政监督部门投诉。</w:t>
      </w:r>
    </w:p>
    <w:p w14:paraId="78398E66">
      <w:pPr>
        <w:keepNext/>
        <w:overflowPunct w:val="0"/>
        <w:topLinePunct/>
        <w:snapToGrid w:val="0"/>
        <w:spacing w:before="156" w:beforeLines="50" w:after="156" w:afterLines="50" w:line="360" w:lineRule="auto"/>
        <w:textAlignment w:val="top"/>
        <w:rPr>
          <w:rFonts w:ascii="仿宋" w:hAnsi="仿宋" w:eastAsia="仿宋" w:cs="仿宋"/>
          <w:b/>
          <w:snapToGrid w:val="0"/>
          <w:kern w:val="0"/>
          <w:sz w:val="24"/>
          <w:szCs w:val="24"/>
        </w:rPr>
      </w:pPr>
      <w:r>
        <w:rPr>
          <w:rFonts w:hint="eastAsia" w:ascii="仿宋" w:hAnsi="仿宋" w:eastAsia="仿宋" w:cs="仿宋"/>
          <w:b/>
          <w:snapToGrid w:val="0"/>
          <w:kern w:val="0"/>
          <w:sz w:val="24"/>
          <w:szCs w:val="24"/>
        </w:rPr>
        <w:t>9．需要补充的其他内容</w:t>
      </w:r>
    </w:p>
    <w:p w14:paraId="5318DB5C">
      <w:pPr>
        <w:overflowPunct w:val="0"/>
        <w:topLinePunct/>
        <w:snapToGrid w:val="0"/>
        <w:spacing w:before="156" w:beforeLines="50" w:after="156" w:afterLines="50" w:line="360" w:lineRule="auto"/>
        <w:ind w:firstLine="470" w:firstLineChars="196"/>
        <w:textAlignment w:val="top"/>
        <w:rPr>
          <w:rFonts w:hint="eastAsia" w:ascii="仿宋" w:hAnsi="仿宋" w:eastAsia="仿宋" w:cs="仿宋"/>
          <w:sz w:val="24"/>
          <w:szCs w:val="24"/>
        </w:rPr>
      </w:pPr>
      <w:r>
        <w:rPr>
          <w:rFonts w:hint="eastAsia" w:ascii="仿宋" w:hAnsi="仿宋" w:eastAsia="仿宋" w:cs="仿宋"/>
          <w:sz w:val="24"/>
          <w:szCs w:val="24"/>
        </w:rPr>
        <w:t>需要补充的其他内容：见供应商须知前附表</w:t>
      </w:r>
    </w:p>
    <w:p w14:paraId="5631FDE1">
      <w:pPr>
        <w:adjustRightInd w:val="0"/>
        <w:snapToGrid w:val="0"/>
        <w:spacing w:line="400" w:lineRule="exact"/>
        <w:ind w:firstLine="482" w:firstLineChars="200"/>
        <w:jc w:val="center"/>
        <w:rPr>
          <w:rFonts w:hint="eastAsia" w:ascii="仿宋" w:hAnsi="仿宋" w:eastAsia="仿宋" w:cs="仿宋"/>
          <w:b/>
          <w:bCs/>
          <w:sz w:val="24"/>
          <w:szCs w:val="24"/>
        </w:rPr>
      </w:pPr>
    </w:p>
    <w:p w14:paraId="5DC2E362">
      <w:pPr>
        <w:adjustRightInd w:val="0"/>
        <w:snapToGrid w:val="0"/>
        <w:spacing w:line="400" w:lineRule="exact"/>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关于印发中小企业划型标准规定的通知</w:t>
      </w:r>
    </w:p>
    <w:p w14:paraId="5B6C1E9C">
      <w:pPr>
        <w:adjustRightInd w:val="0"/>
        <w:snapToGrid w:val="0"/>
        <w:spacing w:line="400" w:lineRule="exact"/>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工信部联企业[2011]300号</w:t>
      </w:r>
    </w:p>
    <w:p w14:paraId="390EF541">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各省、自治区、直辖市人民政府，国务院各部委、各直属机构及有关单位：</w:t>
      </w:r>
    </w:p>
    <w:p w14:paraId="5C249F46">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FFE529D">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工业和信息化部　国家统计局</w:t>
      </w:r>
    </w:p>
    <w:p w14:paraId="53348F01">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国家发展和改革委员会　财政部</w:t>
      </w:r>
    </w:p>
    <w:p w14:paraId="01AD84F4">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二〇一一年六月十八日</w:t>
      </w:r>
    </w:p>
    <w:p w14:paraId="5456EC9F">
      <w:pPr>
        <w:adjustRightInd w:val="0"/>
        <w:snapToGrid w:val="0"/>
        <w:spacing w:line="400" w:lineRule="exact"/>
        <w:ind w:firstLine="480" w:firstLineChars="200"/>
        <w:rPr>
          <w:rFonts w:hint="eastAsia" w:ascii="仿宋" w:hAnsi="仿宋" w:eastAsia="仿宋" w:cs="仿宋"/>
          <w:sz w:val="24"/>
          <w:szCs w:val="24"/>
        </w:rPr>
      </w:pPr>
    </w:p>
    <w:p w14:paraId="4213E330">
      <w:pPr>
        <w:adjustRightInd w:val="0"/>
        <w:snapToGrid w:val="0"/>
        <w:spacing w:line="400" w:lineRule="exact"/>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中小企业划型标准规定</w:t>
      </w:r>
    </w:p>
    <w:p w14:paraId="44C2381F">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一、根据《中华人民共和国中小企业促进法》和《国务院关于进一步促进中小企业发展的若干意见》(国发〔2009〕36号)，制定本规定。</w:t>
      </w:r>
    </w:p>
    <w:p w14:paraId="4C5D20AC">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二、中小企业划分为中型、小型、微型三种类型，具体标准根据企业从业人员、营业收入、资产总额等指标，结合行业特点制定。</w:t>
      </w:r>
    </w:p>
    <w:p w14:paraId="586987F5">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7F2A1A0">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四、各行业划型标准为：</w:t>
      </w:r>
    </w:p>
    <w:p w14:paraId="66BF60E4">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（一）农、林、牧、渔业。营业收入20000万元以下的为中小微型企业。其中，营业收入500万元及以上的为中型企业，营业收入50万元及以上的为小型企业，营业收入50万元以下的为微型企业。</w:t>
      </w:r>
    </w:p>
    <w:p w14:paraId="716E6E33">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8E8D373">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B16D6CF">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38B1DA6">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2B5360">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7AF93F2">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15AE806">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2460CCB">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1A9761">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A10440">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D19531">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0B4C6DC">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3306FFC">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F0E1010">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2F3152F">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（十六）其他未列明行业。从业人员300人以下的为中小微型企业。其中，从业人员100人及以上的为中型企业；从业人员10人及以上的为小型企业；从业人员10人以下的为微型企业。</w:t>
      </w:r>
    </w:p>
    <w:p w14:paraId="3C2D64F8">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五、企业类型的划分以统计部门的统计数据为依据。</w:t>
      </w:r>
    </w:p>
    <w:p w14:paraId="657BD001">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六、本规定适用于在中华人民共和国境内依法设立的各类所有制和各种组织形式的企业。个体工商户和本规定以外的行业，参照本规定进行划型。</w:t>
      </w:r>
    </w:p>
    <w:p w14:paraId="720D6838">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4919D4A5">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八、本规定由工业和信息化部、国家统计局会同有关部门根据《国民经济行业分类》修订情况和企业发展变化情况适时修订。</w:t>
      </w:r>
    </w:p>
    <w:p w14:paraId="2B55697D">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九、本规定由工业和信息化部、国家统计局会同有关部门负责解释。</w:t>
      </w:r>
    </w:p>
    <w:p w14:paraId="043E0957">
      <w:pPr>
        <w:adjustRightInd w:val="0"/>
        <w:snapToGrid w:val="0"/>
        <w:spacing w:line="400" w:lineRule="exact"/>
        <w:ind w:firstLine="480" w:firstLineChars="200"/>
        <w:rPr>
          <w:rFonts w:hint="eastAsia" w:ascii="仿宋" w:hAnsi="仿宋" w:eastAsia="仿宋" w:cs="仿宋"/>
          <w:sz w:val="24"/>
          <w:szCs w:val="24"/>
          <w:highlight w:val="yellow"/>
        </w:rPr>
      </w:pPr>
      <w:r>
        <w:rPr>
          <w:rFonts w:hint="eastAsia" w:ascii="仿宋" w:hAnsi="仿宋" w:eastAsia="仿宋" w:cs="仿宋"/>
          <w:sz w:val="24"/>
          <w:szCs w:val="24"/>
        </w:rPr>
        <w:t>十、本规定自发布之日起执行，原国家经贸委、原国家计委、财政部和国家统计局2003年颁布的《中小企业标准暂行规定》同时废止。</w:t>
      </w:r>
    </w:p>
    <w:p w14:paraId="0D1F72DB">
      <w:pPr>
        <w:pStyle w:val="6"/>
        <w:adjustRightInd w:val="0"/>
        <w:snapToGrid w:val="0"/>
        <w:spacing w:line="400" w:lineRule="exact"/>
        <w:ind w:firstLine="482"/>
        <w:jc w:val="center"/>
        <w:rPr>
          <w:rFonts w:hint="eastAsia" w:ascii="仿宋" w:hAnsi="仿宋" w:eastAsia="仿宋" w:cs="仿宋"/>
          <w:b/>
          <w:bCs/>
          <w:sz w:val="24"/>
          <w:szCs w:val="24"/>
        </w:rPr>
      </w:pPr>
    </w:p>
    <w:p w14:paraId="77802D13">
      <w:pPr>
        <w:pStyle w:val="6"/>
        <w:adjustRightInd w:val="0"/>
        <w:snapToGrid w:val="0"/>
        <w:spacing w:line="400" w:lineRule="exact"/>
        <w:ind w:firstLine="482"/>
        <w:jc w:val="center"/>
        <w:rPr>
          <w:rFonts w:hint="eastAsia" w:ascii="仿宋" w:hAnsi="仿宋" w:eastAsia="仿宋" w:cs="仿宋"/>
          <w:b/>
          <w:bCs/>
          <w:sz w:val="24"/>
          <w:szCs w:val="24"/>
        </w:rPr>
      </w:pPr>
    </w:p>
    <w:p w14:paraId="0B4DA1E4">
      <w:pPr>
        <w:pStyle w:val="6"/>
        <w:adjustRightInd w:val="0"/>
        <w:snapToGrid w:val="0"/>
        <w:spacing w:line="400" w:lineRule="exact"/>
        <w:ind w:firstLine="482"/>
        <w:jc w:val="center"/>
        <w:rPr>
          <w:rFonts w:hint="eastAsia" w:ascii="仿宋" w:hAnsi="仿宋" w:eastAsia="仿宋" w:cs="仿宋"/>
          <w:b/>
          <w:bCs/>
          <w:sz w:val="24"/>
          <w:szCs w:val="24"/>
        </w:rPr>
      </w:pPr>
      <w:r>
        <w:rPr>
          <w:rFonts w:hint="eastAsia" w:ascii="仿宋" w:hAnsi="仿宋" w:eastAsia="仿宋" w:cs="仿宋"/>
          <w:b/>
          <w:bCs/>
          <w:sz w:val="24"/>
          <w:szCs w:val="24"/>
        </w:rPr>
        <w:t>河南省政府采购合同融资政策告知函</w:t>
      </w:r>
    </w:p>
    <w:p w14:paraId="163F2BBF">
      <w:pPr>
        <w:pStyle w:val="6"/>
        <w:adjustRightInd w:val="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各供应商：</w:t>
      </w:r>
    </w:p>
    <w:p w14:paraId="38CF4AEC">
      <w:pPr>
        <w:pStyle w:val="6"/>
        <w:adjustRightInd w:val="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欢迎贵公司参与河南省政府采购活动！</w:t>
      </w:r>
    </w:p>
    <w:p w14:paraId="68889513">
      <w:pPr>
        <w:pStyle w:val="6"/>
        <w:adjustRightInd w:val="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政府采购合同融资是河南省财政厅支持中小微企业发展，针对参与政府采购活动的供应离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12BD4855">
      <w:pPr>
        <w:pStyle w:val="6"/>
        <w:adjustRightInd w:val="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贷款渠道和提供贷款的金融机构，可在河南省政府采购网“河南省政府采购合同融资平台”查询联系。</w:t>
      </w:r>
    </w:p>
    <w:p w14:paraId="70CA20F0">
      <w:pPr>
        <w:pStyle w:val="6"/>
        <w:adjustRightInd w:val="0"/>
        <w:snapToGrid w:val="0"/>
        <w:spacing w:line="400" w:lineRule="exact"/>
        <w:ind w:firstLine="482"/>
        <w:jc w:val="center"/>
        <w:rPr>
          <w:rFonts w:hint="eastAsia" w:ascii="仿宋" w:hAnsi="仿宋" w:eastAsia="仿宋" w:cs="仿宋"/>
          <w:b/>
          <w:bCs/>
          <w:sz w:val="24"/>
          <w:szCs w:val="24"/>
        </w:rPr>
      </w:pPr>
    </w:p>
    <w:p w14:paraId="2200EF97">
      <w:pPr>
        <w:pStyle w:val="6"/>
        <w:adjustRightInd w:val="0"/>
        <w:snapToGrid w:val="0"/>
        <w:spacing w:line="400" w:lineRule="exact"/>
        <w:ind w:firstLine="482"/>
        <w:jc w:val="center"/>
        <w:rPr>
          <w:rFonts w:hint="eastAsia" w:ascii="仿宋" w:hAnsi="仿宋" w:eastAsia="仿宋" w:cs="仿宋"/>
          <w:b/>
          <w:bCs/>
          <w:sz w:val="24"/>
          <w:szCs w:val="24"/>
        </w:rPr>
      </w:pPr>
      <w:r>
        <w:rPr>
          <w:rFonts w:hint="eastAsia" w:ascii="仿宋" w:hAnsi="仿宋" w:eastAsia="仿宋" w:cs="仿宋"/>
          <w:b/>
          <w:bCs/>
          <w:sz w:val="24"/>
          <w:szCs w:val="24"/>
        </w:rPr>
        <w:t>平顶山银行“银政易贷”贷款简介</w:t>
      </w:r>
    </w:p>
    <w:p w14:paraId="56FD9F55">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47D664FB">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为扩大支持中小企业融资渠道，平顶山银行推出了“银政易贷”特色金融产品，主要面对平顶山市政府采购领域中标成交企业，对中标政府采购企业的实际控制人发放，专项用于履行政府采购合同。“银政易贷”专业服务政府采购上游投标人基于中标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0BDF5932">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“银政易贷”团队联系人及联系方式：</w:t>
      </w:r>
    </w:p>
    <w:p w14:paraId="06600363">
      <w:pPr>
        <w:widowControl/>
        <w:adjustRightInd w:val="0"/>
        <w:snapToGrid w:val="0"/>
        <w:spacing w:line="40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余梦丽：0375-2980538</w:t>
      </w:r>
    </w:p>
    <w:p w14:paraId="4603196B">
      <w:pPr>
        <w:pStyle w:val="18"/>
        <w:adjustRightInd w:val="0"/>
        <w:spacing w:line="400" w:lineRule="exact"/>
        <w:ind w:firstLine="480" w:firstLineChars="200"/>
        <w:rPr>
          <w:rFonts w:hint="eastAsia" w:ascii="仿宋" w:hAnsi="仿宋" w:eastAsia="仿宋" w:cs="仿宋"/>
          <w:sz w:val="24"/>
          <w:szCs w:val="24"/>
        </w:rPr>
      </w:pPr>
    </w:p>
    <w:p w14:paraId="1159622F">
      <w:pPr>
        <w:pStyle w:val="6"/>
        <w:adjustRightInd w:val="0"/>
        <w:snapToGrid w:val="0"/>
        <w:spacing w:line="400" w:lineRule="exact"/>
        <w:ind w:firstLine="482"/>
        <w:jc w:val="center"/>
        <w:rPr>
          <w:rFonts w:hint="eastAsia" w:ascii="仿宋" w:hAnsi="仿宋" w:eastAsia="仿宋" w:cs="仿宋"/>
          <w:b/>
          <w:bCs/>
          <w:sz w:val="24"/>
          <w:szCs w:val="24"/>
        </w:rPr>
      </w:pPr>
      <w:bookmarkStart w:id="232" w:name="_Toc30264"/>
      <w:bookmarkStart w:id="233" w:name="_Toc28538"/>
      <w:bookmarkStart w:id="234" w:name="_Toc26531"/>
      <w:r>
        <w:rPr>
          <w:rFonts w:hint="eastAsia" w:ascii="仿宋" w:hAnsi="仿宋" w:eastAsia="仿宋" w:cs="仿宋"/>
          <w:b/>
          <w:bCs/>
          <w:sz w:val="24"/>
          <w:szCs w:val="24"/>
        </w:rPr>
        <w:t>政府采购合同融资试点单位工商银行</w:t>
      </w:r>
      <w:bookmarkEnd w:id="232"/>
      <w:bookmarkEnd w:id="233"/>
      <w:bookmarkEnd w:id="234"/>
      <w:bookmarkStart w:id="235" w:name="_Toc29782"/>
      <w:bookmarkStart w:id="236" w:name="_Toc22739"/>
      <w:bookmarkStart w:id="237" w:name="_Toc29118"/>
      <w:r>
        <w:rPr>
          <w:rFonts w:hint="eastAsia" w:ascii="仿宋" w:hAnsi="仿宋" w:eastAsia="仿宋" w:cs="仿宋"/>
          <w:b/>
          <w:bCs/>
          <w:sz w:val="24"/>
          <w:szCs w:val="24"/>
        </w:rPr>
        <w:t>平顶山分行</w:t>
      </w:r>
      <w:bookmarkEnd w:id="235"/>
      <w:r>
        <w:rPr>
          <w:rFonts w:hint="eastAsia" w:ascii="仿宋" w:hAnsi="仿宋" w:eastAsia="仿宋" w:cs="仿宋"/>
          <w:b/>
          <w:bCs/>
          <w:sz w:val="24"/>
          <w:szCs w:val="24"/>
        </w:rPr>
        <w:t> </w:t>
      </w:r>
      <w:bookmarkEnd w:id="236"/>
      <w:bookmarkEnd w:id="237"/>
    </w:p>
    <w:p w14:paraId="5DE3D408">
      <w:pPr>
        <w:widowControl/>
        <w:adjustRightInd w:val="0"/>
        <w:snapToGrid w:val="0"/>
        <w:spacing w:line="40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32BBC963">
      <w:pPr>
        <w:widowControl/>
        <w:adjustRightInd w:val="0"/>
        <w:snapToGrid w:val="0"/>
        <w:spacing w:line="40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工行平顶山分行将针对政府采购合同融资推出专项“政采贷”贷款业务，满足政府采购上游投标人基于中标政府采购合同项下的备货、生产和加工等环节的资金需求。贷款方式为信用，融资金额不超过合同实有金额的80%；对投标人资信状况良好、购销关系稳定的，最高可放宽至90%。融资期限根据中标合同约定履约期限确定，最长不超过1年，且不晚于合同约定付款日后一个月。融资利率原则上不高于7%；按月还息。还款方式上，根据中标合同约定分期或到期一次性还本或财政支付资金回款到账后次日归还。</w:t>
      </w:r>
    </w:p>
    <w:p w14:paraId="2DE56574">
      <w:pPr>
        <w:widowControl/>
        <w:adjustRightInd w:val="0"/>
        <w:snapToGrid w:val="0"/>
        <w:spacing w:line="40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186DC75D">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 xml:space="preserve">  工行平顶山分行联系人;</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50FC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24" w:type="dxa"/>
            <w:noWrap w:val="0"/>
            <w:vAlign w:val="top"/>
          </w:tcPr>
          <w:p w14:paraId="58659D6D">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联系单位</w:t>
            </w:r>
          </w:p>
        </w:tc>
        <w:tc>
          <w:tcPr>
            <w:tcW w:w="3257" w:type="dxa"/>
            <w:noWrap w:val="0"/>
            <w:vAlign w:val="top"/>
          </w:tcPr>
          <w:p w14:paraId="134AC92C">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联系人</w:t>
            </w:r>
          </w:p>
        </w:tc>
        <w:tc>
          <w:tcPr>
            <w:tcW w:w="2841" w:type="dxa"/>
            <w:noWrap w:val="0"/>
            <w:vAlign w:val="top"/>
          </w:tcPr>
          <w:p w14:paraId="1BE18C73">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联系方式</w:t>
            </w:r>
          </w:p>
        </w:tc>
      </w:tr>
      <w:tr w14:paraId="75D2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24" w:type="dxa"/>
            <w:noWrap w:val="0"/>
            <w:vAlign w:val="top"/>
          </w:tcPr>
          <w:p w14:paraId="3647A3DB">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政采贷专营团队</w:t>
            </w:r>
          </w:p>
        </w:tc>
        <w:tc>
          <w:tcPr>
            <w:tcW w:w="3257" w:type="dxa"/>
            <w:noWrap w:val="0"/>
            <w:vAlign w:val="top"/>
          </w:tcPr>
          <w:p w14:paraId="654ADBF3">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卢文旭</w:t>
            </w:r>
          </w:p>
        </w:tc>
        <w:tc>
          <w:tcPr>
            <w:tcW w:w="2841" w:type="dxa"/>
            <w:noWrap w:val="0"/>
            <w:vAlign w:val="top"/>
          </w:tcPr>
          <w:p w14:paraId="39D5025F">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0375-2763835</w:t>
            </w:r>
          </w:p>
        </w:tc>
      </w:tr>
      <w:tr w14:paraId="130E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24" w:type="dxa"/>
            <w:noWrap w:val="0"/>
            <w:vAlign w:val="top"/>
          </w:tcPr>
          <w:p w14:paraId="1559F892">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政采贷专营团队</w:t>
            </w:r>
          </w:p>
        </w:tc>
        <w:tc>
          <w:tcPr>
            <w:tcW w:w="3257" w:type="dxa"/>
            <w:noWrap w:val="0"/>
            <w:vAlign w:val="top"/>
          </w:tcPr>
          <w:p w14:paraId="317F2747">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好金斗</w:t>
            </w:r>
          </w:p>
        </w:tc>
        <w:tc>
          <w:tcPr>
            <w:tcW w:w="2841" w:type="dxa"/>
            <w:noWrap w:val="0"/>
            <w:vAlign w:val="top"/>
          </w:tcPr>
          <w:p w14:paraId="37137C49">
            <w:pPr>
              <w:widowControl/>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0375-2763881</w:t>
            </w:r>
          </w:p>
        </w:tc>
      </w:tr>
    </w:tbl>
    <w:p w14:paraId="70BAA680">
      <w:pPr>
        <w:pStyle w:val="12"/>
      </w:pPr>
    </w:p>
    <w:bookmarkEnd w:id="47"/>
    <w:bookmarkEnd w:id="48"/>
    <w:bookmarkEnd w:id="49"/>
    <w:bookmarkEnd w:id="50"/>
    <w:bookmarkEnd w:id="51"/>
    <w:p w14:paraId="7BA43F72">
      <w:pPr>
        <w:pStyle w:val="2"/>
        <w:numPr>
          <w:ilvl w:val="0"/>
          <w:numId w:val="1"/>
        </w:numPr>
        <w:spacing w:before="120" w:after="120" w:line="240" w:lineRule="auto"/>
        <w:rPr>
          <w:rFonts w:ascii="仿宋" w:hAnsi="仿宋" w:eastAsia="仿宋" w:cs="仿宋"/>
          <w:kern w:val="2"/>
          <w:szCs w:val="20"/>
        </w:rPr>
      </w:pPr>
      <w:bookmarkStart w:id="238" w:name="_Toc27024"/>
      <w:r>
        <w:rPr>
          <w:rFonts w:ascii="仿宋" w:hAnsi="仿宋" w:eastAsia="仿宋" w:cs="仿宋"/>
          <w:bCs w:val="0"/>
          <w:kern w:val="2"/>
          <w:sz w:val="24"/>
          <w:szCs w:val="24"/>
        </w:rPr>
        <w:br w:type="page"/>
      </w:r>
      <w:bookmarkStart w:id="239" w:name="_Toc709_WPSOffice_Level1"/>
      <w:bookmarkStart w:id="240" w:name="_Toc41326537"/>
      <w:r>
        <w:rPr>
          <w:rFonts w:hint="eastAsia" w:ascii="仿宋" w:hAnsi="仿宋" w:eastAsia="仿宋" w:cs="仿宋"/>
          <w:kern w:val="2"/>
          <w:szCs w:val="20"/>
        </w:rPr>
        <w:t>、磋商办法</w:t>
      </w:r>
      <w:bookmarkEnd w:id="238"/>
      <w:bookmarkEnd w:id="239"/>
      <w:bookmarkEnd w:id="240"/>
    </w:p>
    <w:p w14:paraId="6722EF40">
      <w:pPr>
        <w:pStyle w:val="2"/>
        <w:spacing w:before="120" w:after="120" w:line="240" w:lineRule="auto"/>
        <w:rPr>
          <w:rFonts w:ascii="仿宋" w:hAnsi="仿宋" w:eastAsia="仿宋" w:cs="仿宋"/>
          <w:kern w:val="2"/>
          <w:sz w:val="28"/>
          <w:szCs w:val="28"/>
        </w:rPr>
      </w:pPr>
      <w:bookmarkStart w:id="241" w:name="_Toc41326538"/>
      <w:bookmarkStart w:id="242" w:name="_Hlk172100050"/>
      <w:r>
        <w:rPr>
          <w:rFonts w:hint="eastAsia" w:ascii="仿宋" w:hAnsi="仿宋" w:eastAsia="仿宋" w:cs="仿宋"/>
          <w:kern w:val="2"/>
          <w:sz w:val="28"/>
          <w:szCs w:val="28"/>
        </w:rPr>
        <w:t>磋商办法前附表</w:t>
      </w:r>
      <w:bookmarkEnd w:id="241"/>
      <w:bookmarkStart w:id="243" w:name="_Toc179632617"/>
      <w:bookmarkStart w:id="244" w:name="_Toc152045599"/>
      <w:bookmarkStart w:id="245" w:name="_Toc232470825"/>
      <w:bookmarkStart w:id="246" w:name="_Toc152042376"/>
      <w:bookmarkStart w:id="247" w:name="_Toc144974566"/>
    </w:p>
    <w:tbl>
      <w:tblPr>
        <w:tblStyle w:val="27"/>
        <w:tblW w:w="976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49"/>
        <w:gridCol w:w="121"/>
        <w:gridCol w:w="931"/>
        <w:gridCol w:w="1303"/>
        <w:gridCol w:w="6662"/>
      </w:tblGrid>
      <w:tr w14:paraId="62B850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9" w:hRule="atLeast"/>
          <w:jc w:val="center"/>
        </w:trPr>
        <w:tc>
          <w:tcPr>
            <w:tcW w:w="1801" w:type="dxa"/>
            <w:gridSpan w:val="3"/>
            <w:vAlign w:val="center"/>
          </w:tcPr>
          <w:p w14:paraId="42414763">
            <w:pPr>
              <w:spacing w:line="400" w:lineRule="exact"/>
              <w:jc w:val="center"/>
              <w:rPr>
                <w:rFonts w:ascii="仿宋" w:hAnsi="仿宋" w:eastAsia="仿宋" w:cs="仿宋"/>
                <w:b/>
                <w:sz w:val="24"/>
                <w:szCs w:val="24"/>
              </w:rPr>
            </w:pPr>
            <w:bookmarkStart w:id="248" w:name="_Hlk105359081"/>
            <w:r>
              <w:rPr>
                <w:rFonts w:hint="eastAsia" w:ascii="仿宋" w:hAnsi="仿宋" w:eastAsia="仿宋" w:cs="仿宋"/>
                <w:b/>
                <w:sz w:val="24"/>
                <w:szCs w:val="24"/>
              </w:rPr>
              <w:t>条款号</w:t>
            </w:r>
          </w:p>
        </w:tc>
        <w:tc>
          <w:tcPr>
            <w:tcW w:w="1303" w:type="dxa"/>
            <w:vAlign w:val="center"/>
          </w:tcPr>
          <w:p w14:paraId="5D5C7256">
            <w:pPr>
              <w:spacing w:line="400" w:lineRule="exact"/>
              <w:jc w:val="center"/>
              <w:rPr>
                <w:rFonts w:ascii="仿宋" w:hAnsi="仿宋" w:eastAsia="仿宋" w:cs="仿宋"/>
                <w:b/>
                <w:sz w:val="24"/>
                <w:szCs w:val="24"/>
              </w:rPr>
            </w:pPr>
            <w:r>
              <w:rPr>
                <w:rFonts w:hint="eastAsia" w:ascii="仿宋" w:hAnsi="仿宋" w:eastAsia="仿宋" w:cs="仿宋"/>
                <w:b/>
                <w:sz w:val="24"/>
                <w:szCs w:val="24"/>
              </w:rPr>
              <w:t>条款内容</w:t>
            </w:r>
          </w:p>
        </w:tc>
        <w:tc>
          <w:tcPr>
            <w:tcW w:w="6662" w:type="dxa"/>
            <w:vAlign w:val="center"/>
          </w:tcPr>
          <w:p w14:paraId="3E9B311F">
            <w:pPr>
              <w:spacing w:line="400" w:lineRule="exact"/>
              <w:jc w:val="center"/>
              <w:rPr>
                <w:rFonts w:ascii="仿宋" w:hAnsi="仿宋" w:eastAsia="仿宋" w:cs="仿宋"/>
                <w:b/>
                <w:sz w:val="24"/>
                <w:szCs w:val="24"/>
              </w:rPr>
            </w:pPr>
            <w:r>
              <w:rPr>
                <w:rFonts w:hint="eastAsia" w:ascii="仿宋" w:hAnsi="仿宋" w:eastAsia="仿宋" w:cs="仿宋"/>
                <w:b/>
                <w:sz w:val="24"/>
                <w:szCs w:val="24"/>
              </w:rPr>
              <w:t>编列内容</w:t>
            </w:r>
          </w:p>
        </w:tc>
      </w:tr>
      <w:tr w14:paraId="4F807D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restart"/>
            <w:vAlign w:val="center"/>
          </w:tcPr>
          <w:p w14:paraId="54072AB6">
            <w:pPr>
              <w:spacing w:line="400" w:lineRule="exact"/>
              <w:jc w:val="center"/>
              <w:rPr>
                <w:rFonts w:ascii="仿宋" w:hAnsi="仿宋" w:eastAsia="仿宋" w:cs="仿宋"/>
                <w:bCs/>
                <w:sz w:val="24"/>
                <w:szCs w:val="24"/>
              </w:rPr>
            </w:pPr>
          </w:p>
          <w:p w14:paraId="7583D218">
            <w:pPr>
              <w:pStyle w:val="12"/>
            </w:pPr>
          </w:p>
        </w:tc>
        <w:tc>
          <w:tcPr>
            <w:tcW w:w="931" w:type="dxa"/>
            <w:vMerge w:val="restart"/>
            <w:tcBorders>
              <w:right w:val="single" w:color="auto" w:sz="4" w:space="0"/>
            </w:tcBorders>
            <w:vAlign w:val="center"/>
          </w:tcPr>
          <w:p w14:paraId="31FE622F">
            <w:pPr>
              <w:spacing w:line="400" w:lineRule="exact"/>
              <w:jc w:val="center"/>
              <w:rPr>
                <w:rFonts w:ascii="仿宋" w:hAnsi="仿宋" w:eastAsia="仿宋" w:cs="仿宋"/>
                <w:bCs/>
                <w:sz w:val="24"/>
                <w:szCs w:val="24"/>
              </w:rPr>
            </w:pPr>
            <w:r>
              <w:rPr>
                <w:rFonts w:hint="eastAsia" w:ascii="仿宋" w:hAnsi="仿宋" w:eastAsia="仿宋" w:cs="仿宋"/>
                <w:bCs/>
                <w:sz w:val="24"/>
                <w:szCs w:val="24"/>
              </w:rPr>
              <w:t>形式评审标准</w:t>
            </w:r>
          </w:p>
        </w:tc>
        <w:tc>
          <w:tcPr>
            <w:tcW w:w="1303" w:type="dxa"/>
            <w:tcBorders>
              <w:left w:val="single" w:color="auto" w:sz="4" w:space="0"/>
            </w:tcBorders>
            <w:vAlign w:val="center"/>
          </w:tcPr>
          <w:p w14:paraId="0709654B">
            <w:pPr>
              <w:spacing w:line="380" w:lineRule="exact"/>
              <w:jc w:val="center"/>
              <w:rPr>
                <w:rFonts w:ascii="仿宋" w:hAnsi="仿宋" w:eastAsia="仿宋" w:cs="仿宋"/>
                <w:bCs/>
                <w:sz w:val="24"/>
                <w:szCs w:val="24"/>
              </w:rPr>
            </w:pPr>
            <w:r>
              <w:rPr>
                <w:rFonts w:hint="eastAsia" w:ascii="仿宋" w:hAnsi="仿宋" w:eastAsia="仿宋" w:cs="仿宋"/>
                <w:bCs/>
                <w:sz w:val="24"/>
                <w:szCs w:val="24"/>
              </w:rPr>
              <w:t>供应商名称</w:t>
            </w:r>
          </w:p>
        </w:tc>
        <w:tc>
          <w:tcPr>
            <w:tcW w:w="6662" w:type="dxa"/>
            <w:vAlign w:val="center"/>
          </w:tcPr>
          <w:p w14:paraId="0E7F94EA">
            <w:pPr>
              <w:spacing w:line="380" w:lineRule="exact"/>
              <w:jc w:val="center"/>
              <w:rPr>
                <w:rFonts w:ascii="仿宋" w:hAnsi="仿宋" w:eastAsia="仿宋" w:cs="仿宋"/>
                <w:bCs/>
                <w:sz w:val="24"/>
                <w:szCs w:val="24"/>
              </w:rPr>
            </w:pPr>
            <w:r>
              <w:rPr>
                <w:rFonts w:hint="eastAsia" w:ascii="仿宋" w:hAnsi="仿宋" w:eastAsia="仿宋" w:cs="仿宋"/>
                <w:bCs/>
                <w:sz w:val="24"/>
                <w:szCs w:val="24"/>
              </w:rPr>
              <w:t>与营业执照一致</w:t>
            </w:r>
          </w:p>
        </w:tc>
      </w:tr>
      <w:tr w14:paraId="03F0C8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continue"/>
            <w:vAlign w:val="center"/>
          </w:tcPr>
          <w:p w14:paraId="0F6E60D4">
            <w:pPr>
              <w:spacing w:line="400" w:lineRule="exact"/>
              <w:jc w:val="center"/>
              <w:rPr>
                <w:rFonts w:ascii="仿宋" w:hAnsi="仿宋" w:eastAsia="仿宋" w:cs="仿宋"/>
                <w:bCs/>
                <w:sz w:val="24"/>
                <w:szCs w:val="24"/>
              </w:rPr>
            </w:pPr>
          </w:p>
        </w:tc>
        <w:tc>
          <w:tcPr>
            <w:tcW w:w="931" w:type="dxa"/>
            <w:vMerge w:val="continue"/>
            <w:tcBorders>
              <w:right w:val="single" w:color="auto" w:sz="4" w:space="0"/>
            </w:tcBorders>
            <w:vAlign w:val="center"/>
          </w:tcPr>
          <w:p w14:paraId="1885598B">
            <w:pPr>
              <w:spacing w:line="400" w:lineRule="exact"/>
              <w:jc w:val="center"/>
              <w:rPr>
                <w:rFonts w:ascii="仿宋" w:hAnsi="仿宋" w:eastAsia="仿宋" w:cs="仿宋"/>
                <w:bCs/>
                <w:sz w:val="24"/>
                <w:szCs w:val="24"/>
              </w:rPr>
            </w:pPr>
          </w:p>
        </w:tc>
        <w:tc>
          <w:tcPr>
            <w:tcW w:w="1303" w:type="dxa"/>
            <w:tcBorders>
              <w:left w:val="single" w:color="auto" w:sz="4" w:space="0"/>
            </w:tcBorders>
            <w:vAlign w:val="center"/>
          </w:tcPr>
          <w:p w14:paraId="4EC8E9A2">
            <w:pPr>
              <w:spacing w:line="380" w:lineRule="exact"/>
              <w:jc w:val="center"/>
              <w:rPr>
                <w:rFonts w:ascii="仿宋" w:hAnsi="仿宋" w:eastAsia="仿宋" w:cs="仿宋"/>
                <w:bCs/>
                <w:sz w:val="24"/>
                <w:szCs w:val="24"/>
              </w:rPr>
            </w:pPr>
            <w:r>
              <w:rPr>
                <w:rFonts w:hint="eastAsia" w:ascii="仿宋" w:hAnsi="仿宋" w:eastAsia="仿宋" w:cs="仿宋"/>
                <w:bCs/>
                <w:sz w:val="24"/>
                <w:szCs w:val="24"/>
              </w:rPr>
              <w:t>投标函签字盖章</w:t>
            </w:r>
          </w:p>
        </w:tc>
        <w:tc>
          <w:tcPr>
            <w:tcW w:w="6662" w:type="dxa"/>
            <w:vAlign w:val="center"/>
          </w:tcPr>
          <w:p w14:paraId="0CB7D847">
            <w:pPr>
              <w:spacing w:line="380" w:lineRule="exact"/>
              <w:jc w:val="center"/>
              <w:rPr>
                <w:rFonts w:ascii="仿宋" w:hAnsi="仿宋" w:eastAsia="仿宋" w:cs="仿宋"/>
                <w:bCs/>
                <w:sz w:val="24"/>
                <w:szCs w:val="24"/>
              </w:rPr>
            </w:pPr>
            <w:r>
              <w:rPr>
                <w:rFonts w:hint="eastAsia" w:ascii="仿宋" w:hAnsi="仿宋" w:eastAsia="仿宋" w:cs="仿宋"/>
                <w:bCs/>
                <w:sz w:val="24"/>
                <w:szCs w:val="24"/>
              </w:rPr>
              <w:t>符合竞争性磋商文件要求</w:t>
            </w:r>
          </w:p>
        </w:tc>
      </w:tr>
      <w:tr w14:paraId="37744C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continue"/>
            <w:vAlign w:val="center"/>
          </w:tcPr>
          <w:p w14:paraId="475806BB">
            <w:pPr>
              <w:spacing w:line="400" w:lineRule="exact"/>
              <w:jc w:val="center"/>
              <w:rPr>
                <w:rFonts w:ascii="仿宋" w:hAnsi="仿宋" w:eastAsia="仿宋" w:cs="仿宋"/>
                <w:bCs/>
                <w:sz w:val="24"/>
                <w:szCs w:val="24"/>
              </w:rPr>
            </w:pPr>
          </w:p>
        </w:tc>
        <w:tc>
          <w:tcPr>
            <w:tcW w:w="931" w:type="dxa"/>
            <w:vMerge w:val="continue"/>
            <w:tcBorders>
              <w:right w:val="single" w:color="auto" w:sz="4" w:space="0"/>
            </w:tcBorders>
            <w:vAlign w:val="center"/>
          </w:tcPr>
          <w:p w14:paraId="17071259">
            <w:pPr>
              <w:spacing w:line="400" w:lineRule="exact"/>
              <w:jc w:val="center"/>
              <w:rPr>
                <w:rFonts w:ascii="仿宋" w:hAnsi="仿宋" w:eastAsia="仿宋" w:cs="仿宋"/>
                <w:bCs/>
                <w:sz w:val="24"/>
                <w:szCs w:val="24"/>
              </w:rPr>
            </w:pPr>
          </w:p>
        </w:tc>
        <w:tc>
          <w:tcPr>
            <w:tcW w:w="1303" w:type="dxa"/>
            <w:tcBorders>
              <w:left w:val="single" w:color="auto" w:sz="4" w:space="0"/>
            </w:tcBorders>
            <w:vAlign w:val="center"/>
          </w:tcPr>
          <w:p w14:paraId="05578EB7">
            <w:pPr>
              <w:spacing w:line="380" w:lineRule="exact"/>
              <w:jc w:val="center"/>
              <w:rPr>
                <w:rFonts w:ascii="仿宋" w:hAnsi="仿宋" w:eastAsia="仿宋" w:cs="仿宋"/>
                <w:bCs/>
                <w:sz w:val="24"/>
                <w:szCs w:val="24"/>
              </w:rPr>
            </w:pPr>
            <w:r>
              <w:rPr>
                <w:rFonts w:hint="eastAsia" w:ascii="仿宋" w:hAnsi="仿宋" w:eastAsia="仿宋" w:cs="仿宋"/>
                <w:bCs/>
                <w:sz w:val="24"/>
                <w:szCs w:val="24"/>
              </w:rPr>
              <w:t>响应文件格式</w:t>
            </w:r>
          </w:p>
        </w:tc>
        <w:tc>
          <w:tcPr>
            <w:tcW w:w="6662" w:type="dxa"/>
            <w:vAlign w:val="center"/>
          </w:tcPr>
          <w:p w14:paraId="0B0AC6AB">
            <w:pPr>
              <w:spacing w:line="380" w:lineRule="exact"/>
              <w:jc w:val="center"/>
              <w:rPr>
                <w:rFonts w:ascii="仿宋" w:hAnsi="仿宋" w:eastAsia="仿宋" w:cs="仿宋"/>
                <w:bCs/>
                <w:sz w:val="24"/>
                <w:szCs w:val="24"/>
              </w:rPr>
            </w:pPr>
            <w:r>
              <w:rPr>
                <w:rFonts w:hint="eastAsia" w:ascii="仿宋" w:hAnsi="仿宋" w:eastAsia="仿宋" w:cs="仿宋"/>
                <w:bCs/>
                <w:sz w:val="24"/>
                <w:szCs w:val="24"/>
              </w:rPr>
              <w:t>符合第六章“响应文件格式”的要求</w:t>
            </w:r>
          </w:p>
        </w:tc>
      </w:tr>
      <w:tr w14:paraId="6F123F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continue"/>
            <w:vAlign w:val="center"/>
          </w:tcPr>
          <w:p w14:paraId="03B488DC">
            <w:pPr>
              <w:spacing w:line="400" w:lineRule="exact"/>
              <w:jc w:val="center"/>
              <w:rPr>
                <w:rFonts w:ascii="仿宋" w:hAnsi="仿宋" w:eastAsia="仿宋" w:cs="仿宋"/>
                <w:bCs/>
                <w:sz w:val="24"/>
                <w:szCs w:val="24"/>
              </w:rPr>
            </w:pPr>
          </w:p>
        </w:tc>
        <w:tc>
          <w:tcPr>
            <w:tcW w:w="931" w:type="dxa"/>
            <w:vMerge w:val="continue"/>
            <w:tcBorders>
              <w:right w:val="single" w:color="auto" w:sz="4" w:space="0"/>
            </w:tcBorders>
            <w:vAlign w:val="center"/>
          </w:tcPr>
          <w:p w14:paraId="3FF30E9A">
            <w:pPr>
              <w:spacing w:line="400" w:lineRule="exact"/>
              <w:jc w:val="center"/>
              <w:rPr>
                <w:rFonts w:ascii="仿宋" w:hAnsi="仿宋" w:eastAsia="仿宋" w:cs="仿宋"/>
                <w:bCs/>
                <w:sz w:val="24"/>
                <w:szCs w:val="24"/>
              </w:rPr>
            </w:pPr>
          </w:p>
        </w:tc>
        <w:tc>
          <w:tcPr>
            <w:tcW w:w="1303" w:type="dxa"/>
            <w:tcBorders>
              <w:left w:val="single" w:color="auto" w:sz="4" w:space="0"/>
            </w:tcBorders>
            <w:vAlign w:val="center"/>
          </w:tcPr>
          <w:p w14:paraId="6A840A00">
            <w:pPr>
              <w:spacing w:line="380" w:lineRule="exact"/>
              <w:jc w:val="center"/>
              <w:rPr>
                <w:rFonts w:ascii="仿宋" w:hAnsi="仿宋" w:eastAsia="仿宋" w:cs="仿宋"/>
                <w:bCs/>
                <w:sz w:val="24"/>
                <w:szCs w:val="24"/>
              </w:rPr>
            </w:pPr>
            <w:r>
              <w:rPr>
                <w:rFonts w:hint="eastAsia" w:ascii="仿宋" w:hAnsi="仿宋" w:eastAsia="仿宋" w:cs="仿宋"/>
                <w:bCs/>
                <w:sz w:val="24"/>
                <w:szCs w:val="24"/>
              </w:rPr>
              <w:t>报价唯一</w:t>
            </w:r>
          </w:p>
        </w:tc>
        <w:tc>
          <w:tcPr>
            <w:tcW w:w="6662" w:type="dxa"/>
            <w:vAlign w:val="center"/>
          </w:tcPr>
          <w:p w14:paraId="66809CF5">
            <w:pPr>
              <w:spacing w:line="380" w:lineRule="exact"/>
              <w:jc w:val="center"/>
              <w:rPr>
                <w:rFonts w:ascii="仿宋" w:hAnsi="仿宋" w:eastAsia="仿宋" w:cs="仿宋"/>
                <w:bCs/>
                <w:sz w:val="24"/>
                <w:szCs w:val="24"/>
              </w:rPr>
            </w:pPr>
            <w:r>
              <w:rPr>
                <w:rFonts w:hint="eastAsia" w:ascii="仿宋" w:hAnsi="仿宋" w:eastAsia="仿宋" w:cs="仿宋"/>
                <w:bCs/>
                <w:sz w:val="24"/>
                <w:szCs w:val="24"/>
              </w:rPr>
              <w:t>只能有一个有效报价</w:t>
            </w:r>
          </w:p>
        </w:tc>
      </w:tr>
      <w:tr w14:paraId="4F386D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06" w:hRule="atLeast"/>
          <w:jc w:val="center"/>
        </w:trPr>
        <w:tc>
          <w:tcPr>
            <w:tcW w:w="870" w:type="dxa"/>
            <w:gridSpan w:val="2"/>
            <w:tcBorders>
              <w:right w:val="single" w:color="auto" w:sz="4" w:space="0"/>
            </w:tcBorders>
            <w:vAlign w:val="center"/>
          </w:tcPr>
          <w:p w14:paraId="2A1F575B">
            <w:pPr>
              <w:spacing w:line="400" w:lineRule="exact"/>
              <w:jc w:val="center"/>
              <w:rPr>
                <w:rFonts w:ascii="仿宋" w:hAnsi="仿宋" w:eastAsia="仿宋" w:cs="仿宋"/>
                <w:bCs/>
                <w:sz w:val="24"/>
                <w:szCs w:val="24"/>
              </w:rPr>
            </w:pPr>
            <w:r>
              <w:rPr>
                <w:rFonts w:hint="eastAsia" w:ascii="仿宋" w:hAnsi="仿宋" w:eastAsia="仿宋" w:cs="仿宋"/>
                <w:bCs/>
                <w:sz w:val="24"/>
                <w:szCs w:val="24"/>
              </w:rPr>
              <w:t>2.1.2</w:t>
            </w:r>
          </w:p>
        </w:tc>
        <w:tc>
          <w:tcPr>
            <w:tcW w:w="931" w:type="dxa"/>
            <w:tcBorders>
              <w:left w:val="single" w:color="auto" w:sz="4" w:space="0"/>
            </w:tcBorders>
            <w:vAlign w:val="center"/>
          </w:tcPr>
          <w:p w14:paraId="0F671880">
            <w:pPr>
              <w:jc w:val="center"/>
              <w:rPr>
                <w:rFonts w:ascii="仿宋" w:hAnsi="仿宋" w:eastAsia="仿宋" w:cs="仿宋"/>
                <w:bCs/>
                <w:sz w:val="24"/>
                <w:szCs w:val="24"/>
              </w:rPr>
            </w:pPr>
            <w:r>
              <w:rPr>
                <w:rFonts w:hint="eastAsia" w:ascii="仿宋" w:hAnsi="仿宋" w:eastAsia="仿宋" w:cs="仿宋"/>
                <w:bCs/>
                <w:sz w:val="24"/>
                <w:szCs w:val="24"/>
              </w:rPr>
              <w:t>资格评审标准</w:t>
            </w:r>
          </w:p>
        </w:tc>
        <w:tc>
          <w:tcPr>
            <w:tcW w:w="7965" w:type="dxa"/>
            <w:gridSpan w:val="2"/>
            <w:tcBorders>
              <w:left w:val="single" w:color="auto" w:sz="4" w:space="0"/>
            </w:tcBorders>
            <w:vAlign w:val="center"/>
          </w:tcPr>
          <w:p w14:paraId="0123A332">
            <w:pPr>
              <w:spacing w:line="380" w:lineRule="exact"/>
              <w:jc w:val="left"/>
              <w:rPr>
                <w:rFonts w:ascii="仿宋" w:hAnsi="仿宋" w:eastAsia="仿宋" w:cs="仿宋"/>
                <w:bCs/>
                <w:sz w:val="24"/>
                <w:szCs w:val="24"/>
              </w:rPr>
            </w:pPr>
            <w:r>
              <w:rPr>
                <w:rFonts w:hint="eastAsia" w:ascii="仿宋" w:hAnsi="仿宋" w:eastAsia="仿宋" w:cs="仿宋"/>
                <w:bCs/>
                <w:sz w:val="24"/>
                <w:szCs w:val="24"/>
              </w:rPr>
              <w:t>磋商小组按照供应商须知前附表1.4.1规定对供应商进行资格审查。未通过资格审查不得进入符合性审查。</w:t>
            </w:r>
          </w:p>
        </w:tc>
      </w:tr>
      <w:tr w14:paraId="07DE73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restart"/>
            <w:tcBorders>
              <w:top w:val="single" w:color="auto" w:sz="4" w:space="0"/>
              <w:right w:val="single" w:color="auto" w:sz="4" w:space="0"/>
            </w:tcBorders>
            <w:vAlign w:val="center"/>
          </w:tcPr>
          <w:p w14:paraId="42D0E4B7">
            <w:pPr>
              <w:spacing w:line="400" w:lineRule="exact"/>
              <w:jc w:val="center"/>
              <w:rPr>
                <w:rFonts w:ascii="仿宋" w:hAnsi="仿宋" w:eastAsia="仿宋" w:cs="仿宋"/>
                <w:bCs/>
                <w:sz w:val="24"/>
                <w:szCs w:val="24"/>
              </w:rPr>
            </w:pPr>
            <w:r>
              <w:rPr>
                <w:rFonts w:hint="eastAsia" w:ascii="仿宋" w:hAnsi="仿宋" w:eastAsia="仿宋" w:cs="仿宋"/>
                <w:bCs/>
                <w:sz w:val="24"/>
                <w:szCs w:val="24"/>
              </w:rPr>
              <w:t>2.1.3</w:t>
            </w:r>
          </w:p>
        </w:tc>
        <w:tc>
          <w:tcPr>
            <w:tcW w:w="931" w:type="dxa"/>
            <w:vMerge w:val="restart"/>
            <w:tcBorders>
              <w:top w:val="single" w:color="auto" w:sz="4" w:space="0"/>
              <w:left w:val="single" w:color="auto" w:sz="4" w:space="0"/>
            </w:tcBorders>
            <w:vAlign w:val="center"/>
          </w:tcPr>
          <w:p w14:paraId="62E321E3">
            <w:pPr>
              <w:spacing w:line="400" w:lineRule="exact"/>
              <w:jc w:val="center"/>
              <w:rPr>
                <w:rFonts w:ascii="仿宋" w:hAnsi="仿宋" w:eastAsia="仿宋" w:cs="仿宋"/>
                <w:bCs/>
                <w:sz w:val="24"/>
                <w:szCs w:val="24"/>
              </w:rPr>
            </w:pPr>
            <w:r>
              <w:rPr>
                <w:rFonts w:hint="eastAsia" w:ascii="仿宋" w:hAnsi="仿宋" w:eastAsia="仿宋" w:cs="仿宋"/>
                <w:bCs/>
                <w:sz w:val="24"/>
                <w:szCs w:val="24"/>
              </w:rPr>
              <w:t>响应性评审标准</w:t>
            </w:r>
          </w:p>
        </w:tc>
        <w:tc>
          <w:tcPr>
            <w:tcW w:w="1303" w:type="dxa"/>
            <w:tcBorders>
              <w:top w:val="single" w:color="auto" w:sz="4" w:space="0"/>
            </w:tcBorders>
            <w:vAlign w:val="center"/>
          </w:tcPr>
          <w:p w14:paraId="3E97E066">
            <w:pPr>
              <w:spacing w:line="360" w:lineRule="auto"/>
              <w:jc w:val="center"/>
              <w:rPr>
                <w:rFonts w:ascii="仿宋" w:hAnsi="仿宋" w:eastAsia="仿宋" w:cs="仿宋"/>
                <w:bCs/>
                <w:sz w:val="24"/>
                <w:szCs w:val="24"/>
              </w:rPr>
            </w:pPr>
            <w:r>
              <w:rPr>
                <w:rFonts w:hint="eastAsia" w:ascii="仿宋" w:hAnsi="仿宋" w:eastAsia="仿宋" w:cs="仿宋"/>
                <w:bCs/>
                <w:sz w:val="24"/>
                <w:szCs w:val="24"/>
              </w:rPr>
              <w:t>服务期限</w:t>
            </w:r>
          </w:p>
        </w:tc>
        <w:tc>
          <w:tcPr>
            <w:tcW w:w="6662" w:type="dxa"/>
            <w:vAlign w:val="center"/>
          </w:tcPr>
          <w:p w14:paraId="63888836">
            <w:pPr>
              <w:spacing w:line="360" w:lineRule="auto"/>
              <w:jc w:val="center"/>
              <w:rPr>
                <w:rFonts w:ascii="仿宋" w:hAnsi="仿宋" w:eastAsia="仿宋" w:cs="仿宋"/>
                <w:bCs/>
                <w:sz w:val="24"/>
                <w:szCs w:val="24"/>
              </w:rPr>
            </w:pPr>
            <w:r>
              <w:rPr>
                <w:rFonts w:hint="eastAsia" w:ascii="仿宋" w:hAnsi="仿宋" w:eastAsia="仿宋" w:cs="仿宋"/>
                <w:bCs/>
                <w:sz w:val="24"/>
                <w:szCs w:val="24"/>
              </w:rPr>
              <w:t>符合第二章“供应商须知”规定</w:t>
            </w:r>
          </w:p>
        </w:tc>
      </w:tr>
      <w:tr w14:paraId="5C8575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continue"/>
            <w:tcBorders>
              <w:right w:val="single" w:color="auto" w:sz="4" w:space="0"/>
            </w:tcBorders>
            <w:vAlign w:val="center"/>
          </w:tcPr>
          <w:p w14:paraId="7C08C1E9">
            <w:pPr>
              <w:spacing w:line="400" w:lineRule="exact"/>
              <w:jc w:val="center"/>
              <w:rPr>
                <w:rFonts w:ascii="仿宋" w:hAnsi="仿宋" w:eastAsia="仿宋" w:cs="仿宋"/>
                <w:bCs/>
                <w:sz w:val="24"/>
                <w:szCs w:val="24"/>
              </w:rPr>
            </w:pPr>
          </w:p>
        </w:tc>
        <w:tc>
          <w:tcPr>
            <w:tcW w:w="931" w:type="dxa"/>
            <w:vMerge w:val="continue"/>
            <w:tcBorders>
              <w:left w:val="single" w:color="auto" w:sz="4" w:space="0"/>
            </w:tcBorders>
            <w:vAlign w:val="center"/>
          </w:tcPr>
          <w:p w14:paraId="7703F077">
            <w:pPr>
              <w:spacing w:line="400" w:lineRule="exact"/>
              <w:jc w:val="center"/>
              <w:rPr>
                <w:rFonts w:ascii="仿宋" w:hAnsi="仿宋" w:eastAsia="仿宋" w:cs="仿宋"/>
                <w:bCs/>
                <w:sz w:val="24"/>
                <w:szCs w:val="24"/>
              </w:rPr>
            </w:pPr>
          </w:p>
        </w:tc>
        <w:tc>
          <w:tcPr>
            <w:tcW w:w="1303" w:type="dxa"/>
            <w:vAlign w:val="center"/>
          </w:tcPr>
          <w:p w14:paraId="6D2D09ED">
            <w:pPr>
              <w:spacing w:line="360" w:lineRule="auto"/>
              <w:jc w:val="center"/>
              <w:rPr>
                <w:rFonts w:ascii="仿宋" w:hAnsi="仿宋" w:eastAsia="仿宋" w:cs="仿宋"/>
                <w:bCs/>
                <w:sz w:val="24"/>
                <w:szCs w:val="24"/>
              </w:rPr>
            </w:pPr>
            <w:r>
              <w:rPr>
                <w:rFonts w:hint="eastAsia" w:ascii="仿宋" w:hAnsi="仿宋" w:eastAsia="仿宋" w:cs="仿宋"/>
                <w:bCs/>
                <w:sz w:val="24"/>
                <w:szCs w:val="24"/>
                <w:lang w:val="en-US" w:eastAsia="zh-CN"/>
              </w:rPr>
              <w:t>服务</w:t>
            </w:r>
            <w:r>
              <w:rPr>
                <w:rFonts w:hint="eastAsia" w:ascii="仿宋" w:hAnsi="仿宋" w:eastAsia="仿宋" w:cs="仿宋"/>
                <w:bCs/>
                <w:sz w:val="24"/>
                <w:szCs w:val="24"/>
              </w:rPr>
              <w:t>要求</w:t>
            </w:r>
          </w:p>
        </w:tc>
        <w:tc>
          <w:tcPr>
            <w:tcW w:w="6662" w:type="dxa"/>
            <w:vAlign w:val="center"/>
          </w:tcPr>
          <w:p w14:paraId="73E2BD4F">
            <w:pPr>
              <w:spacing w:line="360" w:lineRule="auto"/>
              <w:jc w:val="center"/>
              <w:rPr>
                <w:rFonts w:ascii="仿宋" w:hAnsi="仿宋" w:eastAsia="仿宋" w:cs="仿宋"/>
                <w:bCs/>
                <w:sz w:val="24"/>
                <w:szCs w:val="24"/>
              </w:rPr>
            </w:pPr>
            <w:r>
              <w:rPr>
                <w:rFonts w:hint="eastAsia" w:ascii="仿宋" w:hAnsi="仿宋" w:eastAsia="仿宋" w:cs="仿宋"/>
                <w:bCs/>
                <w:sz w:val="24"/>
                <w:szCs w:val="24"/>
              </w:rPr>
              <w:t>符合第二章“供应商须知”规定</w:t>
            </w:r>
          </w:p>
        </w:tc>
      </w:tr>
      <w:tr w14:paraId="139742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continue"/>
            <w:tcBorders>
              <w:right w:val="single" w:color="auto" w:sz="4" w:space="0"/>
            </w:tcBorders>
            <w:vAlign w:val="center"/>
          </w:tcPr>
          <w:p w14:paraId="06F624C6">
            <w:pPr>
              <w:spacing w:line="400" w:lineRule="exact"/>
              <w:jc w:val="center"/>
              <w:rPr>
                <w:rFonts w:ascii="仿宋" w:hAnsi="仿宋" w:eastAsia="仿宋" w:cs="仿宋"/>
                <w:bCs/>
                <w:sz w:val="24"/>
                <w:szCs w:val="24"/>
              </w:rPr>
            </w:pPr>
          </w:p>
        </w:tc>
        <w:tc>
          <w:tcPr>
            <w:tcW w:w="931" w:type="dxa"/>
            <w:vMerge w:val="continue"/>
            <w:tcBorders>
              <w:left w:val="single" w:color="auto" w:sz="4" w:space="0"/>
            </w:tcBorders>
            <w:vAlign w:val="center"/>
          </w:tcPr>
          <w:p w14:paraId="2BED7B6D">
            <w:pPr>
              <w:spacing w:line="400" w:lineRule="exact"/>
              <w:jc w:val="center"/>
              <w:rPr>
                <w:rFonts w:ascii="仿宋" w:hAnsi="仿宋" w:eastAsia="仿宋" w:cs="仿宋"/>
                <w:bCs/>
                <w:sz w:val="24"/>
                <w:szCs w:val="24"/>
              </w:rPr>
            </w:pPr>
          </w:p>
        </w:tc>
        <w:tc>
          <w:tcPr>
            <w:tcW w:w="1303" w:type="dxa"/>
            <w:vAlign w:val="center"/>
          </w:tcPr>
          <w:p w14:paraId="50A4C09D">
            <w:pPr>
              <w:spacing w:line="360" w:lineRule="auto"/>
              <w:jc w:val="center"/>
              <w:rPr>
                <w:rFonts w:ascii="仿宋" w:hAnsi="仿宋" w:eastAsia="仿宋" w:cs="仿宋"/>
                <w:bCs/>
                <w:sz w:val="24"/>
                <w:szCs w:val="24"/>
              </w:rPr>
            </w:pPr>
            <w:r>
              <w:rPr>
                <w:rFonts w:hint="eastAsia" w:ascii="仿宋" w:hAnsi="仿宋" w:eastAsia="仿宋" w:cs="仿宋"/>
                <w:bCs/>
                <w:sz w:val="24"/>
                <w:szCs w:val="24"/>
                <w:lang w:val="en-US" w:eastAsia="zh-CN"/>
              </w:rPr>
              <w:t>投标有效期</w:t>
            </w:r>
          </w:p>
        </w:tc>
        <w:tc>
          <w:tcPr>
            <w:tcW w:w="6662" w:type="dxa"/>
            <w:vAlign w:val="center"/>
          </w:tcPr>
          <w:p w14:paraId="5B7E33D4">
            <w:pPr>
              <w:spacing w:line="360" w:lineRule="auto"/>
              <w:jc w:val="center"/>
              <w:rPr>
                <w:rFonts w:ascii="仿宋" w:hAnsi="仿宋" w:eastAsia="仿宋" w:cs="仿宋"/>
                <w:bCs/>
                <w:sz w:val="24"/>
                <w:szCs w:val="24"/>
              </w:rPr>
            </w:pPr>
            <w:r>
              <w:rPr>
                <w:rFonts w:hint="eastAsia" w:ascii="仿宋" w:hAnsi="仿宋" w:eastAsia="仿宋" w:cs="仿宋"/>
                <w:bCs/>
                <w:sz w:val="24"/>
                <w:szCs w:val="24"/>
              </w:rPr>
              <w:t>符合第二章“供应商须知”规定</w:t>
            </w:r>
          </w:p>
        </w:tc>
      </w:tr>
      <w:tr w14:paraId="4DBC25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870" w:type="dxa"/>
            <w:gridSpan w:val="2"/>
            <w:vMerge w:val="continue"/>
            <w:tcBorders>
              <w:right w:val="single" w:color="auto" w:sz="4" w:space="0"/>
            </w:tcBorders>
            <w:vAlign w:val="center"/>
          </w:tcPr>
          <w:p w14:paraId="2CD86317">
            <w:pPr>
              <w:spacing w:line="400" w:lineRule="exact"/>
              <w:jc w:val="center"/>
              <w:rPr>
                <w:rFonts w:ascii="仿宋" w:hAnsi="仿宋" w:eastAsia="仿宋" w:cs="仿宋"/>
                <w:bCs/>
                <w:sz w:val="24"/>
                <w:szCs w:val="24"/>
              </w:rPr>
            </w:pPr>
          </w:p>
        </w:tc>
        <w:tc>
          <w:tcPr>
            <w:tcW w:w="931" w:type="dxa"/>
            <w:vMerge w:val="continue"/>
            <w:tcBorders>
              <w:left w:val="single" w:color="auto" w:sz="4" w:space="0"/>
            </w:tcBorders>
            <w:vAlign w:val="center"/>
          </w:tcPr>
          <w:p w14:paraId="045E2347">
            <w:pPr>
              <w:spacing w:line="400" w:lineRule="exact"/>
              <w:jc w:val="center"/>
              <w:rPr>
                <w:rFonts w:ascii="仿宋" w:hAnsi="仿宋" w:eastAsia="仿宋" w:cs="仿宋"/>
                <w:bCs/>
                <w:sz w:val="24"/>
                <w:szCs w:val="24"/>
              </w:rPr>
            </w:pPr>
          </w:p>
        </w:tc>
        <w:tc>
          <w:tcPr>
            <w:tcW w:w="1303" w:type="dxa"/>
            <w:tcBorders>
              <w:top w:val="single" w:color="auto" w:sz="4" w:space="0"/>
            </w:tcBorders>
            <w:vAlign w:val="center"/>
          </w:tcPr>
          <w:p w14:paraId="2A7C1DEE">
            <w:pPr>
              <w:spacing w:line="360" w:lineRule="auto"/>
              <w:jc w:val="center"/>
              <w:rPr>
                <w:rFonts w:ascii="仿宋" w:hAnsi="仿宋" w:eastAsia="仿宋" w:cs="仿宋"/>
                <w:bCs/>
                <w:sz w:val="24"/>
                <w:szCs w:val="24"/>
              </w:rPr>
            </w:pPr>
            <w:r>
              <w:rPr>
                <w:rFonts w:hint="eastAsia" w:ascii="仿宋" w:hAnsi="仿宋" w:eastAsia="仿宋" w:cs="仿宋"/>
                <w:bCs/>
                <w:sz w:val="24"/>
                <w:szCs w:val="24"/>
              </w:rPr>
              <w:t>投标报价</w:t>
            </w:r>
          </w:p>
        </w:tc>
        <w:tc>
          <w:tcPr>
            <w:tcW w:w="6662" w:type="dxa"/>
            <w:tcBorders>
              <w:top w:val="single" w:color="auto" w:sz="4" w:space="0"/>
            </w:tcBorders>
            <w:vAlign w:val="center"/>
          </w:tcPr>
          <w:p w14:paraId="769503B5">
            <w:pPr>
              <w:spacing w:line="360" w:lineRule="auto"/>
              <w:jc w:val="center"/>
              <w:rPr>
                <w:rFonts w:ascii="仿宋" w:hAnsi="仿宋" w:eastAsia="仿宋" w:cs="仿宋"/>
                <w:bCs/>
                <w:sz w:val="24"/>
                <w:szCs w:val="24"/>
              </w:rPr>
            </w:pPr>
            <w:r>
              <w:rPr>
                <w:rFonts w:hint="eastAsia" w:ascii="仿宋" w:hAnsi="仿宋" w:eastAsia="仿宋" w:cs="仿宋"/>
                <w:bCs/>
                <w:sz w:val="24"/>
                <w:szCs w:val="24"/>
              </w:rPr>
              <w:t>不超过磋商文件中规定的最高投标限价</w:t>
            </w:r>
          </w:p>
        </w:tc>
      </w:tr>
      <w:tr w14:paraId="7F7CB4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07" w:hRule="atLeast"/>
          <w:jc w:val="center"/>
        </w:trPr>
        <w:tc>
          <w:tcPr>
            <w:tcW w:w="1801" w:type="dxa"/>
            <w:gridSpan w:val="3"/>
            <w:vAlign w:val="center"/>
          </w:tcPr>
          <w:p w14:paraId="45EBE57A">
            <w:pPr>
              <w:spacing w:line="400" w:lineRule="exact"/>
              <w:jc w:val="center"/>
              <w:rPr>
                <w:rFonts w:ascii="仿宋" w:hAnsi="仿宋" w:eastAsia="仿宋" w:cs="仿宋"/>
                <w:bCs/>
                <w:sz w:val="24"/>
                <w:szCs w:val="24"/>
              </w:rPr>
            </w:pPr>
            <w:r>
              <w:rPr>
                <w:rFonts w:hint="eastAsia" w:ascii="仿宋" w:hAnsi="仿宋" w:eastAsia="仿宋" w:cs="仿宋"/>
                <w:bCs/>
                <w:sz w:val="24"/>
                <w:szCs w:val="24"/>
              </w:rPr>
              <w:t>2.2.1</w:t>
            </w:r>
          </w:p>
        </w:tc>
        <w:tc>
          <w:tcPr>
            <w:tcW w:w="1303" w:type="dxa"/>
            <w:vAlign w:val="center"/>
          </w:tcPr>
          <w:p w14:paraId="05CF4BE5">
            <w:pPr>
              <w:spacing w:line="400" w:lineRule="exact"/>
              <w:jc w:val="center"/>
              <w:rPr>
                <w:rFonts w:ascii="仿宋" w:hAnsi="仿宋" w:eastAsia="仿宋" w:cs="仿宋"/>
                <w:bCs/>
                <w:sz w:val="24"/>
                <w:szCs w:val="24"/>
              </w:rPr>
            </w:pPr>
            <w:r>
              <w:rPr>
                <w:rFonts w:hint="eastAsia" w:ascii="仿宋" w:hAnsi="仿宋" w:eastAsia="仿宋" w:cs="仿宋"/>
                <w:bCs/>
                <w:sz w:val="24"/>
                <w:szCs w:val="24"/>
              </w:rPr>
              <w:t>分值构成</w:t>
            </w:r>
          </w:p>
          <w:p w14:paraId="7C9F4A1C">
            <w:pPr>
              <w:spacing w:line="400" w:lineRule="exact"/>
              <w:jc w:val="center"/>
              <w:rPr>
                <w:rFonts w:ascii="仿宋" w:hAnsi="仿宋" w:eastAsia="仿宋" w:cs="仿宋"/>
                <w:bCs/>
                <w:sz w:val="24"/>
                <w:szCs w:val="24"/>
              </w:rPr>
            </w:pPr>
            <w:r>
              <w:rPr>
                <w:rFonts w:hint="eastAsia" w:ascii="仿宋" w:hAnsi="仿宋" w:eastAsia="仿宋" w:cs="仿宋"/>
                <w:bCs/>
                <w:sz w:val="24"/>
                <w:szCs w:val="24"/>
              </w:rPr>
              <w:t>(总分100分)</w:t>
            </w:r>
          </w:p>
        </w:tc>
        <w:tc>
          <w:tcPr>
            <w:tcW w:w="6662" w:type="dxa"/>
            <w:vAlign w:val="center"/>
          </w:tcPr>
          <w:p w14:paraId="08222B9D">
            <w:pPr>
              <w:spacing w:line="400" w:lineRule="exact"/>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报价部分：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15</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分</w:t>
            </w:r>
          </w:p>
          <w:p w14:paraId="05EAFDAD">
            <w:pPr>
              <w:spacing w:line="400" w:lineRule="exact"/>
              <w:jc w:val="center"/>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技术部分：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75</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分</w:t>
            </w:r>
          </w:p>
          <w:p w14:paraId="17BB1761">
            <w:pPr>
              <w:spacing w:line="400" w:lineRule="exact"/>
              <w:jc w:val="center"/>
              <w:rPr>
                <w:rFonts w:ascii="仿宋" w:hAnsi="仿宋" w:eastAsia="仿宋" w:cs="仿宋"/>
                <w:bCs/>
                <w:sz w:val="24"/>
                <w:szCs w:val="24"/>
              </w:rPr>
            </w:pPr>
            <w:r>
              <w:rPr>
                <w:rFonts w:hint="eastAsia" w:ascii="仿宋" w:hAnsi="仿宋" w:eastAsia="仿宋" w:cs="仿宋"/>
                <w:bCs/>
                <w:color w:val="000000"/>
                <w:sz w:val="24"/>
                <w:szCs w:val="24"/>
                <w:highlight w:val="none"/>
                <w:lang w:val="en-US" w:eastAsia="zh-CN"/>
              </w:rPr>
              <w:t>综合</w:t>
            </w:r>
            <w:r>
              <w:rPr>
                <w:rFonts w:hint="eastAsia" w:ascii="仿宋" w:hAnsi="仿宋" w:eastAsia="仿宋" w:cs="仿宋"/>
                <w:bCs/>
                <w:color w:val="000000"/>
                <w:sz w:val="24"/>
                <w:szCs w:val="24"/>
                <w:highlight w:val="none"/>
              </w:rPr>
              <w:t>部分：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10</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分</w:t>
            </w:r>
          </w:p>
        </w:tc>
      </w:tr>
      <w:tr w14:paraId="19F7AD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00" w:hRule="atLeast"/>
          <w:jc w:val="center"/>
        </w:trPr>
        <w:tc>
          <w:tcPr>
            <w:tcW w:w="1801" w:type="dxa"/>
            <w:gridSpan w:val="3"/>
            <w:vAlign w:val="center"/>
          </w:tcPr>
          <w:p w14:paraId="6E13A844">
            <w:pPr>
              <w:spacing w:line="400" w:lineRule="exact"/>
              <w:jc w:val="center"/>
              <w:rPr>
                <w:rFonts w:ascii="仿宋" w:hAnsi="仿宋" w:eastAsia="仿宋" w:cs="仿宋"/>
                <w:bCs/>
                <w:sz w:val="24"/>
                <w:szCs w:val="24"/>
              </w:rPr>
            </w:pPr>
            <w:r>
              <w:rPr>
                <w:rFonts w:hint="eastAsia" w:ascii="仿宋" w:hAnsi="仿宋" w:eastAsia="仿宋" w:cs="仿宋"/>
                <w:bCs/>
                <w:sz w:val="24"/>
                <w:szCs w:val="24"/>
              </w:rPr>
              <w:t>2.2.2</w:t>
            </w:r>
          </w:p>
        </w:tc>
        <w:tc>
          <w:tcPr>
            <w:tcW w:w="1303" w:type="dxa"/>
            <w:vAlign w:val="center"/>
          </w:tcPr>
          <w:p w14:paraId="032B213B">
            <w:pPr>
              <w:snapToGrid w:val="0"/>
              <w:spacing w:line="400" w:lineRule="exact"/>
              <w:jc w:val="center"/>
              <w:rPr>
                <w:rFonts w:ascii="仿宋" w:hAnsi="仿宋" w:eastAsia="仿宋" w:cs="仿宋"/>
                <w:bCs/>
                <w:sz w:val="24"/>
                <w:szCs w:val="24"/>
              </w:rPr>
            </w:pPr>
            <w:r>
              <w:rPr>
                <w:rFonts w:hint="eastAsia" w:ascii="仿宋" w:hAnsi="仿宋" w:eastAsia="仿宋" w:cs="仿宋"/>
                <w:bCs/>
                <w:sz w:val="24"/>
                <w:szCs w:val="24"/>
              </w:rPr>
              <w:t>参与磋商基准价计算的有效投标报价的确定</w:t>
            </w:r>
          </w:p>
        </w:tc>
        <w:tc>
          <w:tcPr>
            <w:tcW w:w="6662" w:type="dxa"/>
            <w:vAlign w:val="center"/>
          </w:tcPr>
          <w:p w14:paraId="28A696E6">
            <w:pPr>
              <w:spacing w:line="400" w:lineRule="exact"/>
              <w:rPr>
                <w:rFonts w:ascii="仿宋" w:hAnsi="仿宋" w:eastAsia="仿宋" w:cs="仿宋"/>
                <w:bCs/>
                <w:sz w:val="24"/>
                <w:szCs w:val="24"/>
              </w:rPr>
            </w:pPr>
            <w:r>
              <w:rPr>
                <w:rFonts w:hint="eastAsia" w:ascii="仿宋" w:hAnsi="仿宋" w:eastAsia="仿宋" w:cs="仿宋"/>
                <w:bCs/>
                <w:sz w:val="24"/>
                <w:szCs w:val="24"/>
              </w:rPr>
              <w:t>经磋商小组评审，通过初步评审并进入详细评审程序的有效供应商的投标报价为有效投标报价。</w:t>
            </w:r>
          </w:p>
        </w:tc>
      </w:tr>
      <w:tr w14:paraId="4FEB8F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47" w:hRule="atLeast"/>
          <w:jc w:val="center"/>
        </w:trPr>
        <w:tc>
          <w:tcPr>
            <w:tcW w:w="1801" w:type="dxa"/>
            <w:gridSpan w:val="3"/>
            <w:vAlign w:val="center"/>
          </w:tcPr>
          <w:p w14:paraId="4DC618F3">
            <w:pPr>
              <w:spacing w:line="400" w:lineRule="exact"/>
              <w:jc w:val="center"/>
              <w:rPr>
                <w:rFonts w:ascii="仿宋" w:hAnsi="仿宋" w:eastAsia="仿宋" w:cs="仿宋"/>
                <w:bCs/>
                <w:sz w:val="24"/>
                <w:szCs w:val="24"/>
              </w:rPr>
            </w:pPr>
            <w:r>
              <w:rPr>
                <w:rFonts w:hint="eastAsia" w:ascii="仿宋" w:hAnsi="仿宋" w:eastAsia="仿宋" w:cs="仿宋"/>
                <w:bCs/>
                <w:sz w:val="24"/>
                <w:szCs w:val="24"/>
              </w:rPr>
              <w:t>2.2.3</w:t>
            </w:r>
          </w:p>
        </w:tc>
        <w:tc>
          <w:tcPr>
            <w:tcW w:w="1303" w:type="dxa"/>
            <w:vAlign w:val="center"/>
          </w:tcPr>
          <w:p w14:paraId="06B14128">
            <w:pPr>
              <w:spacing w:line="400" w:lineRule="exact"/>
              <w:jc w:val="center"/>
              <w:rPr>
                <w:rFonts w:ascii="仿宋" w:hAnsi="仿宋" w:eastAsia="仿宋" w:cs="仿宋"/>
                <w:bCs/>
                <w:color w:val="000000"/>
                <w:sz w:val="24"/>
                <w:szCs w:val="24"/>
              </w:rPr>
            </w:pPr>
            <w:r>
              <w:rPr>
                <w:rFonts w:hint="eastAsia" w:ascii="仿宋" w:hAnsi="仿宋" w:eastAsia="仿宋" w:cs="仿宋"/>
                <w:bCs/>
                <w:color w:val="000000"/>
                <w:sz w:val="24"/>
                <w:szCs w:val="24"/>
              </w:rPr>
              <w:t>磋商基准价计算方法</w:t>
            </w:r>
          </w:p>
        </w:tc>
        <w:tc>
          <w:tcPr>
            <w:tcW w:w="6662" w:type="dxa"/>
          </w:tcPr>
          <w:p w14:paraId="591D573F">
            <w:pPr>
              <w:spacing w:line="400" w:lineRule="exact"/>
              <w:rPr>
                <w:rFonts w:ascii="仿宋" w:hAnsi="仿宋" w:eastAsia="仿宋" w:cs="仿宋"/>
                <w:bCs/>
                <w:sz w:val="24"/>
                <w:szCs w:val="24"/>
              </w:rPr>
            </w:pPr>
            <w:r>
              <w:rPr>
                <w:rFonts w:hint="eastAsia" w:ascii="仿宋" w:hAnsi="仿宋" w:eastAsia="仿宋" w:cs="仿宋"/>
                <w:bCs/>
                <w:sz w:val="24"/>
                <w:szCs w:val="24"/>
              </w:rPr>
              <w:t>有效报价：通过初步评审（形式评审、资格评审、响应性评审）的供应商经磋商后的最终报价。</w:t>
            </w:r>
          </w:p>
          <w:p w14:paraId="55A9032C">
            <w:pPr>
              <w:spacing w:line="400" w:lineRule="exact"/>
              <w:rPr>
                <w:rFonts w:ascii="仿宋" w:hAnsi="仿宋" w:eastAsia="仿宋" w:cs="仿宋"/>
                <w:bCs/>
                <w:sz w:val="24"/>
                <w:szCs w:val="24"/>
              </w:rPr>
            </w:pPr>
            <w:r>
              <w:rPr>
                <w:rFonts w:hint="eastAsia" w:ascii="仿宋" w:hAnsi="仿宋" w:eastAsia="仿宋" w:cs="仿宋"/>
                <w:bCs/>
                <w:sz w:val="24"/>
                <w:szCs w:val="24"/>
              </w:rPr>
              <w:t>满足磋商文件要求且最后报价最低的供应商的价格为磋商基准价，其价格分为满分。</w:t>
            </w:r>
          </w:p>
        </w:tc>
      </w:tr>
      <w:tr w14:paraId="36D5F0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8" w:hRule="atLeast"/>
          <w:jc w:val="center"/>
        </w:trPr>
        <w:tc>
          <w:tcPr>
            <w:tcW w:w="1801" w:type="dxa"/>
            <w:gridSpan w:val="3"/>
            <w:vAlign w:val="center"/>
          </w:tcPr>
          <w:p w14:paraId="1AE9CCF2">
            <w:pPr>
              <w:spacing w:line="360" w:lineRule="exact"/>
              <w:jc w:val="center"/>
              <w:rPr>
                <w:rFonts w:ascii="仿宋" w:hAnsi="仿宋" w:eastAsia="仿宋" w:cs="仿宋"/>
                <w:b/>
                <w:sz w:val="24"/>
                <w:szCs w:val="24"/>
              </w:rPr>
            </w:pPr>
            <w:bookmarkStart w:id="249" w:name="_Hlk171021199"/>
            <w:r>
              <w:rPr>
                <w:rFonts w:hint="eastAsia" w:ascii="仿宋" w:hAnsi="仿宋" w:eastAsia="仿宋" w:cs="仿宋"/>
                <w:b/>
                <w:sz w:val="24"/>
                <w:szCs w:val="24"/>
              </w:rPr>
              <w:t>条款号</w:t>
            </w:r>
          </w:p>
        </w:tc>
        <w:tc>
          <w:tcPr>
            <w:tcW w:w="1303" w:type="dxa"/>
            <w:vAlign w:val="center"/>
          </w:tcPr>
          <w:p w14:paraId="166827EC">
            <w:pPr>
              <w:spacing w:line="360" w:lineRule="exact"/>
              <w:jc w:val="center"/>
              <w:rPr>
                <w:rFonts w:ascii="仿宋" w:hAnsi="仿宋" w:eastAsia="仿宋" w:cs="仿宋"/>
                <w:b/>
                <w:sz w:val="24"/>
                <w:szCs w:val="24"/>
              </w:rPr>
            </w:pPr>
            <w:r>
              <w:rPr>
                <w:rFonts w:hint="eastAsia" w:ascii="仿宋" w:hAnsi="仿宋" w:eastAsia="仿宋" w:cs="仿宋"/>
                <w:b/>
                <w:sz w:val="24"/>
                <w:szCs w:val="24"/>
              </w:rPr>
              <w:t>评分因素</w:t>
            </w:r>
          </w:p>
        </w:tc>
        <w:tc>
          <w:tcPr>
            <w:tcW w:w="6662" w:type="dxa"/>
            <w:vAlign w:val="center"/>
          </w:tcPr>
          <w:p w14:paraId="34D05191">
            <w:pPr>
              <w:spacing w:line="360" w:lineRule="exact"/>
              <w:jc w:val="center"/>
              <w:rPr>
                <w:rFonts w:ascii="仿宋" w:hAnsi="仿宋" w:eastAsia="仿宋" w:cs="仿宋"/>
                <w:b/>
                <w:sz w:val="24"/>
                <w:szCs w:val="24"/>
              </w:rPr>
            </w:pPr>
            <w:r>
              <w:rPr>
                <w:rFonts w:hint="eastAsia" w:ascii="仿宋" w:hAnsi="仿宋" w:eastAsia="仿宋" w:cs="仿宋"/>
                <w:b/>
                <w:sz w:val="24"/>
                <w:szCs w:val="24"/>
              </w:rPr>
              <w:t>评分标准</w:t>
            </w:r>
          </w:p>
        </w:tc>
      </w:tr>
      <w:tr w14:paraId="6EABE0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8" w:hRule="atLeast"/>
          <w:jc w:val="center"/>
        </w:trPr>
        <w:tc>
          <w:tcPr>
            <w:tcW w:w="749" w:type="dxa"/>
            <w:vAlign w:val="center"/>
          </w:tcPr>
          <w:p w14:paraId="58ED9D99">
            <w:pPr>
              <w:adjustRightInd w:val="0"/>
              <w:snapToGrid w:val="0"/>
              <w:jc w:val="center"/>
              <w:rPr>
                <w:rFonts w:ascii="仿宋" w:hAnsi="仿宋" w:eastAsia="仿宋" w:cs="仿宋"/>
                <w:bCs/>
                <w:sz w:val="24"/>
                <w:szCs w:val="24"/>
              </w:rPr>
            </w:pPr>
            <w:bookmarkStart w:id="250" w:name="_Hlk171063739"/>
            <w:r>
              <w:rPr>
                <w:rFonts w:hint="eastAsia" w:ascii="仿宋" w:hAnsi="仿宋" w:eastAsia="仿宋" w:cs="仿宋"/>
                <w:bCs/>
                <w:sz w:val="24"/>
                <w:szCs w:val="24"/>
              </w:rPr>
              <w:t>2.2.4</w:t>
            </w:r>
          </w:p>
          <w:p w14:paraId="445E399A">
            <w:pPr>
              <w:adjustRightInd w:val="0"/>
              <w:snapToGrid w:val="0"/>
              <w:jc w:val="center"/>
              <w:rPr>
                <w:rFonts w:ascii="仿宋" w:hAnsi="仿宋" w:eastAsia="仿宋" w:cs="仿宋"/>
                <w:bCs/>
                <w:sz w:val="24"/>
                <w:szCs w:val="24"/>
              </w:rPr>
            </w:pPr>
            <w:r>
              <w:rPr>
                <w:rFonts w:hint="eastAsia" w:ascii="仿宋" w:hAnsi="仿宋" w:eastAsia="仿宋" w:cs="仿宋"/>
                <w:bCs/>
                <w:sz w:val="24"/>
                <w:szCs w:val="24"/>
              </w:rPr>
              <w:t>(</w:t>
            </w:r>
            <w:r>
              <w:rPr>
                <w:rFonts w:hint="eastAsia" w:ascii="仿宋" w:hAnsi="仿宋" w:eastAsia="仿宋" w:cs="仿宋"/>
                <w:bCs/>
                <w:sz w:val="24"/>
                <w:szCs w:val="24"/>
                <w:lang w:val="en-US" w:eastAsia="zh-CN"/>
              </w:rPr>
              <w:t>1</w:t>
            </w:r>
            <w:r>
              <w:rPr>
                <w:rFonts w:hint="eastAsia" w:ascii="仿宋" w:hAnsi="仿宋" w:eastAsia="仿宋" w:cs="仿宋"/>
                <w:bCs/>
                <w:sz w:val="24"/>
                <w:szCs w:val="24"/>
              </w:rPr>
              <w:t>)</w:t>
            </w:r>
          </w:p>
          <w:p w14:paraId="462EAABF">
            <w:pPr>
              <w:spacing w:line="360" w:lineRule="exact"/>
              <w:jc w:val="center"/>
              <w:rPr>
                <w:rFonts w:hint="eastAsia" w:ascii="仿宋" w:hAnsi="仿宋" w:eastAsia="仿宋" w:cs="仿宋"/>
                <w:b/>
                <w:sz w:val="24"/>
                <w:szCs w:val="24"/>
              </w:rPr>
            </w:pPr>
          </w:p>
        </w:tc>
        <w:tc>
          <w:tcPr>
            <w:tcW w:w="1052" w:type="dxa"/>
            <w:gridSpan w:val="2"/>
            <w:vAlign w:val="center"/>
          </w:tcPr>
          <w:p w14:paraId="2DCB6278">
            <w:pPr>
              <w:spacing w:line="360" w:lineRule="exact"/>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报价部分（1</w:t>
            </w:r>
            <w:r>
              <w:rPr>
                <w:rFonts w:hint="eastAsia" w:ascii="仿宋" w:hAnsi="仿宋" w:eastAsia="仿宋" w:cs="仿宋"/>
                <w:b w:val="0"/>
                <w:bCs/>
                <w:sz w:val="24"/>
                <w:szCs w:val="24"/>
                <w:highlight w:val="none"/>
                <w:lang w:val="en-US" w:eastAsia="zh-CN"/>
              </w:rPr>
              <w:t>5</w:t>
            </w:r>
            <w:r>
              <w:rPr>
                <w:rFonts w:hint="eastAsia" w:ascii="仿宋" w:hAnsi="仿宋" w:eastAsia="仿宋" w:cs="仿宋"/>
                <w:b w:val="0"/>
                <w:bCs/>
                <w:sz w:val="24"/>
                <w:szCs w:val="24"/>
                <w:highlight w:val="none"/>
              </w:rPr>
              <w:t>）</w:t>
            </w:r>
          </w:p>
        </w:tc>
        <w:tc>
          <w:tcPr>
            <w:tcW w:w="1303" w:type="dxa"/>
            <w:vAlign w:val="center"/>
          </w:tcPr>
          <w:p w14:paraId="2D766F34">
            <w:pPr>
              <w:spacing w:line="360" w:lineRule="exact"/>
              <w:jc w:val="cente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磋商报价</w:t>
            </w:r>
          </w:p>
        </w:tc>
        <w:tc>
          <w:tcPr>
            <w:tcW w:w="6662" w:type="dxa"/>
            <w:vAlign w:val="center"/>
          </w:tcPr>
          <w:p w14:paraId="44D0C833">
            <w:pPr>
              <w:adjustRightInd w:val="0"/>
              <w:snapToGrid w:val="0"/>
              <w:spacing w:before="156" w:beforeLines="50" w:after="156" w:afterLines="50"/>
              <w:jc w:val="left"/>
              <w:textAlignment w:val="bottom"/>
              <w:rPr>
                <w:rFonts w:hint="eastAsia" w:ascii="仿宋" w:hAnsi="仿宋" w:eastAsia="仿宋" w:cs="仿宋"/>
                <w:sz w:val="24"/>
                <w:szCs w:val="24"/>
                <w:highlight w:val="none"/>
              </w:rPr>
            </w:pPr>
            <w:r>
              <w:rPr>
                <w:rFonts w:hint="eastAsia" w:ascii="仿宋" w:hAnsi="仿宋" w:eastAsia="仿宋" w:cs="仿宋"/>
                <w:sz w:val="24"/>
                <w:szCs w:val="24"/>
                <w:highlight w:val="none"/>
              </w:rPr>
              <w:t>本项目报价得分采用低价优先法计算，即满足竞争性磋商文件要求且在采购人公布的最高投标限价以下的最低报价为评标基准值，其报价得分为满分。其他供应商的报价得分统一按照下列公式计算：</w:t>
            </w:r>
          </w:p>
          <w:p w14:paraId="6CDC21DC">
            <w:pPr>
              <w:adjustRightInd w:val="0"/>
              <w:snapToGrid w:val="0"/>
              <w:spacing w:before="156" w:beforeLines="50" w:after="156" w:afterLines="50"/>
              <w:jc w:val="left"/>
              <w:textAlignment w:val="bottom"/>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报价得分=(</w:t>
            </w:r>
            <w:r>
              <w:rPr>
                <w:rFonts w:hint="eastAsia" w:ascii="仿宋" w:hAnsi="仿宋" w:eastAsia="仿宋" w:cs="仿宋"/>
                <w:sz w:val="24"/>
                <w:szCs w:val="24"/>
                <w:highlight w:val="none"/>
                <w:lang w:val="en-US" w:eastAsia="zh-CN"/>
              </w:rPr>
              <w:t>评标</w:t>
            </w:r>
            <w:r>
              <w:rPr>
                <w:rFonts w:hint="eastAsia" w:ascii="仿宋" w:hAnsi="仿宋" w:eastAsia="仿宋" w:cs="仿宋"/>
                <w:sz w:val="24"/>
                <w:szCs w:val="24"/>
                <w:highlight w:val="none"/>
              </w:rPr>
              <w:t>基准价／</w:t>
            </w:r>
            <w:r>
              <w:rPr>
                <w:rFonts w:hint="eastAsia" w:ascii="仿宋" w:hAnsi="仿宋" w:eastAsia="仿宋" w:cs="仿宋"/>
                <w:sz w:val="24"/>
                <w:szCs w:val="24"/>
                <w:highlight w:val="none"/>
                <w:lang w:val="en-US" w:eastAsia="zh-CN"/>
              </w:rPr>
              <w:t>最后</w:t>
            </w:r>
            <w:r>
              <w:rPr>
                <w:rFonts w:hint="eastAsia" w:ascii="仿宋" w:hAnsi="仿宋" w:eastAsia="仿宋" w:cs="仿宋"/>
                <w:sz w:val="24"/>
                <w:szCs w:val="24"/>
                <w:highlight w:val="none"/>
              </w:rPr>
              <w:t>报价)×</w:t>
            </w:r>
            <w:r>
              <w:rPr>
                <w:rFonts w:hint="eastAsia" w:ascii="仿宋" w:hAnsi="仿宋" w:eastAsia="仿宋" w:cs="仿宋"/>
                <w:sz w:val="24"/>
                <w:szCs w:val="24"/>
                <w:highlight w:val="none"/>
                <w:lang w:val="en-US" w:eastAsia="zh-CN"/>
              </w:rPr>
              <w:t>15</w:t>
            </w:r>
          </w:p>
          <w:p w14:paraId="254121B9">
            <w:pPr>
              <w:adjustRightInd w:val="0"/>
              <w:snapToGrid w:val="0"/>
              <w:spacing w:before="156" w:beforeLines="50" w:after="156" w:afterLines="50"/>
              <w:jc w:val="left"/>
              <w:textAlignment w:val="bottom"/>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p w14:paraId="48729B89">
            <w:pPr>
              <w:adjustRightInd w:val="0"/>
              <w:snapToGrid w:val="0"/>
              <w:spacing w:before="156" w:beforeLines="50" w:after="156" w:afterLines="50"/>
              <w:jc w:val="left"/>
              <w:textAlignment w:val="bottom"/>
              <w:rPr>
                <w:rFonts w:hint="eastAsia" w:ascii="仿宋" w:hAnsi="仿宋" w:eastAsia="仿宋" w:cs="仿宋"/>
                <w:sz w:val="24"/>
                <w:szCs w:val="24"/>
                <w:highlight w:val="none"/>
              </w:rPr>
            </w:pPr>
            <w:r>
              <w:rPr>
                <w:rFonts w:hint="eastAsia" w:ascii="仿宋" w:hAnsi="仿宋" w:eastAsia="仿宋" w:cs="仿宋"/>
                <w:sz w:val="24"/>
                <w:szCs w:val="24"/>
                <w:highlight w:val="none"/>
              </w:rPr>
              <w:t>1.供应商的</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报价超出最高限价的，按无效标处理。</w:t>
            </w:r>
          </w:p>
          <w:p w14:paraId="5D907A09">
            <w:pPr>
              <w:adjustRightInd w:val="0"/>
              <w:snapToGrid w:val="0"/>
              <w:spacing w:before="156" w:beforeLines="50" w:after="156" w:afterLines="50"/>
              <w:jc w:val="left"/>
              <w:textAlignment w:val="bottom"/>
              <w:rPr>
                <w:rFonts w:hint="eastAsia" w:ascii="仿宋" w:hAnsi="仿宋" w:eastAsia="仿宋" w:cs="仿宋"/>
                <w:sz w:val="24"/>
                <w:szCs w:val="24"/>
                <w:highlight w:val="none"/>
              </w:rPr>
            </w:pPr>
            <w:r>
              <w:rPr>
                <w:rFonts w:hint="eastAsia" w:ascii="仿宋" w:hAnsi="仿宋" w:eastAsia="仿宋" w:cs="仿宋"/>
                <w:sz w:val="24"/>
                <w:szCs w:val="24"/>
                <w:highlight w:val="none"/>
              </w:rPr>
              <w:t>2.经磋商小组全体认为最低报价低于成本价时，磋商小组可要求最低报价供应商对其报价合理性进行说明。若不能合理说明依据，可认定恶意投标，其投标将作为无效标处理。</w:t>
            </w:r>
          </w:p>
          <w:p w14:paraId="476DC65E">
            <w:pPr>
              <w:pStyle w:val="25"/>
              <w:ind w:left="0" w:leftChars="0"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bCs/>
                <w:sz w:val="24"/>
                <w:szCs w:val="24"/>
                <w:highlight w:val="none"/>
                <w:lang w:val="en-US" w:eastAsia="zh-CN"/>
              </w:rPr>
              <w:t>3.</w:t>
            </w:r>
            <w:r>
              <w:rPr>
                <w:rFonts w:hint="eastAsia" w:ascii="仿宋" w:hAnsi="仿宋" w:eastAsia="仿宋" w:cs="仿宋"/>
                <w:b/>
                <w:sz w:val="24"/>
                <w:szCs w:val="24"/>
                <w:highlight w:val="none"/>
              </w:rPr>
              <w:t>本项目为专门面向中小企业采购的项目，不再执行价格评审优惠的扶持政策。</w:t>
            </w:r>
          </w:p>
        </w:tc>
      </w:tr>
      <w:tr w14:paraId="5257CD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restart"/>
            <w:vAlign w:val="center"/>
          </w:tcPr>
          <w:p w14:paraId="4875941C">
            <w:pPr>
              <w:adjustRightInd w:val="0"/>
              <w:snapToGrid w:val="0"/>
              <w:jc w:val="center"/>
              <w:rPr>
                <w:rFonts w:ascii="仿宋" w:hAnsi="仿宋" w:eastAsia="仿宋" w:cs="仿宋"/>
                <w:bCs/>
                <w:sz w:val="24"/>
                <w:szCs w:val="24"/>
              </w:rPr>
            </w:pPr>
            <w:r>
              <w:rPr>
                <w:rFonts w:hint="eastAsia" w:ascii="仿宋" w:hAnsi="仿宋" w:eastAsia="仿宋" w:cs="仿宋"/>
                <w:bCs/>
                <w:sz w:val="24"/>
                <w:szCs w:val="24"/>
              </w:rPr>
              <w:t>2.2.4</w:t>
            </w:r>
          </w:p>
          <w:p w14:paraId="61BFE271">
            <w:pPr>
              <w:adjustRightInd w:val="0"/>
              <w:snapToGrid w:val="0"/>
              <w:jc w:val="center"/>
              <w:rPr>
                <w:rFonts w:ascii="仿宋" w:hAnsi="仿宋" w:eastAsia="仿宋" w:cs="仿宋"/>
                <w:bCs/>
                <w:sz w:val="24"/>
                <w:szCs w:val="24"/>
              </w:rPr>
            </w:pPr>
            <w:r>
              <w:rPr>
                <w:rFonts w:hint="eastAsia" w:ascii="仿宋" w:hAnsi="仿宋" w:eastAsia="仿宋" w:cs="仿宋"/>
                <w:bCs/>
                <w:sz w:val="24"/>
                <w:szCs w:val="24"/>
              </w:rPr>
              <w:t>(</w:t>
            </w:r>
            <w:r>
              <w:rPr>
                <w:rFonts w:hint="eastAsia" w:ascii="仿宋" w:hAnsi="仿宋" w:eastAsia="仿宋" w:cs="仿宋"/>
                <w:bCs/>
                <w:sz w:val="24"/>
                <w:szCs w:val="24"/>
                <w:lang w:val="en-US" w:eastAsia="zh-CN"/>
              </w:rPr>
              <w:t>2</w:t>
            </w:r>
            <w:r>
              <w:rPr>
                <w:rFonts w:hint="eastAsia" w:ascii="仿宋" w:hAnsi="仿宋" w:eastAsia="仿宋" w:cs="仿宋"/>
                <w:bCs/>
                <w:sz w:val="24"/>
                <w:szCs w:val="24"/>
              </w:rPr>
              <w:t>)</w:t>
            </w:r>
          </w:p>
          <w:p w14:paraId="195EF4F3">
            <w:pPr>
              <w:pStyle w:val="12"/>
              <w:ind w:left="840" w:hanging="420"/>
            </w:pPr>
          </w:p>
        </w:tc>
        <w:tc>
          <w:tcPr>
            <w:tcW w:w="1052" w:type="dxa"/>
            <w:gridSpan w:val="2"/>
            <w:vMerge w:val="restart"/>
            <w:vAlign w:val="center"/>
          </w:tcPr>
          <w:p w14:paraId="6AE7D755">
            <w:pPr>
              <w:adjustRightInd w:val="0"/>
              <w:snapToGrid w:val="0"/>
              <w:jc w:val="center"/>
              <w:rPr>
                <w:rFonts w:ascii="仿宋" w:hAnsi="仿宋" w:eastAsia="仿宋" w:cs="仿宋"/>
                <w:bCs/>
                <w:sz w:val="24"/>
                <w:szCs w:val="24"/>
              </w:rPr>
            </w:pPr>
            <w:r>
              <w:rPr>
                <w:rFonts w:hint="eastAsia" w:ascii="仿宋" w:hAnsi="仿宋" w:eastAsia="仿宋" w:cs="仿宋"/>
                <w:bCs/>
                <w:sz w:val="24"/>
                <w:szCs w:val="24"/>
              </w:rPr>
              <w:t>技术部分评分标准</w:t>
            </w:r>
          </w:p>
          <w:p w14:paraId="5B3CB58A">
            <w:pPr>
              <w:adjustRightInd w:val="0"/>
              <w:snapToGrid w:val="0"/>
              <w:jc w:val="center"/>
              <w:rPr>
                <w:rFonts w:ascii="仿宋" w:hAnsi="仿宋" w:eastAsia="仿宋" w:cs="仿宋"/>
                <w:bCs/>
                <w:sz w:val="24"/>
                <w:szCs w:val="24"/>
              </w:rPr>
            </w:pPr>
            <w:r>
              <w:rPr>
                <w:rFonts w:hint="eastAsia" w:ascii="仿宋" w:hAnsi="仿宋" w:eastAsia="仿宋" w:cs="仿宋"/>
                <w:bCs/>
                <w:sz w:val="24"/>
                <w:szCs w:val="24"/>
              </w:rPr>
              <w:t>（7</w:t>
            </w:r>
            <w:r>
              <w:rPr>
                <w:rFonts w:hint="eastAsia" w:ascii="仿宋" w:hAnsi="仿宋" w:eastAsia="仿宋" w:cs="仿宋"/>
                <w:bCs/>
                <w:sz w:val="24"/>
                <w:szCs w:val="24"/>
                <w:lang w:val="en-US" w:eastAsia="zh-CN"/>
              </w:rPr>
              <w:t>5</w:t>
            </w:r>
            <w:r>
              <w:rPr>
                <w:rFonts w:hint="eastAsia" w:ascii="仿宋" w:hAnsi="仿宋" w:eastAsia="仿宋" w:cs="仿宋"/>
                <w:bCs/>
                <w:sz w:val="24"/>
                <w:szCs w:val="24"/>
              </w:rPr>
              <w:t>分）</w:t>
            </w:r>
          </w:p>
        </w:tc>
        <w:tc>
          <w:tcPr>
            <w:tcW w:w="1303" w:type="dxa"/>
            <w:shd w:val="clear" w:color="auto" w:fill="auto"/>
            <w:vAlign w:val="center"/>
          </w:tcPr>
          <w:p w14:paraId="7005C681">
            <w:pPr>
              <w:spacing w:line="360" w:lineRule="auto"/>
              <w:jc w:val="center"/>
              <w:rPr>
                <w:rFonts w:hint="eastAsia" w:ascii="仿宋" w:hAnsi="仿宋" w:eastAsia="仿宋" w:cs="仿宋"/>
                <w:sz w:val="24"/>
              </w:rPr>
            </w:pPr>
            <w:r>
              <w:rPr>
                <w:rFonts w:hint="eastAsia" w:ascii="仿宋" w:hAnsi="仿宋" w:eastAsia="仿宋" w:cs="仿宋"/>
                <w:color w:val="000000"/>
                <w:sz w:val="22"/>
                <w:szCs w:val="22"/>
              </w:rPr>
              <w:t>服务方案（1</w:t>
            </w:r>
            <w:r>
              <w:rPr>
                <w:rFonts w:hint="eastAsia" w:ascii="仿宋" w:hAnsi="仿宋" w:eastAsia="仿宋" w:cs="仿宋"/>
                <w:color w:val="000000"/>
                <w:sz w:val="22"/>
                <w:szCs w:val="22"/>
                <w:lang w:val="en-US" w:eastAsia="zh-CN"/>
              </w:rPr>
              <w:t>5</w:t>
            </w:r>
            <w:r>
              <w:rPr>
                <w:rFonts w:hint="eastAsia" w:ascii="仿宋" w:hAnsi="仿宋" w:eastAsia="仿宋" w:cs="仿宋"/>
                <w:color w:val="000000"/>
                <w:sz w:val="22"/>
                <w:szCs w:val="22"/>
              </w:rPr>
              <w:t>分）</w:t>
            </w:r>
          </w:p>
        </w:tc>
        <w:tc>
          <w:tcPr>
            <w:tcW w:w="6662" w:type="dxa"/>
            <w:shd w:val="clear" w:color="auto" w:fill="auto"/>
            <w:vAlign w:val="center"/>
          </w:tcPr>
          <w:p w14:paraId="26936F12">
            <w:pPr>
              <w:spacing w:after="50" w:line="360" w:lineRule="auto"/>
              <w:ind w:right="-10" w:rightChars="0"/>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w:t>
            </w:r>
            <w:r>
              <w:rPr>
                <w:rFonts w:hint="eastAsia" w:ascii="仿宋" w:hAnsi="仿宋" w:eastAsia="仿宋" w:cs="仿宋"/>
                <w:color w:val="000000"/>
                <w:sz w:val="22"/>
                <w:szCs w:val="22"/>
                <w:lang w:val="en-US" w:eastAsia="zh-CN"/>
              </w:rPr>
              <w:t>背景认识、现状分析、服务方案</w:t>
            </w:r>
            <w:r>
              <w:rPr>
                <w:rFonts w:hint="eastAsia" w:ascii="仿宋" w:hAnsi="仿宋" w:eastAsia="仿宋" w:cs="仿宋"/>
                <w:color w:val="000000"/>
                <w:sz w:val="22"/>
                <w:szCs w:val="22"/>
                <w:lang w:eastAsia="zh-CN"/>
              </w:rPr>
              <w:t>：</w:t>
            </w:r>
          </w:p>
          <w:p w14:paraId="0854FB8F">
            <w:pPr>
              <w:spacing w:after="50" w:line="360" w:lineRule="auto"/>
              <w:ind w:right="-10" w:rightChars="0"/>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1.</w:t>
            </w:r>
            <w:r>
              <w:rPr>
                <w:rFonts w:hint="eastAsia" w:ascii="仿宋" w:hAnsi="仿宋" w:eastAsia="仿宋" w:cs="仿宋"/>
                <w:color w:val="000000"/>
                <w:sz w:val="22"/>
                <w:szCs w:val="22"/>
              </w:rPr>
              <w:t>供应商对本项目城市更新工作背景、区域现状、政策导向认知深刻、精准全面</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对更新政策分析透彻、逻辑严谨、贴合本地实际；整体服务方案体系完整、思路清晰、科学合理，针对性强，得</w:t>
            </w:r>
            <w:r>
              <w:rPr>
                <w:rFonts w:hint="eastAsia" w:ascii="仿宋" w:hAnsi="仿宋" w:eastAsia="仿宋" w:cs="仿宋"/>
                <w:color w:val="000000"/>
                <w:sz w:val="22"/>
                <w:szCs w:val="22"/>
                <w:lang w:val="en-US" w:eastAsia="zh-CN"/>
              </w:rPr>
              <w:t>15</w:t>
            </w:r>
            <w:r>
              <w:rPr>
                <w:rFonts w:hint="eastAsia" w:ascii="仿宋" w:hAnsi="仿宋" w:eastAsia="仿宋" w:cs="仿宋"/>
                <w:color w:val="000000"/>
                <w:sz w:val="22"/>
                <w:szCs w:val="22"/>
              </w:rPr>
              <w:t>分；</w:t>
            </w:r>
          </w:p>
          <w:p w14:paraId="25A9ED7B">
            <w:pPr>
              <w:spacing w:after="50" w:line="360" w:lineRule="auto"/>
              <w:ind w:right="-10" w:rightChars="0"/>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w:t>
            </w:r>
            <w:r>
              <w:rPr>
                <w:rFonts w:hint="eastAsia" w:ascii="仿宋" w:hAnsi="仿宋" w:eastAsia="仿宋" w:cs="仿宋"/>
                <w:color w:val="000000"/>
                <w:sz w:val="22"/>
                <w:szCs w:val="22"/>
              </w:rPr>
              <w:t>供应商对本项目背景、现状情况认知较为全面、准确；现状分析基本贴合区域城市更新工作实际；服务方案整体</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完整，工作思路、实施流程、服务举措科学合规，针对性、可行性较强</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lang w:val="en-US" w:eastAsia="zh-CN"/>
              </w:rPr>
              <w:t>得11分；</w:t>
            </w:r>
          </w:p>
          <w:p w14:paraId="1D302275">
            <w:pPr>
              <w:spacing w:after="50" w:line="360" w:lineRule="auto"/>
              <w:ind w:right="-10" w:rightChars="0"/>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供应商对项目背景及现状有基本认知，现状分析内容完整但深度一般；服务方案基本科学合理，</w:t>
            </w:r>
            <w:r>
              <w:rPr>
                <w:rFonts w:hint="eastAsia" w:ascii="仿宋" w:hAnsi="仿宋" w:eastAsia="仿宋" w:cs="仿宋"/>
                <w:color w:val="000000"/>
                <w:sz w:val="22"/>
                <w:szCs w:val="22"/>
                <w:lang w:val="en-US" w:eastAsia="zh-CN"/>
              </w:rPr>
              <w:t>但</w:t>
            </w:r>
            <w:r>
              <w:rPr>
                <w:rFonts w:hint="eastAsia" w:ascii="仿宋" w:hAnsi="仿宋" w:eastAsia="仿宋" w:cs="仿宋"/>
                <w:color w:val="000000"/>
                <w:sz w:val="22"/>
                <w:szCs w:val="22"/>
              </w:rPr>
              <w:t>针对性、实操性一般，</w:t>
            </w:r>
            <w:r>
              <w:rPr>
                <w:rFonts w:hint="eastAsia" w:ascii="仿宋" w:hAnsi="仿宋" w:eastAsia="仿宋" w:cs="仿宋"/>
                <w:color w:val="000000"/>
                <w:sz w:val="22"/>
                <w:szCs w:val="22"/>
                <w:lang w:val="en-US" w:eastAsia="zh-CN"/>
              </w:rPr>
              <w:t>得7分；</w:t>
            </w:r>
          </w:p>
          <w:p w14:paraId="5CD570C0">
            <w:pPr>
              <w:spacing w:after="50" w:line="360" w:lineRule="auto"/>
              <w:ind w:right="-10" w:rightChars="0"/>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供应商对项目背景、区域现状认知浅显，现状分析内容简单</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服务方案内容单薄、针对性弱，可行性</w:t>
            </w:r>
            <w:r>
              <w:rPr>
                <w:rFonts w:hint="eastAsia" w:ascii="仿宋" w:hAnsi="仿宋" w:eastAsia="仿宋" w:cs="仿宋"/>
                <w:color w:val="000000"/>
                <w:sz w:val="22"/>
                <w:szCs w:val="22"/>
                <w:lang w:val="en-US" w:eastAsia="zh-CN"/>
              </w:rPr>
              <w:t>较差</w:t>
            </w:r>
            <w:r>
              <w:rPr>
                <w:rFonts w:hint="eastAsia" w:ascii="仿宋" w:hAnsi="仿宋" w:eastAsia="仿宋" w:cs="仿宋"/>
                <w:color w:val="000000"/>
                <w:sz w:val="22"/>
                <w:szCs w:val="22"/>
              </w:rPr>
              <w:t>，</w:t>
            </w:r>
            <w:r>
              <w:rPr>
                <w:rFonts w:hint="eastAsia" w:ascii="仿宋" w:hAnsi="仿宋" w:eastAsia="仿宋" w:cs="仿宋"/>
                <w:color w:val="000000"/>
                <w:sz w:val="22"/>
                <w:szCs w:val="22"/>
                <w:lang w:val="en-US" w:eastAsia="zh-CN"/>
              </w:rPr>
              <w:t>得3分；</w:t>
            </w:r>
          </w:p>
          <w:p w14:paraId="15173621">
            <w:pPr>
              <w:spacing w:after="50" w:line="360" w:lineRule="auto"/>
              <w:ind w:right="-10" w:rightChars="0"/>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w:t>
            </w:r>
            <w:r>
              <w:rPr>
                <w:rFonts w:hint="eastAsia" w:ascii="仿宋" w:hAnsi="仿宋" w:eastAsia="仿宋" w:cs="仿宋"/>
                <w:color w:val="000000"/>
                <w:sz w:val="22"/>
                <w:szCs w:val="22"/>
              </w:rPr>
              <w:t>缺项不得分。</w:t>
            </w:r>
          </w:p>
        </w:tc>
      </w:tr>
      <w:tr w14:paraId="43527CF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continue"/>
            <w:vAlign w:val="center"/>
          </w:tcPr>
          <w:p w14:paraId="28D1C81D">
            <w:pPr>
              <w:pStyle w:val="12"/>
              <w:ind w:left="840" w:hanging="420"/>
            </w:pPr>
          </w:p>
        </w:tc>
        <w:tc>
          <w:tcPr>
            <w:tcW w:w="1052" w:type="dxa"/>
            <w:gridSpan w:val="2"/>
            <w:vMerge w:val="continue"/>
            <w:vAlign w:val="center"/>
          </w:tcPr>
          <w:p w14:paraId="3BFB68D8">
            <w:pPr>
              <w:adjustRightInd w:val="0"/>
              <w:snapToGrid w:val="0"/>
              <w:jc w:val="center"/>
              <w:rPr>
                <w:rFonts w:ascii="仿宋" w:hAnsi="仿宋" w:eastAsia="仿宋" w:cs="仿宋"/>
                <w:bCs/>
                <w:sz w:val="24"/>
                <w:szCs w:val="24"/>
              </w:rPr>
            </w:pPr>
          </w:p>
        </w:tc>
        <w:tc>
          <w:tcPr>
            <w:tcW w:w="1303" w:type="dxa"/>
            <w:shd w:val="clear" w:color="auto" w:fill="auto"/>
            <w:vAlign w:val="center"/>
          </w:tcPr>
          <w:p w14:paraId="47E98809">
            <w:pPr>
              <w:spacing w:line="360" w:lineRule="auto"/>
              <w:jc w:val="center"/>
              <w:rPr>
                <w:rFonts w:hint="eastAsia" w:ascii="仿宋" w:hAnsi="仿宋" w:eastAsia="仿宋" w:cs="仿宋"/>
                <w:bCs/>
                <w:sz w:val="24"/>
                <w:szCs w:val="24"/>
              </w:rPr>
            </w:pPr>
            <w:r>
              <w:rPr>
                <w:rFonts w:hint="eastAsia" w:ascii="仿宋" w:hAnsi="仿宋" w:eastAsia="仿宋" w:cs="仿宋"/>
                <w:color w:val="000000"/>
                <w:sz w:val="22"/>
                <w:szCs w:val="22"/>
              </w:rPr>
              <w:t>工作重点、难点分析（10分）</w:t>
            </w:r>
          </w:p>
        </w:tc>
        <w:tc>
          <w:tcPr>
            <w:tcW w:w="6662" w:type="dxa"/>
            <w:shd w:val="clear" w:color="auto" w:fill="auto"/>
            <w:vAlign w:val="center"/>
          </w:tcPr>
          <w:p w14:paraId="4DE02902">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提供针对本项目工作重点、难点分析及解决措施</w:t>
            </w:r>
            <w:r>
              <w:rPr>
                <w:rFonts w:hint="eastAsia" w:ascii="仿宋" w:hAnsi="仿宋" w:eastAsia="仿宋" w:cs="仿宋"/>
                <w:color w:val="000000"/>
                <w:sz w:val="22"/>
                <w:szCs w:val="22"/>
                <w:lang w:eastAsia="zh-CN"/>
              </w:rPr>
              <w:t>：</w:t>
            </w:r>
          </w:p>
          <w:p w14:paraId="50E9715F">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1.</w:t>
            </w:r>
            <w:r>
              <w:rPr>
                <w:rFonts w:hint="eastAsia" w:ascii="仿宋" w:hAnsi="仿宋" w:eastAsia="仿宋" w:cs="仿宋"/>
                <w:color w:val="000000"/>
                <w:sz w:val="22"/>
                <w:szCs w:val="22"/>
              </w:rPr>
              <w:t>供应商深度剖析项目实施过程中存在的难点及风险问题，分析贴合项目实际、逻辑严谨、贴合区域城市更新工作现状。针对所有重难点问题配套的应对方案、解决措施科学系统、详实具体、针对性强，</w:t>
            </w:r>
            <w:r>
              <w:rPr>
                <w:rFonts w:hint="eastAsia" w:ascii="仿宋" w:hAnsi="仿宋" w:eastAsia="仿宋" w:cs="仿宋"/>
                <w:color w:val="000000"/>
                <w:sz w:val="22"/>
                <w:szCs w:val="22"/>
                <w:lang w:val="en-US" w:eastAsia="zh-CN"/>
              </w:rPr>
              <w:t>10</w:t>
            </w:r>
            <w:r>
              <w:rPr>
                <w:rFonts w:hint="eastAsia" w:ascii="仿宋" w:hAnsi="仿宋" w:eastAsia="仿宋" w:cs="仿宋"/>
                <w:color w:val="000000"/>
                <w:sz w:val="22"/>
                <w:szCs w:val="22"/>
              </w:rPr>
              <w:t>分；</w:t>
            </w:r>
          </w:p>
          <w:p w14:paraId="5B28E745">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2.</w:t>
            </w:r>
            <w:r>
              <w:rPr>
                <w:rFonts w:hint="eastAsia" w:ascii="仿宋" w:hAnsi="仿宋" w:eastAsia="仿宋" w:cs="仿宋"/>
                <w:color w:val="000000"/>
                <w:sz w:val="22"/>
                <w:szCs w:val="22"/>
              </w:rPr>
              <w:t>供应商</w:t>
            </w:r>
            <w:r>
              <w:rPr>
                <w:rFonts w:hint="eastAsia" w:ascii="仿宋" w:hAnsi="仿宋" w:eastAsia="仿宋" w:cs="仿宋"/>
                <w:color w:val="000000"/>
                <w:sz w:val="22"/>
                <w:szCs w:val="22"/>
                <w:lang w:val="en-US" w:eastAsia="zh-CN"/>
              </w:rPr>
              <w:t>能够</w:t>
            </w:r>
            <w:r>
              <w:rPr>
                <w:rFonts w:hint="eastAsia" w:ascii="仿宋" w:hAnsi="仿宋" w:eastAsia="仿宋" w:cs="仿宋"/>
                <w:color w:val="000000"/>
                <w:sz w:val="22"/>
                <w:szCs w:val="22"/>
              </w:rPr>
              <w:t>识别本项目主要工作重点，对项目核心难点问题梳理全面、分析合理，贴合本地城市更新工作实际。配套的解决措施体系完整、科学合规、思路清晰，针对性和实操性较强，得</w:t>
            </w:r>
            <w:r>
              <w:rPr>
                <w:rFonts w:hint="eastAsia" w:ascii="仿宋" w:hAnsi="仿宋" w:eastAsia="仿宋" w:cs="仿宋"/>
                <w:color w:val="000000"/>
                <w:sz w:val="22"/>
                <w:szCs w:val="22"/>
                <w:lang w:val="en-US" w:eastAsia="zh-CN"/>
              </w:rPr>
              <w:t>7</w:t>
            </w:r>
            <w:r>
              <w:rPr>
                <w:rFonts w:hint="eastAsia" w:ascii="仿宋" w:hAnsi="仿宋" w:eastAsia="仿宋" w:cs="仿宋"/>
                <w:color w:val="000000"/>
                <w:sz w:val="22"/>
                <w:szCs w:val="22"/>
              </w:rPr>
              <w:t>分；</w:t>
            </w:r>
          </w:p>
          <w:p w14:paraId="750B7EF7">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3.供应商可基本梳理出本项目的工作重点及难点，分析内容基本合理，但深度、精准度不足，部分重难点识别不够全面。配套解决措施无明显缺项，基本符合项目实施要求，但针对性、专业性一般，</w:t>
            </w:r>
            <w:r>
              <w:rPr>
                <w:rFonts w:hint="eastAsia" w:ascii="仿宋" w:hAnsi="仿宋" w:eastAsia="仿宋" w:cs="仿宋"/>
                <w:color w:val="000000"/>
                <w:sz w:val="22"/>
                <w:szCs w:val="22"/>
              </w:rPr>
              <w:t>得</w:t>
            </w: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分</w:t>
            </w:r>
            <w:r>
              <w:rPr>
                <w:rFonts w:hint="eastAsia" w:ascii="仿宋" w:hAnsi="仿宋" w:eastAsia="仿宋" w:cs="仿宋"/>
                <w:color w:val="000000"/>
                <w:sz w:val="22"/>
                <w:szCs w:val="22"/>
                <w:lang w:eastAsia="zh-CN"/>
              </w:rPr>
              <w:t>；</w:t>
            </w:r>
          </w:p>
          <w:p w14:paraId="3105B465">
            <w:pPr>
              <w:numPr>
                <w:ilvl w:val="0"/>
                <w:numId w:val="0"/>
              </w:numPr>
              <w:spacing w:line="360" w:lineRule="auto"/>
              <w:textAlignment w:val="baseline"/>
              <w:rPr>
                <w:rFonts w:hint="eastAsia" w:ascii="仿宋" w:hAnsi="仿宋" w:eastAsia="仿宋" w:cs="仿宋"/>
                <w:bCs/>
                <w:sz w:val="24"/>
                <w:szCs w:val="24"/>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缺项不得分。</w:t>
            </w:r>
          </w:p>
        </w:tc>
      </w:tr>
      <w:tr w14:paraId="19664F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continue"/>
            <w:vAlign w:val="center"/>
          </w:tcPr>
          <w:p w14:paraId="2F665877">
            <w:pPr>
              <w:pStyle w:val="12"/>
              <w:ind w:left="840" w:hanging="420"/>
            </w:pPr>
          </w:p>
        </w:tc>
        <w:tc>
          <w:tcPr>
            <w:tcW w:w="1052" w:type="dxa"/>
            <w:gridSpan w:val="2"/>
            <w:vMerge w:val="continue"/>
            <w:vAlign w:val="center"/>
          </w:tcPr>
          <w:p w14:paraId="4668E3A2">
            <w:pPr>
              <w:adjustRightInd w:val="0"/>
              <w:snapToGrid w:val="0"/>
              <w:jc w:val="center"/>
              <w:rPr>
                <w:rFonts w:ascii="仿宋" w:hAnsi="仿宋" w:eastAsia="仿宋" w:cs="仿宋"/>
                <w:bCs/>
                <w:sz w:val="24"/>
                <w:szCs w:val="24"/>
              </w:rPr>
            </w:pPr>
          </w:p>
        </w:tc>
        <w:tc>
          <w:tcPr>
            <w:tcW w:w="1303" w:type="dxa"/>
            <w:shd w:val="clear" w:color="auto" w:fill="auto"/>
            <w:vAlign w:val="center"/>
          </w:tcPr>
          <w:p w14:paraId="1D29290D">
            <w:pPr>
              <w:spacing w:line="360" w:lineRule="auto"/>
              <w:jc w:val="center"/>
              <w:rPr>
                <w:rFonts w:hint="eastAsia" w:ascii="仿宋" w:hAnsi="仿宋" w:eastAsia="仿宋" w:cs="仿宋"/>
                <w:bCs/>
                <w:sz w:val="24"/>
                <w:szCs w:val="24"/>
              </w:rPr>
            </w:pPr>
            <w:r>
              <w:rPr>
                <w:rFonts w:hint="eastAsia" w:ascii="仿宋" w:hAnsi="仿宋" w:eastAsia="仿宋" w:cs="仿宋"/>
                <w:color w:val="000000"/>
                <w:sz w:val="22"/>
                <w:szCs w:val="22"/>
              </w:rPr>
              <w:t>进度控制（10分）</w:t>
            </w:r>
          </w:p>
        </w:tc>
        <w:tc>
          <w:tcPr>
            <w:tcW w:w="6662" w:type="dxa"/>
            <w:shd w:val="clear" w:color="auto" w:fill="auto"/>
            <w:vAlign w:val="center"/>
          </w:tcPr>
          <w:p w14:paraId="464A4701">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提供针对本项目工作时间进度计划方案</w:t>
            </w:r>
            <w:r>
              <w:rPr>
                <w:rFonts w:hint="eastAsia" w:ascii="仿宋" w:hAnsi="仿宋" w:eastAsia="仿宋" w:cs="仿宋"/>
                <w:color w:val="000000"/>
                <w:sz w:val="22"/>
                <w:szCs w:val="22"/>
                <w:lang w:eastAsia="zh-CN"/>
              </w:rPr>
              <w:t>：</w:t>
            </w:r>
          </w:p>
          <w:p w14:paraId="15F4C754">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1.</w:t>
            </w:r>
            <w:r>
              <w:rPr>
                <w:rFonts w:hint="eastAsia" w:ascii="仿宋" w:hAnsi="仿宋" w:eastAsia="仿宋" w:cs="仿宋"/>
                <w:color w:val="000000"/>
                <w:sz w:val="22"/>
                <w:szCs w:val="22"/>
              </w:rPr>
              <w:t>供应商提供的方案工作节点划分精准、时序逻辑严谨、工期分配科学合理，进度保障措施全面详实、针对性强，10分；</w:t>
            </w:r>
          </w:p>
          <w:p w14:paraId="42F9BEDC">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2.</w:t>
            </w:r>
            <w:r>
              <w:rPr>
                <w:rFonts w:hint="eastAsia" w:ascii="仿宋" w:hAnsi="仿宋" w:eastAsia="仿宋" w:cs="仿宋"/>
                <w:color w:val="000000"/>
                <w:sz w:val="22"/>
                <w:szCs w:val="22"/>
              </w:rPr>
              <w:t>供应商提供的进度管控思路清晰，具备对应的进度保障举措，可行性较强，得</w:t>
            </w:r>
            <w:r>
              <w:rPr>
                <w:rFonts w:hint="eastAsia" w:ascii="仿宋" w:hAnsi="仿宋" w:eastAsia="仿宋" w:cs="仿宋"/>
                <w:color w:val="000000"/>
                <w:sz w:val="22"/>
                <w:szCs w:val="22"/>
                <w:lang w:val="en-US" w:eastAsia="zh-CN"/>
              </w:rPr>
              <w:t>7</w:t>
            </w:r>
            <w:r>
              <w:rPr>
                <w:rFonts w:hint="eastAsia" w:ascii="仿宋" w:hAnsi="仿宋" w:eastAsia="仿宋" w:cs="仿宋"/>
                <w:color w:val="000000"/>
                <w:sz w:val="22"/>
                <w:szCs w:val="22"/>
              </w:rPr>
              <w:t>分；</w:t>
            </w:r>
          </w:p>
          <w:p w14:paraId="0BEDB040">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供应商提供的</w:t>
            </w:r>
            <w:r>
              <w:rPr>
                <w:rFonts w:hint="eastAsia" w:ascii="仿宋" w:hAnsi="仿宋" w:eastAsia="仿宋" w:cs="仿宋"/>
                <w:color w:val="000000"/>
                <w:sz w:val="22"/>
                <w:szCs w:val="22"/>
                <w:lang w:val="en-US" w:eastAsia="zh-CN"/>
              </w:rPr>
              <w:t>方案</w:t>
            </w:r>
            <w:r>
              <w:rPr>
                <w:rFonts w:hint="eastAsia" w:ascii="仿宋" w:hAnsi="仿宋" w:eastAsia="仿宋" w:cs="仿宋"/>
                <w:color w:val="000000"/>
                <w:sz w:val="22"/>
                <w:szCs w:val="22"/>
              </w:rPr>
              <w:t>进度节点划分较为笼统、工期分配细化度不足，进度管控措施对性较弱，得</w:t>
            </w: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分</w:t>
            </w:r>
            <w:r>
              <w:rPr>
                <w:rFonts w:hint="eastAsia" w:ascii="仿宋" w:hAnsi="仿宋" w:eastAsia="仿宋" w:cs="仿宋"/>
                <w:color w:val="000000"/>
                <w:sz w:val="22"/>
                <w:szCs w:val="22"/>
                <w:lang w:eastAsia="zh-CN"/>
              </w:rPr>
              <w:t>；</w:t>
            </w:r>
          </w:p>
          <w:p w14:paraId="6E8C1336">
            <w:pPr>
              <w:numPr>
                <w:ilvl w:val="0"/>
                <w:numId w:val="0"/>
              </w:numPr>
              <w:spacing w:line="360" w:lineRule="auto"/>
              <w:textAlignment w:val="baseline"/>
              <w:rPr>
                <w:rFonts w:hint="eastAsia" w:ascii="仿宋" w:hAnsi="仿宋" w:eastAsia="仿宋" w:cs="仿宋"/>
                <w:bCs/>
                <w:sz w:val="24"/>
                <w:szCs w:val="24"/>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缺项不得分。</w:t>
            </w:r>
          </w:p>
        </w:tc>
      </w:tr>
      <w:tr w14:paraId="7AD317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continue"/>
            <w:vAlign w:val="center"/>
          </w:tcPr>
          <w:p w14:paraId="2486A014">
            <w:pPr>
              <w:pStyle w:val="12"/>
              <w:ind w:left="840" w:hanging="420"/>
            </w:pPr>
          </w:p>
        </w:tc>
        <w:tc>
          <w:tcPr>
            <w:tcW w:w="1052" w:type="dxa"/>
            <w:gridSpan w:val="2"/>
            <w:vMerge w:val="continue"/>
            <w:vAlign w:val="center"/>
          </w:tcPr>
          <w:p w14:paraId="123E078C">
            <w:pPr>
              <w:adjustRightInd w:val="0"/>
              <w:snapToGrid w:val="0"/>
              <w:jc w:val="center"/>
              <w:rPr>
                <w:rFonts w:ascii="仿宋" w:hAnsi="仿宋" w:eastAsia="仿宋" w:cs="仿宋"/>
                <w:bCs/>
                <w:sz w:val="24"/>
                <w:szCs w:val="24"/>
              </w:rPr>
            </w:pPr>
          </w:p>
        </w:tc>
        <w:tc>
          <w:tcPr>
            <w:tcW w:w="1303" w:type="dxa"/>
            <w:shd w:val="clear" w:color="auto" w:fill="auto"/>
            <w:vAlign w:val="center"/>
          </w:tcPr>
          <w:p w14:paraId="56C413A2">
            <w:pPr>
              <w:spacing w:line="360" w:lineRule="auto"/>
              <w:jc w:val="center"/>
              <w:rPr>
                <w:rFonts w:hint="eastAsia" w:ascii="仿宋" w:hAnsi="仿宋" w:eastAsia="仿宋" w:cs="仿宋"/>
                <w:bCs/>
                <w:kern w:val="2"/>
                <w:sz w:val="24"/>
                <w:szCs w:val="24"/>
                <w:lang w:val="en-US" w:eastAsia="zh-CN" w:bidi="ar-SA"/>
              </w:rPr>
            </w:pPr>
            <w:r>
              <w:rPr>
                <w:rFonts w:hint="eastAsia" w:ascii="仿宋" w:hAnsi="仿宋" w:eastAsia="仿宋" w:cs="仿宋"/>
                <w:color w:val="000000"/>
                <w:sz w:val="22"/>
                <w:szCs w:val="22"/>
              </w:rPr>
              <w:t>组建、整合服务团队方案（10分）</w:t>
            </w:r>
          </w:p>
        </w:tc>
        <w:tc>
          <w:tcPr>
            <w:tcW w:w="6662" w:type="dxa"/>
            <w:shd w:val="clear" w:color="auto" w:fill="auto"/>
            <w:vAlign w:val="center"/>
          </w:tcPr>
          <w:p w14:paraId="375CA26C">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提供针对本项目组建、整合服务团队方案</w:t>
            </w:r>
            <w:r>
              <w:rPr>
                <w:rFonts w:hint="eastAsia" w:ascii="仿宋" w:hAnsi="仿宋" w:eastAsia="仿宋" w:cs="仿宋"/>
                <w:color w:val="000000"/>
                <w:sz w:val="22"/>
                <w:szCs w:val="22"/>
                <w:lang w:eastAsia="zh-CN"/>
              </w:rPr>
              <w:t>：</w:t>
            </w:r>
          </w:p>
          <w:p w14:paraId="33C92A2B">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1.</w:t>
            </w:r>
            <w:r>
              <w:rPr>
                <w:rFonts w:hint="eastAsia" w:ascii="仿宋" w:hAnsi="仿宋" w:eastAsia="仿宋" w:cs="仿宋"/>
                <w:color w:val="000000"/>
                <w:sz w:val="22"/>
                <w:szCs w:val="22"/>
              </w:rPr>
              <w:t>团队架构层级清晰、岗位设置全面，同时具备完善的人员管理措施，团队整合协同性强，方案切实可行、针对性</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lang w:val="en-US" w:eastAsia="zh-CN"/>
              </w:rPr>
              <w:t>得1</w:t>
            </w:r>
            <w:r>
              <w:rPr>
                <w:rFonts w:hint="eastAsia" w:ascii="仿宋" w:hAnsi="仿宋" w:eastAsia="仿宋" w:cs="仿宋"/>
                <w:color w:val="000000"/>
                <w:sz w:val="22"/>
                <w:szCs w:val="22"/>
              </w:rPr>
              <w:t>0分；</w:t>
            </w:r>
          </w:p>
          <w:p w14:paraId="4D826FC3">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2.</w:t>
            </w:r>
            <w:r>
              <w:rPr>
                <w:rFonts w:hint="eastAsia" w:ascii="仿宋" w:hAnsi="仿宋" w:eastAsia="仿宋" w:cs="仿宋"/>
                <w:color w:val="000000"/>
                <w:sz w:val="22"/>
                <w:szCs w:val="22"/>
              </w:rPr>
              <w:t>团队架构层级</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清晰、岗位设置</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全面，具备</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完善的人员管理措施，团队整合协同性</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强，方案可行性、针对性</w:t>
            </w:r>
            <w:r>
              <w:rPr>
                <w:rFonts w:hint="eastAsia" w:ascii="仿宋" w:hAnsi="仿宋" w:eastAsia="仿宋" w:cs="仿宋"/>
                <w:color w:val="000000"/>
                <w:sz w:val="22"/>
                <w:szCs w:val="22"/>
                <w:lang w:val="en-US" w:eastAsia="zh-CN"/>
              </w:rPr>
              <w:t>较强</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lang w:val="en-US" w:eastAsia="zh-CN"/>
              </w:rPr>
              <w:t>得7</w:t>
            </w:r>
            <w:r>
              <w:rPr>
                <w:rFonts w:hint="eastAsia" w:ascii="仿宋" w:hAnsi="仿宋" w:eastAsia="仿宋" w:cs="仿宋"/>
                <w:color w:val="000000"/>
                <w:sz w:val="22"/>
                <w:szCs w:val="22"/>
              </w:rPr>
              <w:t>分；</w:t>
            </w:r>
          </w:p>
          <w:p w14:paraId="78EBBAAB">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3.具备基础的团队架构，</w:t>
            </w:r>
            <w:r>
              <w:rPr>
                <w:rFonts w:hint="eastAsia" w:ascii="仿宋" w:hAnsi="仿宋" w:eastAsia="仿宋" w:cs="仿宋"/>
                <w:color w:val="000000"/>
                <w:sz w:val="22"/>
                <w:szCs w:val="22"/>
              </w:rPr>
              <w:t>人员管理措施</w:t>
            </w:r>
            <w:r>
              <w:rPr>
                <w:rFonts w:hint="eastAsia" w:ascii="仿宋" w:hAnsi="仿宋" w:eastAsia="仿宋" w:cs="仿宋"/>
                <w:color w:val="000000"/>
                <w:sz w:val="22"/>
                <w:szCs w:val="22"/>
                <w:lang w:val="en-US" w:eastAsia="zh-CN"/>
              </w:rPr>
              <w:t>方案较为笼统，针对性较弱，</w:t>
            </w:r>
            <w:r>
              <w:rPr>
                <w:rFonts w:hint="eastAsia" w:ascii="仿宋" w:hAnsi="仿宋" w:eastAsia="仿宋" w:cs="仿宋"/>
                <w:color w:val="000000"/>
                <w:sz w:val="22"/>
                <w:szCs w:val="22"/>
              </w:rPr>
              <w:t>得3分</w:t>
            </w:r>
            <w:r>
              <w:rPr>
                <w:rFonts w:hint="eastAsia" w:ascii="仿宋" w:hAnsi="仿宋" w:eastAsia="仿宋" w:cs="仿宋"/>
                <w:color w:val="000000"/>
                <w:sz w:val="22"/>
                <w:szCs w:val="22"/>
                <w:lang w:eastAsia="zh-CN"/>
              </w:rPr>
              <w:t>；</w:t>
            </w:r>
          </w:p>
          <w:p w14:paraId="02745371">
            <w:pPr>
              <w:numPr>
                <w:ilvl w:val="0"/>
                <w:numId w:val="0"/>
              </w:numPr>
              <w:spacing w:line="360" w:lineRule="auto"/>
              <w:textAlignment w:val="baseline"/>
              <w:rPr>
                <w:rFonts w:hint="eastAsia" w:ascii="仿宋" w:hAnsi="仿宋" w:eastAsia="仿宋" w:cs="仿宋"/>
                <w:bCs/>
                <w:kern w:val="2"/>
                <w:sz w:val="24"/>
                <w:szCs w:val="24"/>
                <w:lang w:val="en-US" w:eastAsia="zh-CN" w:bidi="ar-SA"/>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缺项不得分。</w:t>
            </w:r>
          </w:p>
        </w:tc>
      </w:tr>
      <w:tr w14:paraId="5A460D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continue"/>
            <w:vAlign w:val="center"/>
          </w:tcPr>
          <w:p w14:paraId="4751C623">
            <w:pPr>
              <w:pStyle w:val="12"/>
              <w:ind w:left="840" w:hanging="420"/>
            </w:pPr>
          </w:p>
        </w:tc>
        <w:tc>
          <w:tcPr>
            <w:tcW w:w="1052" w:type="dxa"/>
            <w:gridSpan w:val="2"/>
            <w:vMerge w:val="continue"/>
            <w:vAlign w:val="center"/>
          </w:tcPr>
          <w:p w14:paraId="4973EE8B">
            <w:pPr>
              <w:adjustRightInd w:val="0"/>
              <w:snapToGrid w:val="0"/>
              <w:jc w:val="center"/>
              <w:rPr>
                <w:rFonts w:ascii="仿宋" w:hAnsi="仿宋" w:eastAsia="仿宋" w:cs="仿宋"/>
                <w:bCs/>
                <w:sz w:val="24"/>
                <w:szCs w:val="24"/>
              </w:rPr>
            </w:pPr>
          </w:p>
        </w:tc>
        <w:tc>
          <w:tcPr>
            <w:tcW w:w="1303" w:type="dxa"/>
            <w:shd w:val="clear" w:color="auto" w:fill="auto"/>
            <w:vAlign w:val="center"/>
          </w:tcPr>
          <w:p w14:paraId="1D7A164C">
            <w:p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rPr>
              <w:t>文档资料保管方案（10分）</w:t>
            </w:r>
          </w:p>
          <w:p w14:paraId="29E4D3B5">
            <w:pPr>
              <w:spacing w:before="97" w:line="289" w:lineRule="auto"/>
              <w:ind w:right="23" w:rightChars="0"/>
              <w:jc w:val="center"/>
              <w:rPr>
                <w:rFonts w:hint="eastAsia" w:ascii="仿宋" w:hAnsi="仿宋" w:eastAsia="仿宋" w:cs="仿宋"/>
                <w:bCs/>
                <w:kern w:val="2"/>
                <w:sz w:val="24"/>
                <w:szCs w:val="24"/>
                <w:lang w:val="en-US" w:eastAsia="zh-CN" w:bidi="ar-SA"/>
              </w:rPr>
            </w:pPr>
          </w:p>
        </w:tc>
        <w:tc>
          <w:tcPr>
            <w:tcW w:w="6662" w:type="dxa"/>
            <w:shd w:val="clear" w:color="auto" w:fill="auto"/>
            <w:vAlign w:val="top"/>
          </w:tcPr>
          <w:p w14:paraId="3145BBC6">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提供针对本项目文档资料保管方案</w:t>
            </w:r>
            <w:r>
              <w:rPr>
                <w:rFonts w:hint="eastAsia" w:ascii="仿宋" w:hAnsi="仿宋" w:eastAsia="仿宋" w:cs="仿宋"/>
                <w:color w:val="000000"/>
                <w:sz w:val="22"/>
                <w:szCs w:val="22"/>
                <w:lang w:eastAsia="zh-CN"/>
              </w:rPr>
              <w:t>：</w:t>
            </w:r>
          </w:p>
          <w:p w14:paraId="49244273">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1.</w:t>
            </w:r>
            <w:r>
              <w:rPr>
                <w:rFonts w:hint="eastAsia" w:ascii="仿宋" w:hAnsi="仿宋" w:eastAsia="仿宋" w:cs="仿宋"/>
                <w:color w:val="000000"/>
                <w:sz w:val="22"/>
                <w:szCs w:val="22"/>
              </w:rPr>
              <w:t>供应商制定全面、细化、专业化的文档资料保管方案。</w:t>
            </w:r>
            <w:r>
              <w:rPr>
                <w:rFonts w:hint="eastAsia" w:ascii="仿宋" w:hAnsi="仿宋" w:eastAsia="仿宋" w:cs="仿宋"/>
                <w:color w:val="000000"/>
                <w:sz w:val="22"/>
                <w:szCs w:val="22"/>
                <w:lang w:val="en-US" w:eastAsia="zh-CN"/>
              </w:rPr>
              <w:t>保管</w:t>
            </w:r>
            <w:r>
              <w:rPr>
                <w:rFonts w:hint="eastAsia" w:ascii="仿宋" w:hAnsi="仿宋" w:eastAsia="仿宋" w:cs="仿宋"/>
                <w:color w:val="000000"/>
                <w:sz w:val="22"/>
                <w:szCs w:val="22"/>
              </w:rPr>
              <w:t>全流程管控措施完善、针对性强</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lang w:val="en-US" w:eastAsia="zh-CN"/>
              </w:rPr>
              <w:t>得10分；</w:t>
            </w:r>
          </w:p>
          <w:p w14:paraId="21932799">
            <w:pPr>
              <w:numPr>
                <w:ilvl w:val="0"/>
                <w:numId w:val="0"/>
              </w:numPr>
              <w:spacing w:line="360" w:lineRule="auto"/>
              <w:textAlignment w:val="baseline"/>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2.</w:t>
            </w:r>
            <w:r>
              <w:rPr>
                <w:rFonts w:hint="eastAsia" w:ascii="仿宋" w:hAnsi="仿宋" w:eastAsia="仿宋" w:cs="仿宋"/>
                <w:color w:val="000000"/>
                <w:sz w:val="22"/>
                <w:szCs w:val="22"/>
              </w:rPr>
              <w:t>供应商提供的文档资料保管方案体系</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完整，管控流程</w:t>
            </w:r>
            <w:r>
              <w:rPr>
                <w:rFonts w:hint="eastAsia" w:ascii="仿宋" w:hAnsi="仿宋" w:eastAsia="仿宋" w:cs="仿宋"/>
                <w:color w:val="000000"/>
                <w:sz w:val="22"/>
                <w:szCs w:val="22"/>
                <w:lang w:val="en-US" w:eastAsia="zh-CN"/>
              </w:rPr>
              <w:t>较</w:t>
            </w:r>
            <w:r>
              <w:rPr>
                <w:rFonts w:hint="eastAsia" w:ascii="仿宋" w:hAnsi="仿宋" w:eastAsia="仿宋" w:cs="仿宋"/>
                <w:color w:val="000000"/>
                <w:sz w:val="22"/>
                <w:szCs w:val="22"/>
              </w:rPr>
              <w:t>科学合规</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可行性较强，得</w:t>
            </w:r>
            <w:r>
              <w:rPr>
                <w:rFonts w:hint="eastAsia" w:ascii="仿宋" w:hAnsi="仿宋" w:eastAsia="仿宋" w:cs="仿宋"/>
                <w:color w:val="000000"/>
                <w:sz w:val="22"/>
                <w:szCs w:val="22"/>
                <w:lang w:val="en-US" w:eastAsia="zh-CN"/>
              </w:rPr>
              <w:t>7</w:t>
            </w:r>
            <w:r>
              <w:rPr>
                <w:rFonts w:hint="eastAsia" w:ascii="仿宋" w:hAnsi="仿宋" w:eastAsia="仿宋" w:cs="仿宋"/>
                <w:color w:val="000000"/>
                <w:sz w:val="22"/>
                <w:szCs w:val="22"/>
              </w:rPr>
              <w:t>分；</w:t>
            </w:r>
          </w:p>
          <w:p w14:paraId="040A12D0">
            <w:pPr>
              <w:numPr>
                <w:ilvl w:val="0"/>
                <w:numId w:val="0"/>
              </w:numPr>
              <w:spacing w:line="360" w:lineRule="auto"/>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供应商具备基础的资料整理、归档、保管相关内容，方案内容较为笼统，资料分类不够细化</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得3分</w:t>
            </w:r>
            <w:r>
              <w:rPr>
                <w:rFonts w:hint="eastAsia" w:ascii="仿宋" w:hAnsi="仿宋" w:eastAsia="仿宋" w:cs="仿宋"/>
                <w:color w:val="000000"/>
                <w:sz w:val="22"/>
                <w:szCs w:val="22"/>
                <w:lang w:eastAsia="zh-CN"/>
              </w:rPr>
              <w:t>；</w:t>
            </w:r>
          </w:p>
          <w:p w14:paraId="661C2138">
            <w:pPr>
              <w:numPr>
                <w:ilvl w:val="0"/>
                <w:numId w:val="0"/>
              </w:numPr>
              <w:spacing w:line="360" w:lineRule="auto"/>
              <w:textAlignment w:val="baseline"/>
              <w:rPr>
                <w:rFonts w:hint="eastAsia" w:ascii="仿宋" w:hAnsi="仿宋" w:eastAsia="仿宋" w:cs="仿宋"/>
                <w:kern w:val="2"/>
                <w:sz w:val="21"/>
                <w:lang w:val="en-US" w:eastAsia="zh-CN" w:bidi="ar-SA"/>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缺项不得分。</w:t>
            </w:r>
          </w:p>
        </w:tc>
      </w:tr>
      <w:tr w14:paraId="7E9B3B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continue"/>
            <w:vAlign w:val="center"/>
          </w:tcPr>
          <w:p w14:paraId="00EC9F7B">
            <w:pPr>
              <w:pStyle w:val="12"/>
              <w:ind w:left="840" w:hanging="420"/>
            </w:pPr>
          </w:p>
        </w:tc>
        <w:tc>
          <w:tcPr>
            <w:tcW w:w="1052" w:type="dxa"/>
            <w:gridSpan w:val="2"/>
            <w:vMerge w:val="continue"/>
            <w:vAlign w:val="center"/>
          </w:tcPr>
          <w:p w14:paraId="5DFDFEF6">
            <w:pPr>
              <w:adjustRightInd w:val="0"/>
              <w:snapToGrid w:val="0"/>
              <w:jc w:val="center"/>
              <w:rPr>
                <w:rFonts w:ascii="仿宋" w:hAnsi="仿宋" w:eastAsia="仿宋" w:cs="仿宋"/>
                <w:bCs/>
                <w:sz w:val="24"/>
                <w:szCs w:val="24"/>
              </w:rPr>
            </w:pPr>
          </w:p>
        </w:tc>
        <w:tc>
          <w:tcPr>
            <w:tcW w:w="1303" w:type="dxa"/>
            <w:shd w:val="clear" w:color="auto" w:fill="auto"/>
            <w:vAlign w:val="center"/>
          </w:tcPr>
          <w:p w14:paraId="15B7057B">
            <w:pPr>
              <w:spacing w:line="360" w:lineRule="auto"/>
              <w:jc w:val="center"/>
              <w:rPr>
                <w:rFonts w:hint="eastAsia" w:ascii="仿宋" w:hAnsi="仿宋" w:eastAsia="仿宋" w:cs="仿宋"/>
                <w:bCs/>
                <w:kern w:val="2"/>
                <w:sz w:val="24"/>
                <w:szCs w:val="24"/>
                <w:lang w:val="en-US" w:eastAsia="zh-CN" w:bidi="ar-SA"/>
              </w:rPr>
            </w:pPr>
            <w:r>
              <w:rPr>
                <w:rFonts w:hint="eastAsia" w:ascii="仿宋" w:hAnsi="仿宋" w:eastAsia="仿宋" w:cs="仿宋"/>
                <w:color w:val="000000"/>
                <w:sz w:val="22"/>
                <w:szCs w:val="22"/>
              </w:rPr>
              <w:t>服务质量控制措施（10分）</w:t>
            </w:r>
          </w:p>
        </w:tc>
        <w:tc>
          <w:tcPr>
            <w:tcW w:w="6662" w:type="dxa"/>
            <w:shd w:val="clear" w:color="auto" w:fill="auto"/>
            <w:vAlign w:val="top"/>
          </w:tcPr>
          <w:p w14:paraId="78A8B1B2">
            <w:pPr>
              <w:spacing w:line="360" w:lineRule="auto"/>
              <w:jc w:val="left"/>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提供针对本项目服务质量控制措施</w:t>
            </w:r>
            <w:r>
              <w:rPr>
                <w:rFonts w:hint="eastAsia" w:ascii="仿宋" w:hAnsi="仿宋" w:eastAsia="仿宋" w:cs="仿宋"/>
                <w:color w:val="000000"/>
                <w:sz w:val="22"/>
                <w:szCs w:val="22"/>
                <w:lang w:eastAsia="zh-CN"/>
              </w:rPr>
              <w:t>：</w:t>
            </w:r>
          </w:p>
          <w:p w14:paraId="2F1AF5A3">
            <w:pPr>
              <w:numPr>
                <w:ilvl w:val="0"/>
                <w:numId w:val="0"/>
              </w:numPr>
              <w:spacing w:line="360" w:lineRule="auto"/>
              <w:jc w:val="left"/>
              <w:textAlignment w:val="baseline"/>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1.供应商具有完善的质量控制体系。质量管控责任分工明确、管控节点全覆盖，针对性、专业性极强，能够保障项目服务质量，得10分；</w:t>
            </w:r>
          </w:p>
          <w:p w14:paraId="6739331C">
            <w:pPr>
              <w:numPr>
                <w:ilvl w:val="0"/>
                <w:numId w:val="0"/>
              </w:numPr>
              <w:spacing w:line="360" w:lineRule="auto"/>
              <w:jc w:val="left"/>
              <w:textAlignment w:val="baseline"/>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2.供应商具有较完善的质量控制体系。质量管控责任分工较明确、管控节点基本覆盖，针对性、专业性较强，能够基本保障项目服务质量，得7分；</w:t>
            </w:r>
          </w:p>
          <w:p w14:paraId="3713A351">
            <w:pPr>
              <w:numPr>
                <w:ilvl w:val="0"/>
                <w:numId w:val="0"/>
              </w:numPr>
              <w:spacing w:line="360" w:lineRule="auto"/>
              <w:jc w:val="left"/>
              <w:textAlignment w:val="baseline"/>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供应商提供的</w:t>
            </w:r>
            <w:r>
              <w:rPr>
                <w:rFonts w:hint="eastAsia" w:ascii="仿宋" w:hAnsi="仿宋" w:eastAsia="仿宋" w:cs="仿宋"/>
                <w:color w:val="000000"/>
                <w:sz w:val="22"/>
                <w:szCs w:val="22"/>
                <w:lang w:val="en-US" w:eastAsia="zh-CN"/>
              </w:rPr>
              <w:t>措施</w:t>
            </w:r>
            <w:r>
              <w:rPr>
                <w:rFonts w:hint="eastAsia" w:ascii="仿宋" w:hAnsi="仿宋" w:eastAsia="仿宋" w:cs="仿宋"/>
                <w:color w:val="000000"/>
                <w:sz w:val="22"/>
                <w:szCs w:val="22"/>
              </w:rPr>
              <w:t>基本符合项目服务质量基本要求</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方案内容较为笼统，得3分</w:t>
            </w:r>
            <w:r>
              <w:rPr>
                <w:rFonts w:hint="eastAsia" w:ascii="仿宋" w:hAnsi="仿宋" w:eastAsia="仿宋" w:cs="仿宋"/>
                <w:color w:val="000000"/>
                <w:sz w:val="22"/>
                <w:szCs w:val="22"/>
                <w:lang w:eastAsia="zh-CN"/>
              </w:rPr>
              <w:t>；</w:t>
            </w:r>
          </w:p>
          <w:p w14:paraId="1F8C69BB">
            <w:pPr>
              <w:numPr>
                <w:ilvl w:val="0"/>
                <w:numId w:val="0"/>
              </w:numPr>
              <w:spacing w:line="360" w:lineRule="auto"/>
              <w:jc w:val="left"/>
              <w:textAlignment w:val="baseline"/>
              <w:rPr>
                <w:rFonts w:hint="eastAsia" w:ascii="仿宋" w:hAnsi="仿宋" w:eastAsia="仿宋" w:cs="仿宋"/>
                <w:bCs/>
                <w:kern w:val="2"/>
                <w:sz w:val="24"/>
                <w:szCs w:val="24"/>
                <w:lang w:val="en-US" w:eastAsia="zh-CN" w:bidi="ar-SA"/>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缺项不得分。</w:t>
            </w:r>
          </w:p>
        </w:tc>
      </w:tr>
      <w:tr w14:paraId="2550455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49" w:type="dxa"/>
            <w:vMerge w:val="continue"/>
            <w:vAlign w:val="center"/>
          </w:tcPr>
          <w:p w14:paraId="28C82468">
            <w:pPr>
              <w:adjustRightInd w:val="0"/>
              <w:snapToGrid w:val="0"/>
              <w:jc w:val="center"/>
              <w:rPr>
                <w:rFonts w:ascii="仿宋" w:hAnsi="仿宋" w:eastAsia="仿宋" w:cs="仿宋"/>
                <w:bCs/>
                <w:sz w:val="24"/>
                <w:szCs w:val="24"/>
              </w:rPr>
            </w:pPr>
          </w:p>
        </w:tc>
        <w:tc>
          <w:tcPr>
            <w:tcW w:w="1052" w:type="dxa"/>
            <w:gridSpan w:val="2"/>
            <w:vMerge w:val="continue"/>
            <w:vAlign w:val="center"/>
          </w:tcPr>
          <w:p w14:paraId="47182644">
            <w:pPr>
              <w:adjustRightInd w:val="0"/>
              <w:snapToGrid w:val="0"/>
              <w:jc w:val="center"/>
              <w:rPr>
                <w:rFonts w:ascii="仿宋" w:hAnsi="仿宋" w:eastAsia="仿宋" w:cs="仿宋"/>
                <w:bCs/>
                <w:sz w:val="24"/>
                <w:szCs w:val="24"/>
              </w:rPr>
            </w:pPr>
          </w:p>
        </w:tc>
        <w:tc>
          <w:tcPr>
            <w:tcW w:w="1303" w:type="dxa"/>
            <w:shd w:val="clear" w:color="auto" w:fill="auto"/>
            <w:vAlign w:val="center"/>
          </w:tcPr>
          <w:p w14:paraId="3092C059">
            <w:pPr>
              <w:spacing w:line="360" w:lineRule="auto"/>
              <w:jc w:val="center"/>
              <w:rPr>
                <w:rFonts w:hint="eastAsia" w:ascii="仿宋" w:hAnsi="仿宋" w:eastAsia="仿宋" w:cs="仿宋"/>
                <w:bCs/>
                <w:sz w:val="24"/>
                <w:szCs w:val="24"/>
                <w:lang w:val="en-US" w:eastAsia="zh-CN"/>
              </w:rPr>
            </w:pPr>
            <w:r>
              <w:rPr>
                <w:rFonts w:hint="eastAsia" w:ascii="仿宋" w:hAnsi="仿宋" w:eastAsia="仿宋" w:cs="仿宋"/>
                <w:color w:val="000000"/>
                <w:sz w:val="22"/>
                <w:szCs w:val="22"/>
              </w:rPr>
              <w:t>服务承诺（</w:t>
            </w:r>
            <w:r>
              <w:rPr>
                <w:rFonts w:hint="eastAsia" w:ascii="仿宋" w:hAnsi="仿宋" w:eastAsia="仿宋" w:cs="仿宋"/>
                <w:color w:val="000000"/>
                <w:sz w:val="22"/>
                <w:szCs w:val="22"/>
                <w:lang w:val="en-US" w:eastAsia="zh-CN"/>
              </w:rPr>
              <w:t>10</w:t>
            </w:r>
            <w:r>
              <w:rPr>
                <w:rFonts w:hint="eastAsia" w:ascii="仿宋" w:hAnsi="仿宋" w:eastAsia="仿宋" w:cs="仿宋"/>
                <w:color w:val="000000"/>
                <w:sz w:val="22"/>
                <w:szCs w:val="22"/>
              </w:rPr>
              <w:t>分）</w:t>
            </w:r>
          </w:p>
        </w:tc>
        <w:tc>
          <w:tcPr>
            <w:tcW w:w="6662" w:type="dxa"/>
            <w:shd w:val="clear" w:color="auto" w:fill="auto"/>
            <w:vAlign w:val="center"/>
          </w:tcPr>
          <w:p w14:paraId="53C8B955">
            <w:pPr>
              <w:spacing w:line="360" w:lineRule="auto"/>
              <w:jc w:val="left"/>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提供针对本项目</w:t>
            </w:r>
            <w:r>
              <w:rPr>
                <w:rFonts w:hint="eastAsia" w:ascii="仿宋" w:hAnsi="仿宋" w:eastAsia="仿宋" w:cs="仿宋"/>
                <w:color w:val="000000"/>
                <w:sz w:val="22"/>
                <w:szCs w:val="22"/>
                <w:lang w:val="en-US" w:eastAsia="zh-CN"/>
              </w:rPr>
              <w:t>的</w:t>
            </w:r>
            <w:r>
              <w:rPr>
                <w:rFonts w:hint="eastAsia" w:ascii="仿宋" w:hAnsi="仿宋" w:eastAsia="仿宋" w:cs="仿宋"/>
                <w:color w:val="000000"/>
                <w:sz w:val="22"/>
                <w:szCs w:val="22"/>
              </w:rPr>
              <w:t>服务承诺</w:t>
            </w:r>
            <w:r>
              <w:rPr>
                <w:rFonts w:hint="eastAsia" w:ascii="仿宋" w:hAnsi="仿宋" w:eastAsia="仿宋" w:cs="仿宋"/>
                <w:color w:val="000000"/>
                <w:sz w:val="22"/>
                <w:szCs w:val="22"/>
                <w:lang w:eastAsia="zh-CN"/>
              </w:rPr>
              <w:t>：</w:t>
            </w:r>
          </w:p>
          <w:p w14:paraId="2807A1C1">
            <w:pPr>
              <w:spacing w:line="360" w:lineRule="auto"/>
              <w:jc w:val="left"/>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1.</w:t>
            </w:r>
            <w:r>
              <w:rPr>
                <w:rFonts w:hint="eastAsia" w:ascii="仿宋" w:hAnsi="仿宋" w:eastAsia="仿宋" w:cs="仿宋"/>
                <w:color w:val="000000"/>
                <w:sz w:val="22"/>
                <w:szCs w:val="22"/>
              </w:rPr>
              <w:t>供应商提供的服务承诺体系全面、内容详实完整，承诺条款具体细化、贴合项目实际、科学合理</w:t>
            </w: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得</w:t>
            </w:r>
            <w:r>
              <w:rPr>
                <w:rFonts w:hint="eastAsia" w:ascii="仿宋" w:hAnsi="仿宋" w:eastAsia="仿宋" w:cs="仿宋"/>
                <w:color w:val="000000"/>
                <w:sz w:val="22"/>
                <w:szCs w:val="22"/>
                <w:lang w:val="en-US" w:eastAsia="zh-CN"/>
              </w:rPr>
              <w:t>10</w:t>
            </w:r>
            <w:r>
              <w:rPr>
                <w:rFonts w:hint="eastAsia" w:ascii="仿宋" w:hAnsi="仿宋" w:eastAsia="仿宋" w:cs="仿宋"/>
                <w:color w:val="000000"/>
                <w:sz w:val="22"/>
                <w:szCs w:val="22"/>
              </w:rPr>
              <w:t>分；</w:t>
            </w:r>
          </w:p>
          <w:p w14:paraId="27467FA2">
            <w:pPr>
              <w:spacing w:line="360" w:lineRule="auto"/>
              <w:jc w:val="left"/>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2.供应商提供的服务承诺内容较为完整，覆盖项目主要服务内容，内容细化程度一般，</w:t>
            </w:r>
            <w:r>
              <w:rPr>
                <w:rFonts w:hint="eastAsia" w:ascii="仿宋" w:hAnsi="仿宋" w:eastAsia="仿宋" w:cs="仿宋"/>
                <w:color w:val="000000"/>
                <w:sz w:val="22"/>
                <w:szCs w:val="22"/>
              </w:rPr>
              <w:t>得</w:t>
            </w:r>
            <w:r>
              <w:rPr>
                <w:rFonts w:hint="eastAsia" w:ascii="仿宋" w:hAnsi="仿宋" w:eastAsia="仿宋" w:cs="仿宋"/>
                <w:color w:val="000000"/>
                <w:sz w:val="22"/>
                <w:szCs w:val="22"/>
                <w:lang w:val="en-US" w:eastAsia="zh-CN"/>
              </w:rPr>
              <w:t>7</w:t>
            </w:r>
            <w:r>
              <w:rPr>
                <w:rFonts w:hint="eastAsia" w:ascii="仿宋" w:hAnsi="仿宋" w:eastAsia="仿宋" w:cs="仿宋"/>
                <w:color w:val="000000"/>
                <w:sz w:val="22"/>
                <w:szCs w:val="22"/>
              </w:rPr>
              <w:t>分；</w:t>
            </w:r>
          </w:p>
          <w:p w14:paraId="25F7B06D">
            <w:pPr>
              <w:spacing w:line="360" w:lineRule="auto"/>
              <w:jc w:val="left"/>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3.供应商仅对服务承诺进行简单、笼统的文字描述，无细化条款，</w:t>
            </w:r>
            <w:r>
              <w:rPr>
                <w:rFonts w:hint="eastAsia" w:ascii="仿宋" w:hAnsi="仿宋" w:eastAsia="仿宋" w:cs="仿宋"/>
                <w:color w:val="000000"/>
                <w:sz w:val="22"/>
                <w:szCs w:val="22"/>
              </w:rPr>
              <w:t>得</w:t>
            </w:r>
            <w:r>
              <w:rPr>
                <w:rFonts w:hint="eastAsia" w:ascii="仿宋" w:hAnsi="仿宋" w:eastAsia="仿宋" w:cs="仿宋"/>
                <w:color w:val="000000"/>
                <w:sz w:val="22"/>
                <w:szCs w:val="22"/>
                <w:lang w:val="en-US" w:eastAsia="zh-CN"/>
              </w:rPr>
              <w:t>3</w:t>
            </w:r>
            <w:r>
              <w:rPr>
                <w:rFonts w:hint="eastAsia" w:ascii="仿宋" w:hAnsi="仿宋" w:eastAsia="仿宋" w:cs="仿宋"/>
                <w:color w:val="000000"/>
                <w:sz w:val="22"/>
                <w:szCs w:val="22"/>
              </w:rPr>
              <w:t>分</w:t>
            </w:r>
            <w:r>
              <w:rPr>
                <w:rFonts w:hint="eastAsia" w:ascii="仿宋" w:hAnsi="仿宋" w:eastAsia="仿宋" w:cs="仿宋"/>
                <w:color w:val="000000"/>
                <w:sz w:val="22"/>
                <w:szCs w:val="22"/>
                <w:lang w:eastAsia="zh-CN"/>
              </w:rPr>
              <w:t>；</w:t>
            </w:r>
          </w:p>
          <w:p w14:paraId="0C58C024">
            <w:pPr>
              <w:spacing w:line="360" w:lineRule="auto"/>
              <w:jc w:val="left"/>
              <w:rPr>
                <w:rFonts w:hint="eastAsia" w:ascii="仿宋" w:hAnsi="仿宋" w:eastAsia="仿宋" w:cs="仿宋"/>
                <w:bCs/>
                <w:sz w:val="24"/>
                <w:szCs w:val="24"/>
              </w:rPr>
            </w:pPr>
            <w:r>
              <w:rPr>
                <w:rFonts w:hint="eastAsia" w:ascii="仿宋" w:hAnsi="仿宋" w:eastAsia="仿宋" w:cs="仿宋"/>
                <w:color w:val="000000"/>
                <w:sz w:val="22"/>
                <w:szCs w:val="22"/>
                <w:lang w:val="en-US" w:eastAsia="zh-CN"/>
              </w:rPr>
              <w:t>4.</w:t>
            </w:r>
            <w:r>
              <w:rPr>
                <w:rFonts w:hint="eastAsia" w:ascii="仿宋" w:hAnsi="仿宋" w:eastAsia="仿宋" w:cs="仿宋"/>
                <w:color w:val="000000"/>
                <w:sz w:val="22"/>
                <w:szCs w:val="22"/>
              </w:rPr>
              <w:t>缺项不得分。</w:t>
            </w:r>
          </w:p>
        </w:tc>
      </w:tr>
      <w:bookmarkEnd w:id="250"/>
      <w:tr w14:paraId="223FA3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0" w:hRule="atLeast"/>
          <w:jc w:val="center"/>
        </w:trPr>
        <w:tc>
          <w:tcPr>
            <w:tcW w:w="749" w:type="dxa"/>
            <w:vMerge w:val="restart"/>
            <w:vAlign w:val="center"/>
          </w:tcPr>
          <w:p w14:paraId="7DFD6D39">
            <w:pPr>
              <w:adjustRightInd w:val="0"/>
              <w:snapToGrid w:val="0"/>
              <w:jc w:val="center"/>
              <w:rPr>
                <w:rFonts w:ascii="仿宋" w:hAnsi="仿宋" w:eastAsia="仿宋" w:cs="仿宋"/>
                <w:bCs/>
                <w:sz w:val="24"/>
                <w:szCs w:val="24"/>
                <w:highlight w:val="none"/>
              </w:rPr>
            </w:pPr>
            <w:r>
              <w:rPr>
                <w:rFonts w:hint="eastAsia" w:ascii="仿宋" w:hAnsi="仿宋" w:eastAsia="仿宋" w:cs="仿宋"/>
                <w:bCs/>
                <w:sz w:val="24"/>
                <w:szCs w:val="24"/>
                <w:highlight w:val="none"/>
              </w:rPr>
              <w:t>2.2.4（</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w:t>
            </w:r>
          </w:p>
        </w:tc>
        <w:tc>
          <w:tcPr>
            <w:tcW w:w="1052" w:type="dxa"/>
            <w:gridSpan w:val="2"/>
            <w:vMerge w:val="restart"/>
            <w:vAlign w:val="center"/>
          </w:tcPr>
          <w:p w14:paraId="7E5413DF">
            <w:pPr>
              <w:adjustRightInd w:val="0"/>
              <w:snapToGrid w:val="0"/>
              <w:rPr>
                <w:rFonts w:ascii="仿宋" w:hAnsi="仿宋" w:eastAsia="仿宋" w:cs="仿宋"/>
                <w:bCs/>
                <w:sz w:val="24"/>
                <w:szCs w:val="24"/>
                <w:highlight w:val="none"/>
              </w:rPr>
            </w:pPr>
          </w:p>
          <w:p w14:paraId="7A8B4F10">
            <w:pPr>
              <w:adjustRightInd w:val="0"/>
              <w:snapToGrid w:val="0"/>
              <w:jc w:val="center"/>
              <w:rPr>
                <w:rFonts w:ascii="仿宋" w:hAnsi="仿宋" w:eastAsia="仿宋" w:cs="仿宋"/>
                <w:bCs/>
                <w:sz w:val="24"/>
                <w:szCs w:val="24"/>
                <w:highlight w:val="none"/>
              </w:rPr>
            </w:pPr>
            <w:r>
              <w:rPr>
                <w:rFonts w:hint="eastAsia" w:ascii="仿宋" w:hAnsi="仿宋" w:eastAsia="仿宋" w:cs="仿宋"/>
                <w:bCs/>
                <w:sz w:val="24"/>
                <w:szCs w:val="24"/>
                <w:highlight w:val="none"/>
                <w:lang w:val="en-US" w:eastAsia="zh-CN"/>
              </w:rPr>
              <w:t>综合</w:t>
            </w:r>
            <w:r>
              <w:rPr>
                <w:rFonts w:hint="eastAsia" w:ascii="仿宋" w:hAnsi="仿宋" w:eastAsia="仿宋" w:cs="仿宋"/>
                <w:bCs/>
                <w:sz w:val="24"/>
                <w:szCs w:val="24"/>
                <w:highlight w:val="none"/>
              </w:rPr>
              <w:t>部分评分标准</w:t>
            </w:r>
          </w:p>
          <w:p w14:paraId="4D651F29">
            <w:pPr>
              <w:adjustRightInd w:val="0"/>
              <w:snapToGrid w:val="0"/>
              <w:jc w:val="center"/>
              <w:rPr>
                <w:rFonts w:ascii="仿宋" w:hAnsi="仿宋" w:eastAsia="仿宋" w:cs="仿宋"/>
                <w:bCs/>
                <w:sz w:val="24"/>
                <w:szCs w:val="24"/>
                <w:highlight w:val="none"/>
              </w:rPr>
            </w:pP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val="en-US" w:eastAsia="zh-CN"/>
              </w:rPr>
              <w:t>10</w:t>
            </w:r>
            <w:r>
              <w:rPr>
                <w:rFonts w:hint="eastAsia" w:ascii="仿宋" w:hAnsi="仿宋" w:eastAsia="仿宋" w:cs="仿宋"/>
                <w:bCs/>
                <w:sz w:val="24"/>
                <w:szCs w:val="24"/>
                <w:highlight w:val="none"/>
              </w:rPr>
              <w:t>分）</w:t>
            </w:r>
          </w:p>
        </w:tc>
        <w:tc>
          <w:tcPr>
            <w:tcW w:w="1303" w:type="dxa"/>
            <w:vAlign w:val="center"/>
          </w:tcPr>
          <w:p w14:paraId="3B693599">
            <w:pPr>
              <w:spacing w:line="360" w:lineRule="auto"/>
              <w:jc w:val="left"/>
              <w:textAlignment w:val="baseline"/>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企业业绩（</w:t>
            </w:r>
            <w:r>
              <w:rPr>
                <w:rFonts w:hint="eastAsia" w:ascii="仿宋" w:hAnsi="仿宋" w:eastAsia="仿宋" w:cs="仿宋"/>
                <w:color w:val="000000"/>
                <w:sz w:val="22"/>
                <w:szCs w:val="22"/>
                <w:highlight w:val="none"/>
                <w:lang w:val="en-US" w:eastAsia="zh-CN"/>
              </w:rPr>
              <w:t>5</w:t>
            </w:r>
            <w:r>
              <w:rPr>
                <w:rFonts w:hint="eastAsia" w:ascii="仿宋" w:hAnsi="仿宋" w:eastAsia="仿宋" w:cs="仿宋"/>
                <w:color w:val="000000"/>
                <w:sz w:val="22"/>
                <w:szCs w:val="22"/>
                <w:highlight w:val="none"/>
              </w:rPr>
              <w:t>分）</w:t>
            </w:r>
          </w:p>
        </w:tc>
        <w:tc>
          <w:tcPr>
            <w:tcW w:w="6662" w:type="dxa"/>
            <w:vAlign w:val="center"/>
          </w:tcPr>
          <w:p w14:paraId="1FB5F333">
            <w:pPr>
              <w:spacing w:line="360" w:lineRule="auto"/>
              <w:jc w:val="left"/>
              <w:textAlignment w:val="baseline"/>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供应商每提供一份202</w:t>
            </w:r>
            <w:r>
              <w:rPr>
                <w:rFonts w:hint="eastAsia" w:ascii="仿宋" w:hAnsi="仿宋" w:eastAsia="仿宋" w:cs="仿宋"/>
                <w:color w:val="000000"/>
                <w:sz w:val="22"/>
                <w:szCs w:val="22"/>
                <w:highlight w:val="none"/>
                <w:lang w:val="en-US" w:eastAsia="zh-CN"/>
              </w:rPr>
              <w:t>3</w:t>
            </w:r>
            <w:r>
              <w:rPr>
                <w:rFonts w:hint="eastAsia" w:ascii="仿宋" w:hAnsi="仿宋" w:eastAsia="仿宋" w:cs="仿宋"/>
                <w:color w:val="000000"/>
                <w:sz w:val="22"/>
                <w:szCs w:val="22"/>
                <w:highlight w:val="none"/>
              </w:rPr>
              <w:t>年1月1日以来类似</w:t>
            </w:r>
            <w:r>
              <w:rPr>
                <w:rFonts w:hint="eastAsia" w:ascii="仿宋" w:hAnsi="仿宋" w:eastAsia="仿宋" w:cs="仿宋"/>
                <w:color w:val="000000"/>
                <w:sz w:val="22"/>
                <w:szCs w:val="22"/>
                <w:highlight w:val="none"/>
                <w:lang w:val="en-US" w:eastAsia="zh-CN"/>
              </w:rPr>
              <w:t>城市更新项目实施方案编制</w:t>
            </w:r>
            <w:r>
              <w:rPr>
                <w:rFonts w:hint="eastAsia" w:ascii="仿宋" w:hAnsi="仿宋" w:eastAsia="仿宋" w:cs="仿宋"/>
                <w:color w:val="000000"/>
                <w:sz w:val="22"/>
                <w:szCs w:val="22"/>
                <w:highlight w:val="none"/>
              </w:rPr>
              <w:t>业绩的得</w:t>
            </w:r>
            <w:r>
              <w:rPr>
                <w:rFonts w:hint="eastAsia" w:ascii="仿宋" w:hAnsi="仿宋" w:eastAsia="仿宋" w:cs="仿宋"/>
                <w:color w:val="000000"/>
                <w:sz w:val="22"/>
                <w:szCs w:val="22"/>
                <w:highlight w:val="none"/>
                <w:lang w:val="en-US" w:eastAsia="zh-CN"/>
              </w:rPr>
              <w:t>2.5</w:t>
            </w:r>
            <w:r>
              <w:rPr>
                <w:rFonts w:hint="eastAsia" w:ascii="仿宋" w:hAnsi="仿宋" w:eastAsia="仿宋" w:cs="仿宋"/>
                <w:color w:val="000000"/>
                <w:sz w:val="22"/>
                <w:szCs w:val="22"/>
                <w:highlight w:val="none"/>
              </w:rPr>
              <w:t>分，最多</w:t>
            </w:r>
            <w:r>
              <w:rPr>
                <w:rFonts w:hint="eastAsia" w:ascii="仿宋" w:hAnsi="仿宋" w:eastAsia="仿宋" w:cs="仿宋"/>
                <w:color w:val="000000"/>
                <w:sz w:val="22"/>
                <w:szCs w:val="22"/>
                <w:highlight w:val="none"/>
                <w:lang w:val="en-US" w:eastAsia="zh-CN"/>
              </w:rPr>
              <w:t>得5</w:t>
            </w:r>
            <w:r>
              <w:rPr>
                <w:rFonts w:hint="eastAsia" w:ascii="仿宋" w:hAnsi="仿宋" w:eastAsia="仿宋" w:cs="仿宋"/>
                <w:color w:val="000000"/>
                <w:sz w:val="22"/>
                <w:szCs w:val="22"/>
                <w:highlight w:val="none"/>
              </w:rPr>
              <w:t>分。（提供合同复印件或扫描件，时间以合同签订时间为准，否则不得分）</w:t>
            </w:r>
          </w:p>
        </w:tc>
      </w:tr>
      <w:tr w14:paraId="4E09BC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0" w:hRule="atLeast"/>
          <w:jc w:val="center"/>
        </w:trPr>
        <w:tc>
          <w:tcPr>
            <w:tcW w:w="749" w:type="dxa"/>
            <w:vMerge w:val="continue"/>
            <w:vAlign w:val="center"/>
          </w:tcPr>
          <w:p w14:paraId="5ADE3305">
            <w:pPr>
              <w:adjustRightInd w:val="0"/>
              <w:snapToGrid w:val="0"/>
              <w:jc w:val="center"/>
              <w:rPr>
                <w:rFonts w:hint="eastAsia" w:ascii="仿宋" w:hAnsi="仿宋" w:eastAsia="仿宋" w:cs="仿宋"/>
                <w:bCs/>
                <w:sz w:val="24"/>
                <w:szCs w:val="24"/>
                <w:highlight w:val="none"/>
              </w:rPr>
            </w:pPr>
          </w:p>
        </w:tc>
        <w:tc>
          <w:tcPr>
            <w:tcW w:w="1052" w:type="dxa"/>
            <w:gridSpan w:val="2"/>
            <w:vMerge w:val="continue"/>
            <w:vAlign w:val="center"/>
          </w:tcPr>
          <w:p w14:paraId="352FB193">
            <w:pPr>
              <w:adjustRightInd w:val="0"/>
              <w:snapToGrid w:val="0"/>
              <w:jc w:val="center"/>
              <w:rPr>
                <w:rFonts w:hint="eastAsia" w:ascii="仿宋" w:hAnsi="仿宋" w:eastAsia="仿宋" w:cs="仿宋"/>
                <w:bCs/>
                <w:sz w:val="24"/>
                <w:szCs w:val="24"/>
                <w:highlight w:val="none"/>
              </w:rPr>
            </w:pPr>
          </w:p>
        </w:tc>
        <w:tc>
          <w:tcPr>
            <w:tcW w:w="1303" w:type="dxa"/>
            <w:shd w:val="clear" w:color="auto" w:fill="auto"/>
            <w:vAlign w:val="center"/>
          </w:tcPr>
          <w:p w14:paraId="33F91AF6">
            <w:pPr>
              <w:spacing w:line="360" w:lineRule="auto"/>
              <w:jc w:val="left"/>
              <w:textAlignment w:val="baseline"/>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人员配备（5分）</w:t>
            </w:r>
          </w:p>
        </w:tc>
        <w:tc>
          <w:tcPr>
            <w:tcW w:w="6662" w:type="dxa"/>
            <w:shd w:val="clear" w:color="auto" w:fill="auto"/>
            <w:vAlign w:val="center"/>
          </w:tcPr>
          <w:p w14:paraId="4FF027E3">
            <w:pPr>
              <w:spacing w:line="360" w:lineRule="auto"/>
              <w:jc w:val="left"/>
              <w:textAlignment w:val="baseline"/>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rPr>
              <w:t>项目组成员(不含项目负责人)</w:t>
            </w:r>
            <w:r>
              <w:rPr>
                <w:rFonts w:hint="eastAsia" w:ascii="仿宋" w:hAnsi="仿宋" w:eastAsia="仿宋" w:cs="仿宋"/>
                <w:color w:val="000000"/>
                <w:sz w:val="22"/>
                <w:szCs w:val="22"/>
                <w:highlight w:val="none"/>
                <w:lang w:eastAsia="zh-CN"/>
              </w:rPr>
              <w:t>：</w:t>
            </w:r>
            <w:r>
              <w:rPr>
                <w:rFonts w:hint="eastAsia" w:ascii="仿宋" w:hAnsi="仿宋" w:eastAsia="仿宋" w:cs="仿宋"/>
                <w:color w:val="000000"/>
                <w:sz w:val="22"/>
                <w:szCs w:val="22"/>
                <w:highlight w:val="none"/>
              </w:rPr>
              <w:t>每</w:t>
            </w:r>
            <w:r>
              <w:rPr>
                <w:rFonts w:hint="eastAsia" w:ascii="仿宋" w:hAnsi="仿宋" w:eastAsia="仿宋" w:cs="仿宋"/>
                <w:color w:val="000000"/>
                <w:sz w:val="22"/>
                <w:szCs w:val="22"/>
                <w:highlight w:val="none"/>
                <w:lang w:val="en-US" w:eastAsia="zh-CN"/>
              </w:rPr>
              <w:t>有1人具有注册咨询工程师（投资）资格</w:t>
            </w:r>
            <w:r>
              <w:rPr>
                <w:rFonts w:hint="eastAsia" w:ascii="仿宋" w:hAnsi="仿宋" w:eastAsia="仿宋" w:cs="Times New Roman"/>
                <w:sz w:val="24"/>
                <w:highlight w:val="none"/>
                <w:lang w:val="en-US" w:eastAsia="zh-CN"/>
              </w:rPr>
              <w:t>或相关专业中级及以上职称</w:t>
            </w:r>
            <w:r>
              <w:rPr>
                <w:rFonts w:hint="eastAsia" w:ascii="仿宋" w:hAnsi="仿宋" w:eastAsia="仿宋" w:cs="仿宋"/>
                <w:color w:val="000000"/>
                <w:sz w:val="22"/>
                <w:szCs w:val="22"/>
                <w:highlight w:val="none"/>
                <w:lang w:val="en-US" w:eastAsia="zh-CN"/>
              </w:rPr>
              <w:t>得1</w:t>
            </w:r>
            <w:r>
              <w:rPr>
                <w:rFonts w:hint="eastAsia" w:ascii="仿宋" w:hAnsi="仿宋" w:eastAsia="仿宋" w:cs="仿宋"/>
                <w:color w:val="000000"/>
                <w:sz w:val="22"/>
                <w:szCs w:val="22"/>
                <w:highlight w:val="none"/>
              </w:rPr>
              <w:t>分，最多得</w:t>
            </w:r>
            <w:r>
              <w:rPr>
                <w:rFonts w:hint="eastAsia" w:ascii="仿宋" w:hAnsi="仿宋" w:eastAsia="仿宋" w:cs="仿宋"/>
                <w:color w:val="000000"/>
                <w:sz w:val="22"/>
                <w:szCs w:val="22"/>
                <w:highlight w:val="none"/>
                <w:lang w:val="en-US" w:eastAsia="zh-CN"/>
              </w:rPr>
              <w:t>5</w:t>
            </w:r>
            <w:r>
              <w:rPr>
                <w:rFonts w:hint="eastAsia" w:ascii="仿宋" w:hAnsi="仿宋" w:eastAsia="仿宋" w:cs="仿宋"/>
                <w:color w:val="000000"/>
                <w:sz w:val="22"/>
                <w:szCs w:val="22"/>
                <w:highlight w:val="none"/>
              </w:rPr>
              <w:t>分</w:t>
            </w:r>
            <w:r>
              <w:rPr>
                <w:rFonts w:hint="eastAsia" w:ascii="仿宋" w:hAnsi="仿宋" w:eastAsia="仿宋" w:cs="仿宋"/>
                <w:color w:val="000000"/>
                <w:sz w:val="22"/>
                <w:szCs w:val="22"/>
                <w:highlight w:val="none"/>
                <w:lang w:eastAsia="zh-CN"/>
              </w:rPr>
              <w:t>。</w:t>
            </w:r>
          </w:p>
          <w:p w14:paraId="261DF26E">
            <w:pPr>
              <w:spacing w:line="360" w:lineRule="auto"/>
              <w:jc w:val="left"/>
              <w:textAlignment w:val="baseline"/>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注：提供人员证书。</w:t>
            </w:r>
          </w:p>
        </w:tc>
      </w:tr>
      <w:bookmarkEnd w:id="248"/>
      <w:bookmarkEnd w:id="249"/>
    </w:tbl>
    <w:p w14:paraId="39AB4CB8">
      <w:pPr>
        <w:spacing w:line="360" w:lineRule="auto"/>
        <w:rPr>
          <w:rFonts w:ascii="仿宋" w:hAnsi="仿宋" w:eastAsia="仿宋" w:cs="仿宋"/>
          <w:b/>
          <w:sz w:val="24"/>
          <w:szCs w:val="24"/>
        </w:rPr>
      </w:pPr>
      <w:bookmarkStart w:id="251" w:name="_Toc9689"/>
      <w:r>
        <w:rPr>
          <w:rFonts w:hint="eastAsia" w:ascii="仿宋" w:hAnsi="仿宋" w:eastAsia="仿宋" w:cs="仿宋"/>
          <w:b/>
          <w:sz w:val="24"/>
          <w:szCs w:val="24"/>
          <w:highlight w:val="none"/>
        </w:rPr>
        <w:t>注：供应商须将磋商文件要求的资质、业绩及相关人</w:t>
      </w:r>
      <w:r>
        <w:rPr>
          <w:rFonts w:hint="eastAsia" w:ascii="仿宋" w:hAnsi="仿宋" w:eastAsia="仿宋" w:cs="仿宋"/>
          <w:b/>
          <w:sz w:val="24"/>
          <w:szCs w:val="24"/>
        </w:rPr>
        <w:t>员证明材料等资料原件扫描件（或图片）制作到所提交的电子</w:t>
      </w:r>
      <w:r>
        <w:rPr>
          <w:rFonts w:hint="eastAsia" w:ascii="仿宋" w:hAnsi="仿宋" w:eastAsia="仿宋" w:cs="仿宋"/>
          <w:b/>
          <w:sz w:val="24"/>
          <w:szCs w:val="24"/>
          <w:lang w:val="en-US" w:eastAsia="zh-CN"/>
        </w:rPr>
        <w:t>响应</w:t>
      </w:r>
      <w:r>
        <w:rPr>
          <w:rFonts w:hint="eastAsia" w:ascii="仿宋" w:hAnsi="仿宋" w:eastAsia="仿宋" w:cs="仿宋"/>
          <w:b/>
          <w:sz w:val="24"/>
          <w:szCs w:val="24"/>
        </w:rPr>
        <w:t>文件（竞争性磋商响应文件）中。</w:t>
      </w:r>
    </w:p>
    <w:bookmarkEnd w:id="242"/>
    <w:p w14:paraId="7BAAFF8A">
      <w:pPr>
        <w:pStyle w:val="3"/>
        <w:pageBreakBefore/>
        <w:spacing w:before="20" w:after="20" w:line="288" w:lineRule="auto"/>
        <w:rPr>
          <w:rFonts w:ascii="仿宋" w:hAnsi="仿宋" w:eastAsia="仿宋" w:cs="仿宋"/>
          <w:bCs w:val="0"/>
          <w:snapToGrid w:val="0"/>
          <w:sz w:val="24"/>
          <w:szCs w:val="24"/>
        </w:rPr>
      </w:pPr>
      <w:r>
        <w:rPr>
          <w:rFonts w:hint="eastAsia" w:ascii="仿宋" w:hAnsi="仿宋" w:eastAsia="仿宋" w:cs="仿宋"/>
          <w:bCs w:val="0"/>
          <w:snapToGrid w:val="0"/>
          <w:sz w:val="24"/>
          <w:szCs w:val="24"/>
        </w:rPr>
        <w:t>1、评审方法</w:t>
      </w:r>
    </w:p>
    <w:p w14:paraId="6A1A4306">
      <w:pPr>
        <w:pStyle w:val="68"/>
        <w:snapToGrid w:val="0"/>
        <w:spacing w:line="288" w:lineRule="auto"/>
        <w:ind w:left="420"/>
        <w:contextualSpacing/>
        <w:jc w:val="both"/>
        <w:rPr>
          <w:rFonts w:ascii="仿宋" w:hAnsi="仿宋" w:eastAsia="仿宋" w:cs="黑体"/>
          <w:color w:val="auto"/>
        </w:rPr>
      </w:pPr>
      <w:r>
        <w:rPr>
          <w:rFonts w:hint="eastAsia" w:ascii="仿宋" w:hAnsi="仿宋" w:eastAsia="仿宋"/>
        </w:rPr>
        <w:t>（1）</w:t>
      </w:r>
      <w:r>
        <w:rPr>
          <w:rFonts w:hint="eastAsia" w:ascii="仿宋" w:hAnsi="仿宋" w:eastAsia="仿宋" w:cs="黑体"/>
          <w:color w:val="auto"/>
        </w:rPr>
        <w:t>形式评审标准</w:t>
      </w:r>
    </w:p>
    <w:p w14:paraId="0C8A1A9E">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磋商小组按照“第三章  磋商办法” 磋商办法前附表 2.1.1 形式评审标准对供应商进行形式评审；</w:t>
      </w:r>
    </w:p>
    <w:p w14:paraId="292BE648">
      <w:pPr>
        <w:pStyle w:val="68"/>
        <w:snapToGrid w:val="0"/>
        <w:spacing w:line="288" w:lineRule="auto"/>
        <w:ind w:left="420"/>
        <w:contextualSpacing/>
        <w:jc w:val="both"/>
        <w:rPr>
          <w:rFonts w:ascii="仿宋" w:hAnsi="仿宋" w:eastAsia="仿宋" w:cs="黑体"/>
          <w:color w:val="auto"/>
        </w:rPr>
      </w:pPr>
      <w:r>
        <w:rPr>
          <w:rFonts w:hint="eastAsia" w:ascii="仿宋" w:hAnsi="仿宋" w:eastAsia="仿宋"/>
        </w:rPr>
        <w:t>（2）</w:t>
      </w:r>
      <w:r>
        <w:rPr>
          <w:rFonts w:hint="eastAsia" w:ascii="仿宋" w:hAnsi="仿宋" w:eastAsia="仿宋" w:cs="黑体"/>
          <w:color w:val="auto"/>
        </w:rPr>
        <w:t>资格审查标准</w:t>
      </w:r>
    </w:p>
    <w:p w14:paraId="142E2B8E">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磋商小组按照“第三章  磋商办法” 磋商办法前附表 2.1.</w:t>
      </w:r>
      <w:r>
        <w:rPr>
          <w:rFonts w:ascii="仿宋" w:hAnsi="仿宋" w:eastAsia="仿宋"/>
          <w:sz w:val="24"/>
          <w:szCs w:val="24"/>
        </w:rPr>
        <w:t>2</w:t>
      </w:r>
      <w:r>
        <w:rPr>
          <w:rFonts w:hint="eastAsia" w:ascii="仿宋" w:hAnsi="仿宋" w:eastAsia="仿宋"/>
          <w:sz w:val="24"/>
          <w:szCs w:val="24"/>
        </w:rPr>
        <w:t xml:space="preserve"> 资格审查标准对供应商进行资格评审；</w:t>
      </w:r>
    </w:p>
    <w:p w14:paraId="4A49A06E">
      <w:pPr>
        <w:pStyle w:val="68"/>
        <w:snapToGrid w:val="0"/>
        <w:spacing w:line="288" w:lineRule="auto"/>
        <w:ind w:left="420"/>
        <w:contextualSpacing/>
        <w:jc w:val="both"/>
        <w:rPr>
          <w:rFonts w:ascii="仿宋" w:hAnsi="仿宋" w:eastAsia="仿宋" w:cs="黑体"/>
          <w:color w:val="auto"/>
        </w:rPr>
      </w:pPr>
      <w:r>
        <w:rPr>
          <w:rFonts w:hint="eastAsia" w:ascii="仿宋" w:hAnsi="仿宋" w:eastAsia="仿宋"/>
        </w:rPr>
        <w:t>（3）</w:t>
      </w:r>
      <w:r>
        <w:rPr>
          <w:rFonts w:hint="eastAsia" w:ascii="仿宋" w:hAnsi="仿宋" w:eastAsia="仿宋" w:cs="黑体"/>
          <w:color w:val="auto"/>
        </w:rPr>
        <w:t>响应性评审标准</w:t>
      </w:r>
    </w:p>
    <w:p w14:paraId="059C7E7F">
      <w:pPr>
        <w:snapToGrid w:val="0"/>
        <w:spacing w:line="288" w:lineRule="auto"/>
        <w:ind w:firstLine="480" w:firstLineChars="200"/>
        <w:contextualSpacing/>
        <w:rPr>
          <w:rFonts w:ascii="仿宋" w:hAnsi="仿宋" w:eastAsia="仿宋"/>
          <w:sz w:val="24"/>
          <w:szCs w:val="24"/>
        </w:rPr>
      </w:pPr>
      <w:bookmarkStart w:id="252" w:name="_Toc90712538"/>
      <w:bookmarkStart w:id="253" w:name="_Toc109550798"/>
      <w:bookmarkStart w:id="254" w:name="_Toc109537522"/>
      <w:bookmarkStart w:id="255" w:name="_Toc90713357"/>
      <w:r>
        <w:rPr>
          <w:rFonts w:hint="eastAsia" w:ascii="仿宋" w:hAnsi="仿宋" w:eastAsia="仿宋"/>
          <w:sz w:val="24"/>
          <w:szCs w:val="24"/>
        </w:rPr>
        <w:t>磋商小组按照“第三章  磋商办法” 磋商办法前附表 2.1.</w:t>
      </w:r>
      <w:r>
        <w:rPr>
          <w:rFonts w:ascii="仿宋" w:hAnsi="仿宋" w:eastAsia="仿宋"/>
          <w:sz w:val="24"/>
          <w:szCs w:val="24"/>
        </w:rPr>
        <w:t>3</w:t>
      </w:r>
      <w:r>
        <w:rPr>
          <w:rFonts w:hint="eastAsia" w:ascii="仿宋" w:hAnsi="仿宋" w:eastAsia="仿宋"/>
          <w:sz w:val="24"/>
          <w:szCs w:val="24"/>
        </w:rPr>
        <w:t xml:space="preserve"> 响应性评审标准对供应商进行响应性评审；</w:t>
      </w:r>
    </w:p>
    <w:p w14:paraId="5FAD7C24">
      <w:pPr>
        <w:pStyle w:val="3"/>
        <w:spacing w:before="20" w:after="20" w:line="288" w:lineRule="auto"/>
        <w:rPr>
          <w:rFonts w:ascii="仿宋" w:hAnsi="仿宋" w:eastAsia="仿宋" w:cs="仿宋"/>
          <w:bCs w:val="0"/>
          <w:snapToGrid w:val="0"/>
          <w:sz w:val="24"/>
          <w:szCs w:val="24"/>
        </w:rPr>
      </w:pPr>
      <w:r>
        <w:rPr>
          <w:rFonts w:ascii="仿宋" w:hAnsi="仿宋" w:eastAsia="仿宋" w:cs="仿宋"/>
          <w:bCs w:val="0"/>
          <w:snapToGrid w:val="0"/>
          <w:sz w:val="24"/>
          <w:szCs w:val="24"/>
        </w:rPr>
        <w:t>2</w:t>
      </w:r>
      <w:r>
        <w:rPr>
          <w:rFonts w:hint="eastAsia" w:ascii="仿宋" w:hAnsi="仿宋" w:eastAsia="仿宋" w:cs="仿宋"/>
          <w:bCs w:val="0"/>
          <w:snapToGrid w:val="0"/>
          <w:sz w:val="24"/>
          <w:szCs w:val="24"/>
        </w:rPr>
        <w:t>、磋商程序</w:t>
      </w:r>
    </w:p>
    <w:p w14:paraId="1D805F26">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1）磋商小组集中与单一供应商分别进行磋商。在磋商中，磋商双方可以就磋商项目所涉及的价格、技术、服务等进行实质性磋商，但磋商的任何一方不得透露与磋商有关的其他供应商的商业秘密、技术资料、价格和其他信息，不得变动磋商文件中的其他内容。</w:t>
      </w:r>
    </w:p>
    <w:p w14:paraId="60CF0820">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2）磋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1778CDE">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3）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263E0EF">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（4）在磋商过程中，磋商小组可以根据磋商文件和磋商情况实质性变动采购需求中的技术、服务要求以及合同草案条款，但不得变动磋商文件中的其他内容。实质性变动的内容，须经采购人代表确认。</w:t>
      </w:r>
    </w:p>
    <w:p w14:paraId="2CB92B2F">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对磋商文件作出的实质性变动是磋商文件的有效组成部分，磋商小组应当以书面形式同时通知所有参加磋商的供应商。</w:t>
      </w:r>
    </w:p>
    <w:p w14:paraId="56BA80C4">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5）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BEABF1C">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（6）磋商文件能够详细列明采购标的的技术、服务要求的，磋商结束后，磋商小组应当要求所有实质性响应的供应商提交最后报价，提交最后报价的供应商不得少于3家。</w:t>
      </w:r>
    </w:p>
    <w:p w14:paraId="07B28232">
      <w:pPr>
        <w:pStyle w:val="6"/>
        <w:snapToGrid w:val="0"/>
        <w:spacing w:line="288" w:lineRule="auto"/>
        <w:ind w:firstLine="480"/>
        <w:contextualSpacing/>
        <w:rPr>
          <w:rFonts w:ascii="仿宋" w:hAnsi="仿宋" w:eastAsia="仿宋" w:cs="宋体"/>
          <w:b/>
          <w:sz w:val="24"/>
          <w:szCs w:val="24"/>
        </w:rPr>
      </w:pPr>
      <w:r>
        <w:rPr>
          <w:rFonts w:hint="eastAsia" w:ascii="仿宋" w:hAnsi="仿宋" w:eastAsia="仿宋" w:cs="宋体"/>
          <w:sz w:val="24"/>
          <w:szCs w:val="24"/>
        </w:rPr>
        <w:t>（7）</w:t>
      </w:r>
      <w:r>
        <w:rPr>
          <w:rFonts w:hint="eastAsia" w:ascii="仿宋" w:hAnsi="仿宋" w:eastAsia="仿宋" w:cs="宋体"/>
          <w:b/>
          <w:sz w:val="24"/>
          <w:szCs w:val="24"/>
        </w:rPr>
        <w:t>最后报价（二轮报价）【注：磋商小组认为供应商的报价明显低于其他通过符合性审查供应商的报价，有可能影响产品（服务）质量或者不能诚信履约的，应当要求其在评标现场合理的时间内提供书面说明，必要时提交相关证明材料；供应商不能证明其报价合理性的，评标委员会应当将其作为无效投标处理】。最后报价是供应商响应文件的有效组成部分。</w:t>
      </w:r>
    </w:p>
    <w:p w14:paraId="663976A7">
      <w:pPr>
        <w:pStyle w:val="6"/>
        <w:snapToGrid w:val="0"/>
        <w:spacing w:line="288" w:lineRule="auto"/>
        <w:ind w:firstLine="480"/>
        <w:contextualSpacing/>
        <w:rPr>
          <w:rFonts w:ascii="仿宋" w:hAnsi="仿宋" w:eastAsia="仿宋" w:cs="宋体"/>
          <w:sz w:val="24"/>
          <w:szCs w:val="24"/>
        </w:rPr>
      </w:pPr>
      <w:r>
        <w:rPr>
          <w:rFonts w:hint="eastAsia" w:ascii="仿宋" w:hAnsi="仿宋" w:eastAsia="仿宋" w:cs="宋体"/>
          <w:sz w:val="24"/>
          <w:szCs w:val="24"/>
        </w:rPr>
        <w:t>情况特殊,经磋商小组根据磋商现场情况，可以要求供应商适当进行多轮报价。</w:t>
      </w:r>
    </w:p>
    <w:p w14:paraId="4589D13D">
      <w:pPr>
        <w:pStyle w:val="3"/>
        <w:spacing w:before="20" w:after="20" w:line="288" w:lineRule="auto"/>
        <w:rPr>
          <w:rFonts w:ascii="仿宋" w:hAnsi="仿宋" w:eastAsia="仿宋" w:cs="仿宋"/>
          <w:bCs w:val="0"/>
          <w:snapToGrid w:val="0"/>
          <w:sz w:val="24"/>
          <w:szCs w:val="24"/>
        </w:rPr>
      </w:pPr>
      <w:r>
        <w:rPr>
          <w:rFonts w:ascii="仿宋" w:hAnsi="仿宋" w:eastAsia="仿宋" w:cs="仿宋"/>
          <w:bCs w:val="0"/>
          <w:snapToGrid w:val="0"/>
          <w:sz w:val="24"/>
          <w:szCs w:val="24"/>
        </w:rPr>
        <w:t>3</w:t>
      </w:r>
      <w:r>
        <w:rPr>
          <w:rFonts w:hint="eastAsia" w:ascii="仿宋" w:hAnsi="仿宋" w:eastAsia="仿宋" w:cs="仿宋"/>
          <w:bCs w:val="0"/>
          <w:snapToGrid w:val="0"/>
          <w:sz w:val="24"/>
          <w:szCs w:val="24"/>
        </w:rPr>
        <w:t>、综合评审</w:t>
      </w:r>
    </w:p>
    <w:p w14:paraId="532CF291">
      <w:pPr>
        <w:snapToGrid w:val="0"/>
        <w:spacing w:line="288" w:lineRule="auto"/>
        <w:ind w:firstLine="470" w:firstLineChars="196"/>
        <w:contextualSpacing/>
        <w:rPr>
          <w:rFonts w:ascii="仿宋" w:hAnsi="仿宋" w:eastAsia="仿宋" w:cs="宋体"/>
          <w:bCs/>
          <w:sz w:val="24"/>
          <w:szCs w:val="24"/>
        </w:rPr>
      </w:pPr>
      <w:r>
        <w:rPr>
          <w:rFonts w:hint="eastAsia" w:ascii="仿宋" w:hAnsi="仿宋" w:eastAsia="仿宋" w:cs="宋体"/>
          <w:bCs/>
          <w:sz w:val="24"/>
          <w:szCs w:val="24"/>
        </w:rPr>
        <w:t>（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7E62839B">
      <w:pPr>
        <w:snapToGrid w:val="0"/>
        <w:spacing w:line="288" w:lineRule="auto"/>
        <w:ind w:firstLine="470" w:firstLineChars="196"/>
        <w:contextualSpacing/>
        <w:rPr>
          <w:rFonts w:ascii="仿宋" w:hAnsi="仿宋" w:eastAsia="仿宋" w:cs="宋体"/>
          <w:b/>
          <w:bCs/>
          <w:sz w:val="24"/>
          <w:szCs w:val="24"/>
        </w:rPr>
      </w:pPr>
      <w:r>
        <w:rPr>
          <w:rFonts w:hint="eastAsia" w:ascii="仿宋" w:hAnsi="仿宋" w:eastAsia="仿宋" w:cs="宋体"/>
          <w:bCs/>
          <w:sz w:val="24"/>
          <w:szCs w:val="24"/>
        </w:rPr>
        <w:t>（2）综合评分法评审标准中的分值设置应当与评审因素的量化指标相对应。磋商文件中没有规定的评审标准不得作为评审依据。评审时，磋商小组各成员应当独立对每个有效响应的文件进行评价、打分，然后汇总每个供应商每项评分因素的得分。</w:t>
      </w:r>
    </w:p>
    <w:p w14:paraId="245FD6D5">
      <w:pPr>
        <w:pStyle w:val="3"/>
        <w:spacing w:before="20" w:after="20" w:line="288" w:lineRule="auto"/>
        <w:rPr>
          <w:rFonts w:ascii="仿宋" w:hAnsi="仿宋" w:eastAsia="仿宋" w:cs="仿宋"/>
          <w:bCs w:val="0"/>
          <w:snapToGrid w:val="0"/>
          <w:sz w:val="24"/>
          <w:szCs w:val="24"/>
        </w:rPr>
      </w:pPr>
      <w:r>
        <w:rPr>
          <w:rFonts w:ascii="仿宋" w:hAnsi="仿宋" w:eastAsia="仿宋" w:cs="仿宋"/>
          <w:bCs w:val="0"/>
          <w:snapToGrid w:val="0"/>
          <w:sz w:val="24"/>
          <w:szCs w:val="24"/>
        </w:rPr>
        <w:t>4</w:t>
      </w:r>
      <w:r>
        <w:rPr>
          <w:rFonts w:hint="eastAsia" w:ascii="仿宋" w:hAnsi="仿宋" w:eastAsia="仿宋" w:cs="仿宋"/>
          <w:bCs w:val="0"/>
          <w:snapToGrid w:val="0"/>
          <w:sz w:val="24"/>
          <w:szCs w:val="24"/>
        </w:rPr>
        <w:t>、推荐成交候选人</w:t>
      </w:r>
    </w:p>
    <w:p w14:paraId="0BC1773C">
      <w:pPr>
        <w:snapToGrid w:val="0"/>
        <w:spacing w:line="288" w:lineRule="auto"/>
        <w:ind w:firstLine="480" w:firstLineChars="200"/>
        <w:contextualSpacing/>
        <w:rPr>
          <w:rFonts w:ascii="仿宋" w:hAnsi="仿宋" w:eastAsia="仿宋"/>
          <w:sz w:val="24"/>
          <w:szCs w:val="24"/>
        </w:rPr>
      </w:pPr>
      <w:r>
        <w:rPr>
          <w:rFonts w:ascii="仿宋" w:hAnsi="仿宋" w:eastAsia="仿宋"/>
          <w:sz w:val="24"/>
          <w:szCs w:val="24"/>
        </w:rPr>
        <w:t>磋商小组应当根据综合评分情况，按照评审得分由高到低顺序推荐成交候选供应商</w:t>
      </w:r>
      <w:r>
        <w:rPr>
          <w:rFonts w:hint="eastAsia" w:ascii="仿宋" w:hAnsi="仿宋" w:eastAsia="仿宋"/>
          <w:sz w:val="24"/>
          <w:szCs w:val="24"/>
        </w:rPr>
        <w:t>(推荐的中标候选人数见供应商须知前附表)</w:t>
      </w:r>
      <w:r>
        <w:rPr>
          <w:rFonts w:ascii="仿宋" w:hAnsi="仿宋" w:eastAsia="仿宋"/>
          <w:sz w:val="24"/>
          <w:szCs w:val="24"/>
        </w:rPr>
        <w:t>，并编写评审报告。评审得分相同的，按照最后报价由低到高的顺序推荐。评审得分且最后报价相同的，按照技术指标优劣顺序推荐。</w:t>
      </w:r>
    </w:p>
    <w:p w14:paraId="1807E1B6">
      <w:pPr>
        <w:pStyle w:val="3"/>
        <w:spacing w:before="20" w:after="20" w:line="288" w:lineRule="auto"/>
        <w:rPr>
          <w:rFonts w:ascii="仿宋" w:hAnsi="仿宋" w:eastAsia="仿宋" w:cs="仿宋"/>
          <w:bCs w:val="0"/>
          <w:snapToGrid w:val="0"/>
          <w:sz w:val="24"/>
          <w:szCs w:val="24"/>
        </w:rPr>
      </w:pPr>
      <w:r>
        <w:rPr>
          <w:rFonts w:ascii="仿宋" w:hAnsi="仿宋" w:eastAsia="仿宋" w:cs="仿宋"/>
          <w:bCs w:val="0"/>
          <w:snapToGrid w:val="0"/>
          <w:sz w:val="24"/>
          <w:szCs w:val="24"/>
        </w:rPr>
        <w:t>5</w:t>
      </w:r>
      <w:r>
        <w:rPr>
          <w:rFonts w:hint="eastAsia" w:ascii="仿宋" w:hAnsi="仿宋" w:eastAsia="仿宋" w:cs="仿宋"/>
          <w:bCs w:val="0"/>
          <w:snapToGrid w:val="0"/>
          <w:sz w:val="24"/>
          <w:szCs w:val="24"/>
        </w:rPr>
        <w:t>、评审报告</w:t>
      </w:r>
    </w:p>
    <w:p w14:paraId="016ABD57">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磋商</w:t>
      </w:r>
      <w:r>
        <w:rPr>
          <w:rFonts w:ascii="仿宋" w:hAnsi="仿宋" w:eastAsia="仿宋"/>
          <w:sz w:val="24"/>
          <w:szCs w:val="24"/>
        </w:rPr>
        <w:t>小组应当根据评审记录和评审结果编写评审报告，其主要内容包括：</w:t>
      </w:r>
    </w:p>
    <w:p w14:paraId="76EE6B40">
      <w:pPr>
        <w:snapToGrid w:val="0"/>
        <w:spacing w:line="288" w:lineRule="auto"/>
        <w:ind w:firstLine="470" w:firstLineChars="196"/>
        <w:contextualSpacing/>
        <w:rPr>
          <w:rFonts w:ascii="仿宋" w:hAnsi="仿宋" w:eastAsia="仿宋" w:cs="宋体"/>
          <w:bCs/>
          <w:sz w:val="24"/>
          <w:szCs w:val="24"/>
        </w:rPr>
      </w:pPr>
      <w:r>
        <w:rPr>
          <w:rFonts w:hint="eastAsia" w:ascii="仿宋" w:hAnsi="仿宋" w:eastAsia="仿宋" w:cs="宋体"/>
          <w:bCs/>
          <w:sz w:val="24"/>
          <w:szCs w:val="24"/>
        </w:rPr>
        <w:t>（1）</w:t>
      </w:r>
      <w:r>
        <w:rPr>
          <w:rFonts w:ascii="仿宋" w:hAnsi="仿宋" w:eastAsia="仿宋" w:cs="Arial"/>
          <w:kern w:val="0"/>
          <w:sz w:val="24"/>
          <w:szCs w:val="24"/>
        </w:rPr>
        <w:t>邀请供应商参加采购活动的具体方式和相关情况；</w:t>
      </w:r>
    </w:p>
    <w:p w14:paraId="33955C61">
      <w:pPr>
        <w:snapToGrid w:val="0"/>
        <w:spacing w:line="288" w:lineRule="auto"/>
        <w:ind w:firstLine="470" w:firstLineChars="196"/>
        <w:contextualSpacing/>
        <w:rPr>
          <w:rFonts w:ascii="仿宋" w:hAnsi="仿宋" w:eastAsia="仿宋" w:cs="宋体"/>
          <w:bCs/>
          <w:sz w:val="24"/>
          <w:szCs w:val="24"/>
        </w:rPr>
      </w:pPr>
      <w:r>
        <w:rPr>
          <w:rFonts w:hint="eastAsia" w:ascii="仿宋" w:hAnsi="仿宋" w:eastAsia="仿宋" w:cs="宋体"/>
          <w:bCs/>
          <w:sz w:val="24"/>
          <w:szCs w:val="24"/>
        </w:rPr>
        <w:t>（2）</w:t>
      </w:r>
      <w:r>
        <w:rPr>
          <w:rFonts w:ascii="仿宋" w:hAnsi="仿宋" w:eastAsia="仿宋" w:cs="Arial"/>
          <w:kern w:val="0"/>
          <w:sz w:val="24"/>
          <w:szCs w:val="24"/>
        </w:rPr>
        <w:t>响应文件开启日期和地点；</w:t>
      </w:r>
    </w:p>
    <w:p w14:paraId="0405CA70">
      <w:pPr>
        <w:snapToGrid w:val="0"/>
        <w:spacing w:line="288" w:lineRule="auto"/>
        <w:ind w:firstLine="480" w:firstLineChars="200"/>
        <w:contextualSpacing/>
        <w:rPr>
          <w:rFonts w:ascii="仿宋" w:hAnsi="仿宋" w:eastAsia="仿宋" w:cs="宋体"/>
          <w:bCs/>
          <w:sz w:val="24"/>
          <w:szCs w:val="24"/>
        </w:rPr>
      </w:pPr>
      <w:r>
        <w:rPr>
          <w:rFonts w:hint="eastAsia" w:ascii="仿宋" w:hAnsi="仿宋" w:eastAsia="仿宋" w:cs="宋体"/>
          <w:bCs/>
          <w:sz w:val="24"/>
          <w:szCs w:val="24"/>
        </w:rPr>
        <w:t>（3）</w:t>
      </w:r>
      <w:r>
        <w:rPr>
          <w:rFonts w:ascii="仿宋" w:hAnsi="仿宋" w:eastAsia="仿宋" w:cs="Arial"/>
          <w:kern w:val="0"/>
          <w:sz w:val="24"/>
          <w:szCs w:val="24"/>
        </w:rPr>
        <w:t>获取磋商文件的供应商名单和磋商小组成员名单；</w:t>
      </w:r>
    </w:p>
    <w:p w14:paraId="6D33CBF4">
      <w:pPr>
        <w:snapToGrid w:val="0"/>
        <w:spacing w:line="288" w:lineRule="auto"/>
        <w:ind w:firstLine="470" w:firstLineChars="196"/>
        <w:contextualSpacing/>
        <w:rPr>
          <w:rFonts w:ascii="仿宋" w:hAnsi="仿宋" w:eastAsia="仿宋" w:cs="宋体"/>
          <w:bCs/>
          <w:sz w:val="24"/>
          <w:szCs w:val="24"/>
        </w:rPr>
      </w:pPr>
      <w:r>
        <w:rPr>
          <w:rFonts w:hint="eastAsia" w:ascii="仿宋" w:hAnsi="仿宋" w:eastAsia="仿宋" w:cs="宋体"/>
          <w:bCs/>
          <w:sz w:val="24"/>
          <w:szCs w:val="24"/>
        </w:rPr>
        <w:t>（4）</w:t>
      </w:r>
      <w:r>
        <w:rPr>
          <w:rFonts w:ascii="仿宋" w:hAnsi="仿宋" w:eastAsia="仿宋" w:cs="Arial"/>
          <w:kern w:val="0"/>
          <w:sz w:val="24"/>
          <w:szCs w:val="24"/>
        </w:rPr>
        <w:t>评审情况记录和说明，包括对供应商的资格审查情况、供应商响应文件评审情况、磋商情况、报价情况等；</w:t>
      </w:r>
    </w:p>
    <w:p w14:paraId="7724425A">
      <w:pPr>
        <w:snapToGrid w:val="0"/>
        <w:spacing w:line="288" w:lineRule="auto"/>
        <w:ind w:firstLine="470" w:firstLineChars="196"/>
        <w:contextualSpacing/>
        <w:rPr>
          <w:rFonts w:ascii="仿宋" w:hAnsi="仿宋" w:eastAsia="仿宋" w:cs="宋体"/>
          <w:bCs/>
          <w:sz w:val="24"/>
          <w:szCs w:val="24"/>
        </w:rPr>
      </w:pPr>
      <w:r>
        <w:rPr>
          <w:rFonts w:hint="eastAsia" w:ascii="仿宋" w:hAnsi="仿宋" w:eastAsia="仿宋" w:cs="宋体"/>
          <w:bCs/>
          <w:sz w:val="24"/>
          <w:szCs w:val="24"/>
        </w:rPr>
        <w:t>（5）</w:t>
      </w:r>
      <w:r>
        <w:rPr>
          <w:rFonts w:ascii="仿宋" w:hAnsi="仿宋" w:eastAsia="仿宋" w:cs="Arial"/>
          <w:kern w:val="0"/>
          <w:sz w:val="24"/>
          <w:szCs w:val="24"/>
        </w:rPr>
        <w:t>提出的成交候选供应商的排序名单及理由。</w:t>
      </w:r>
    </w:p>
    <w:p w14:paraId="45127A7F">
      <w:pPr>
        <w:snapToGrid w:val="0"/>
        <w:spacing w:line="288" w:lineRule="auto"/>
        <w:ind w:firstLine="480" w:firstLineChars="200"/>
        <w:contextualSpacing/>
        <w:rPr>
          <w:rFonts w:ascii="仿宋" w:hAnsi="仿宋" w:eastAsia="仿宋"/>
          <w:sz w:val="24"/>
          <w:szCs w:val="24"/>
        </w:rPr>
      </w:pPr>
      <w:r>
        <w:rPr>
          <w:rFonts w:ascii="仿宋" w:hAnsi="仿宋" w:eastAsia="仿宋"/>
          <w:sz w:val="24"/>
          <w:szCs w:val="24"/>
        </w:rPr>
        <w:t>评审报告应当由</w:t>
      </w:r>
      <w:r>
        <w:rPr>
          <w:rFonts w:hint="eastAsia" w:ascii="仿宋" w:hAnsi="仿宋" w:eastAsia="仿宋"/>
          <w:sz w:val="24"/>
          <w:szCs w:val="24"/>
        </w:rPr>
        <w:t>磋商</w:t>
      </w:r>
      <w:r>
        <w:rPr>
          <w:rFonts w:ascii="仿宋" w:hAnsi="仿宋" w:eastAsia="仿宋"/>
          <w:sz w:val="24"/>
          <w:szCs w:val="24"/>
        </w:rPr>
        <w:t>小组全体人员签字认可。</w:t>
      </w:r>
      <w:r>
        <w:rPr>
          <w:rFonts w:hint="eastAsia" w:ascii="仿宋" w:hAnsi="仿宋" w:eastAsia="仿宋"/>
          <w:sz w:val="24"/>
          <w:szCs w:val="24"/>
        </w:rPr>
        <w:t>磋商</w:t>
      </w:r>
      <w:r>
        <w:rPr>
          <w:rFonts w:ascii="仿宋" w:hAnsi="仿宋" w:eastAsia="仿宋"/>
          <w:sz w:val="24"/>
          <w:szCs w:val="24"/>
        </w:rPr>
        <w:t>小组成员对评审报告有异议的，</w:t>
      </w:r>
      <w:r>
        <w:rPr>
          <w:rFonts w:hint="eastAsia" w:ascii="仿宋" w:hAnsi="仿宋" w:eastAsia="仿宋"/>
          <w:sz w:val="24"/>
          <w:szCs w:val="24"/>
        </w:rPr>
        <w:t>磋商</w:t>
      </w:r>
      <w:r>
        <w:rPr>
          <w:rFonts w:ascii="仿宋" w:hAnsi="仿宋" w:eastAsia="仿宋"/>
          <w:sz w:val="24"/>
          <w:szCs w:val="24"/>
        </w:rPr>
        <w:t>小组按照少数服从多数的原则推荐成交候选人，采购程序继续进行。对评审报告有异议的</w:t>
      </w:r>
      <w:r>
        <w:rPr>
          <w:rFonts w:hint="eastAsia" w:ascii="仿宋" w:hAnsi="仿宋" w:eastAsia="仿宋"/>
          <w:sz w:val="24"/>
          <w:szCs w:val="24"/>
        </w:rPr>
        <w:t>磋商</w:t>
      </w:r>
      <w:r>
        <w:rPr>
          <w:rFonts w:ascii="仿宋" w:hAnsi="仿宋" w:eastAsia="仿宋"/>
          <w:sz w:val="24"/>
          <w:szCs w:val="24"/>
        </w:rPr>
        <w:t>小组成员，应当在报告上签署不同意见并说明理由，由</w:t>
      </w:r>
      <w:r>
        <w:rPr>
          <w:rFonts w:hint="eastAsia" w:ascii="仿宋" w:hAnsi="仿宋" w:eastAsia="仿宋"/>
          <w:sz w:val="24"/>
          <w:szCs w:val="24"/>
        </w:rPr>
        <w:t>磋商</w:t>
      </w:r>
      <w:r>
        <w:rPr>
          <w:rFonts w:ascii="仿宋" w:hAnsi="仿宋" w:eastAsia="仿宋"/>
          <w:sz w:val="24"/>
          <w:szCs w:val="24"/>
        </w:rPr>
        <w:t>小组书面记录相关情况。</w:t>
      </w:r>
      <w:r>
        <w:rPr>
          <w:rFonts w:hint="eastAsia" w:ascii="仿宋" w:hAnsi="仿宋" w:eastAsia="仿宋"/>
          <w:sz w:val="24"/>
          <w:szCs w:val="24"/>
        </w:rPr>
        <w:t>磋商</w:t>
      </w:r>
      <w:r>
        <w:rPr>
          <w:rFonts w:ascii="仿宋" w:hAnsi="仿宋" w:eastAsia="仿宋"/>
          <w:sz w:val="24"/>
          <w:szCs w:val="24"/>
        </w:rPr>
        <w:t>小组成员拒绝在报告上签字又不书面说明其不同意见和理由的，视为同意评审报告。</w:t>
      </w:r>
    </w:p>
    <w:p w14:paraId="70F22117">
      <w:pPr>
        <w:pStyle w:val="3"/>
        <w:spacing w:before="20" w:after="20" w:line="288" w:lineRule="auto"/>
        <w:rPr>
          <w:rFonts w:ascii="仿宋" w:hAnsi="仿宋" w:eastAsia="仿宋" w:cs="仿宋"/>
          <w:bCs w:val="0"/>
          <w:snapToGrid w:val="0"/>
          <w:sz w:val="24"/>
          <w:szCs w:val="24"/>
        </w:rPr>
      </w:pPr>
      <w:bookmarkStart w:id="256" w:name="_Toc462934305"/>
      <w:bookmarkStart w:id="257" w:name="_Toc455678131"/>
      <w:bookmarkStart w:id="258" w:name="_Toc428276599"/>
      <w:bookmarkStart w:id="259" w:name="_Toc428351659"/>
      <w:bookmarkStart w:id="260" w:name="_Toc21137"/>
      <w:bookmarkStart w:id="261" w:name="_Toc463011284"/>
      <w:bookmarkStart w:id="262" w:name="_Toc26984"/>
      <w:bookmarkStart w:id="263" w:name="_Toc454788039"/>
      <w:bookmarkStart w:id="264" w:name="_Toc422126473"/>
      <w:r>
        <w:rPr>
          <w:rFonts w:ascii="仿宋" w:hAnsi="仿宋" w:eastAsia="仿宋" w:cs="仿宋"/>
          <w:bCs w:val="0"/>
          <w:snapToGrid w:val="0"/>
          <w:sz w:val="24"/>
          <w:szCs w:val="24"/>
        </w:rPr>
        <w:t>6</w:t>
      </w:r>
      <w:r>
        <w:rPr>
          <w:rFonts w:hint="eastAsia" w:ascii="仿宋" w:hAnsi="仿宋" w:eastAsia="仿宋" w:cs="仿宋"/>
          <w:bCs w:val="0"/>
          <w:snapToGrid w:val="0"/>
          <w:sz w:val="24"/>
          <w:szCs w:val="24"/>
        </w:rPr>
        <w:t>、磋商过程的保密性</w:t>
      </w:r>
      <w:bookmarkEnd w:id="256"/>
      <w:bookmarkEnd w:id="257"/>
      <w:bookmarkEnd w:id="258"/>
      <w:bookmarkEnd w:id="259"/>
      <w:bookmarkEnd w:id="260"/>
      <w:bookmarkEnd w:id="261"/>
      <w:bookmarkEnd w:id="262"/>
      <w:bookmarkEnd w:id="263"/>
      <w:bookmarkEnd w:id="264"/>
    </w:p>
    <w:p w14:paraId="13EC7016">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（1）磋商期间，直到授予成交人合同止，凡是与磋商响应文件审查、澄清、评价、比较以及推荐成交人等方面的情况，均不得向供应商或其他无关的人员透露。</w:t>
      </w:r>
    </w:p>
    <w:p w14:paraId="7094B1DD">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（2）在磋商过程中，供应商如向磋商小组成员施加任何影响，都将会导致其磋商被拒绝，政府采购监管部门将记录其不良行为。</w:t>
      </w:r>
    </w:p>
    <w:p w14:paraId="13785C21">
      <w:pPr>
        <w:pStyle w:val="3"/>
        <w:spacing w:before="20" w:after="20" w:line="288" w:lineRule="auto"/>
        <w:rPr>
          <w:rFonts w:ascii="仿宋" w:hAnsi="仿宋" w:eastAsia="仿宋" w:cs="仿宋"/>
          <w:bCs w:val="0"/>
          <w:snapToGrid w:val="0"/>
          <w:sz w:val="24"/>
          <w:szCs w:val="24"/>
        </w:rPr>
      </w:pPr>
      <w:bookmarkStart w:id="265" w:name="_Toc462934306"/>
      <w:bookmarkStart w:id="266" w:name="_Toc5212"/>
      <w:bookmarkStart w:id="267" w:name="_Toc463011285"/>
      <w:bookmarkStart w:id="268" w:name="_Toc455678132"/>
      <w:bookmarkStart w:id="269" w:name="_Toc21281"/>
      <w:r>
        <w:rPr>
          <w:rFonts w:ascii="仿宋" w:hAnsi="仿宋" w:eastAsia="仿宋" w:cs="仿宋"/>
          <w:bCs w:val="0"/>
          <w:snapToGrid w:val="0"/>
          <w:sz w:val="24"/>
          <w:szCs w:val="24"/>
        </w:rPr>
        <w:t>7</w:t>
      </w:r>
      <w:r>
        <w:rPr>
          <w:rFonts w:hint="eastAsia" w:ascii="仿宋" w:hAnsi="仿宋" w:eastAsia="仿宋" w:cs="仿宋"/>
          <w:bCs w:val="0"/>
          <w:snapToGrid w:val="0"/>
          <w:sz w:val="24"/>
          <w:szCs w:val="24"/>
        </w:rPr>
        <w:t>、终止竞争性磋商采购活动</w:t>
      </w:r>
      <w:bookmarkEnd w:id="265"/>
      <w:bookmarkEnd w:id="266"/>
      <w:bookmarkEnd w:id="267"/>
      <w:bookmarkEnd w:id="268"/>
      <w:bookmarkEnd w:id="269"/>
    </w:p>
    <w:p w14:paraId="0B7326BF">
      <w:pPr>
        <w:pStyle w:val="6"/>
        <w:snapToGrid w:val="0"/>
        <w:spacing w:line="288" w:lineRule="auto"/>
        <w:ind w:firstLine="480"/>
        <w:contextualSpacing/>
        <w:rPr>
          <w:rFonts w:ascii="仿宋" w:hAnsi="仿宋" w:eastAsia="仿宋" w:cs="黑体"/>
          <w:sz w:val="24"/>
          <w:szCs w:val="24"/>
        </w:rPr>
      </w:pPr>
      <w:r>
        <w:rPr>
          <w:rFonts w:hint="eastAsia" w:ascii="仿宋" w:hAnsi="仿宋" w:eastAsia="仿宋" w:cs="黑体"/>
          <w:sz w:val="24"/>
          <w:szCs w:val="24"/>
        </w:rPr>
        <w:t>出现下列情形之一的，采购人或者采购代理机构应当终止竞争性磋商采购活动，发布项目终止公告并说明原因，重新开展采购活动：</w:t>
      </w:r>
    </w:p>
    <w:p w14:paraId="5BA22F2C">
      <w:pPr>
        <w:pStyle w:val="6"/>
        <w:snapToGrid w:val="0"/>
        <w:spacing w:line="288" w:lineRule="auto"/>
        <w:ind w:firstLine="480"/>
        <w:contextualSpacing/>
        <w:rPr>
          <w:rFonts w:ascii="仿宋" w:hAnsi="仿宋" w:eastAsia="仿宋" w:cs="黑体"/>
          <w:sz w:val="24"/>
          <w:szCs w:val="24"/>
        </w:rPr>
      </w:pPr>
      <w:r>
        <w:rPr>
          <w:rFonts w:hint="eastAsia" w:ascii="仿宋" w:hAnsi="仿宋" w:eastAsia="仿宋" w:cs="黑体"/>
          <w:sz w:val="24"/>
          <w:szCs w:val="24"/>
        </w:rPr>
        <w:t>（1）因情况变化，不再符合规定的竞争性磋商采购方式适用情形的；</w:t>
      </w:r>
    </w:p>
    <w:p w14:paraId="77F89741">
      <w:pPr>
        <w:pStyle w:val="6"/>
        <w:snapToGrid w:val="0"/>
        <w:spacing w:line="288" w:lineRule="auto"/>
        <w:ind w:firstLine="480"/>
        <w:contextualSpacing/>
        <w:rPr>
          <w:rFonts w:ascii="仿宋" w:hAnsi="仿宋" w:eastAsia="仿宋" w:cs="黑体"/>
          <w:sz w:val="24"/>
          <w:szCs w:val="24"/>
        </w:rPr>
      </w:pPr>
      <w:r>
        <w:rPr>
          <w:rFonts w:hint="eastAsia" w:ascii="仿宋" w:hAnsi="仿宋" w:eastAsia="仿宋" w:cs="黑体"/>
          <w:sz w:val="24"/>
          <w:szCs w:val="24"/>
        </w:rPr>
        <w:t>（2）出现影响采购公正的违法、违规行为的；</w:t>
      </w:r>
    </w:p>
    <w:p w14:paraId="16CF8483">
      <w:pPr>
        <w:pStyle w:val="6"/>
        <w:snapToGrid w:val="0"/>
        <w:spacing w:line="288" w:lineRule="auto"/>
        <w:ind w:firstLine="480"/>
        <w:contextualSpacing/>
        <w:rPr>
          <w:rFonts w:ascii="仿宋" w:hAnsi="仿宋" w:eastAsia="仿宋" w:cs="黑体"/>
          <w:sz w:val="24"/>
          <w:szCs w:val="24"/>
        </w:rPr>
      </w:pPr>
      <w:r>
        <w:rPr>
          <w:rFonts w:hint="eastAsia" w:ascii="仿宋" w:hAnsi="仿宋" w:eastAsia="仿宋" w:cs="黑体"/>
          <w:sz w:val="24"/>
          <w:szCs w:val="24"/>
        </w:rPr>
        <w:t>（3）在采购过程中符合竞争要求的供应商或者报价未超过采购预算的供应商不足2家的。</w:t>
      </w:r>
    </w:p>
    <w:bookmarkEnd w:id="252"/>
    <w:bookmarkEnd w:id="253"/>
    <w:bookmarkEnd w:id="254"/>
    <w:bookmarkEnd w:id="255"/>
    <w:p w14:paraId="321B5EA5">
      <w:pPr>
        <w:pStyle w:val="3"/>
        <w:spacing w:before="20" w:after="20" w:line="288" w:lineRule="auto"/>
        <w:rPr>
          <w:rFonts w:ascii="仿宋" w:hAnsi="仿宋" w:eastAsia="仿宋" w:cs="仿宋"/>
          <w:bCs w:val="0"/>
          <w:snapToGrid w:val="0"/>
          <w:sz w:val="24"/>
          <w:szCs w:val="24"/>
        </w:rPr>
      </w:pPr>
      <w:bookmarkStart w:id="270" w:name="_Toc454788040"/>
      <w:bookmarkStart w:id="271" w:name="_Toc7308"/>
      <w:bookmarkStart w:id="272" w:name="_Toc462934307"/>
      <w:bookmarkStart w:id="273" w:name="_Toc428351660"/>
      <w:bookmarkStart w:id="274" w:name="_Toc12985"/>
      <w:bookmarkStart w:id="275" w:name="_Toc428276600"/>
      <w:bookmarkStart w:id="276" w:name="_Toc463011286"/>
      <w:bookmarkStart w:id="277" w:name="_Toc455678133"/>
      <w:r>
        <w:rPr>
          <w:rFonts w:ascii="仿宋" w:hAnsi="仿宋" w:eastAsia="仿宋" w:cs="仿宋"/>
          <w:bCs w:val="0"/>
          <w:snapToGrid w:val="0"/>
          <w:sz w:val="24"/>
          <w:szCs w:val="24"/>
        </w:rPr>
        <w:t>8</w:t>
      </w:r>
      <w:r>
        <w:rPr>
          <w:rFonts w:hint="eastAsia" w:ascii="仿宋" w:hAnsi="仿宋" w:eastAsia="仿宋" w:cs="仿宋"/>
          <w:bCs w:val="0"/>
          <w:snapToGrid w:val="0"/>
          <w:sz w:val="24"/>
          <w:szCs w:val="24"/>
        </w:rPr>
        <w:t>、确定成交人</w:t>
      </w:r>
      <w:bookmarkEnd w:id="270"/>
      <w:bookmarkEnd w:id="271"/>
      <w:bookmarkEnd w:id="272"/>
      <w:bookmarkEnd w:id="273"/>
      <w:bookmarkEnd w:id="274"/>
      <w:bookmarkEnd w:id="275"/>
      <w:bookmarkEnd w:id="276"/>
      <w:bookmarkEnd w:id="277"/>
    </w:p>
    <w:p w14:paraId="5F0ABD9A">
      <w:pPr>
        <w:snapToGrid w:val="0"/>
        <w:spacing w:line="288" w:lineRule="auto"/>
        <w:ind w:firstLine="470" w:firstLineChars="196"/>
        <w:contextualSpacing/>
        <w:rPr>
          <w:rFonts w:ascii="仿宋" w:hAnsi="仿宋" w:eastAsia="仿宋"/>
          <w:sz w:val="24"/>
          <w:szCs w:val="24"/>
        </w:rPr>
      </w:pPr>
      <w:r>
        <w:rPr>
          <w:rFonts w:hint="eastAsia" w:ascii="仿宋" w:hAnsi="仿宋" w:eastAsia="仿宋"/>
          <w:sz w:val="24"/>
          <w:szCs w:val="24"/>
        </w:rPr>
        <w:t>（1）采购人应当按照磋商评审报告中推荐的成交候选人顺序确定成交人，并将结果通知未成交供应商。</w:t>
      </w:r>
    </w:p>
    <w:p w14:paraId="3A1898BC">
      <w:pPr>
        <w:snapToGrid w:val="0"/>
        <w:spacing w:line="288" w:lineRule="auto"/>
        <w:ind w:firstLine="480" w:firstLineChars="200"/>
        <w:contextualSpacing/>
        <w:rPr>
          <w:rFonts w:ascii="仿宋" w:hAnsi="仿宋" w:eastAsia="仿宋"/>
          <w:sz w:val="24"/>
          <w:szCs w:val="24"/>
        </w:rPr>
      </w:pPr>
      <w:r>
        <w:rPr>
          <w:rFonts w:hint="eastAsia" w:ascii="仿宋" w:hAnsi="仿宋" w:eastAsia="仿宋"/>
          <w:sz w:val="24"/>
          <w:szCs w:val="24"/>
        </w:rPr>
        <w:t>（2）采购人也可以书面授权磋商小组直接确定成交供应商。磋商小组直接确定成交供应商的应在磋商文件中写明。</w:t>
      </w:r>
    </w:p>
    <w:p w14:paraId="5CA82B54">
      <w:pPr>
        <w:pStyle w:val="3"/>
        <w:spacing w:before="20" w:after="20" w:line="288" w:lineRule="auto"/>
        <w:rPr>
          <w:rFonts w:ascii="仿宋" w:hAnsi="仿宋" w:eastAsia="仿宋" w:cs="仿宋"/>
          <w:bCs w:val="0"/>
          <w:snapToGrid w:val="0"/>
          <w:sz w:val="24"/>
          <w:szCs w:val="24"/>
        </w:rPr>
      </w:pPr>
      <w:bookmarkStart w:id="278" w:name="_Toc454788041"/>
      <w:bookmarkStart w:id="279" w:name="_Toc455678134"/>
      <w:bookmarkStart w:id="280" w:name="_Toc428276601"/>
      <w:bookmarkStart w:id="281" w:name="_Toc428351661"/>
      <w:bookmarkStart w:id="282" w:name="_Toc422126474"/>
      <w:bookmarkStart w:id="283" w:name="_Toc15190"/>
      <w:bookmarkStart w:id="284" w:name="_Toc463011287"/>
      <w:bookmarkStart w:id="285" w:name="_Toc462934308"/>
      <w:bookmarkStart w:id="286" w:name="_Toc2677"/>
      <w:r>
        <w:rPr>
          <w:rFonts w:ascii="仿宋" w:hAnsi="仿宋" w:eastAsia="仿宋" w:cs="仿宋"/>
          <w:bCs w:val="0"/>
          <w:snapToGrid w:val="0"/>
          <w:sz w:val="24"/>
          <w:szCs w:val="24"/>
        </w:rPr>
        <w:t>9</w:t>
      </w:r>
      <w:r>
        <w:rPr>
          <w:rFonts w:hint="eastAsia" w:ascii="仿宋" w:hAnsi="仿宋" w:eastAsia="仿宋" w:cs="仿宋"/>
          <w:bCs w:val="0"/>
          <w:snapToGrid w:val="0"/>
          <w:sz w:val="24"/>
          <w:szCs w:val="24"/>
        </w:rPr>
        <w:t>、成交结果</w:t>
      </w:r>
      <w:bookmarkEnd w:id="278"/>
      <w:bookmarkEnd w:id="279"/>
      <w:bookmarkEnd w:id="280"/>
      <w:bookmarkEnd w:id="281"/>
      <w:bookmarkEnd w:id="282"/>
      <w:r>
        <w:rPr>
          <w:rFonts w:hint="eastAsia" w:ascii="仿宋" w:hAnsi="仿宋" w:eastAsia="仿宋" w:cs="仿宋"/>
          <w:bCs w:val="0"/>
          <w:snapToGrid w:val="0"/>
          <w:sz w:val="24"/>
          <w:szCs w:val="24"/>
        </w:rPr>
        <w:t>公告</w:t>
      </w:r>
      <w:bookmarkEnd w:id="283"/>
      <w:bookmarkEnd w:id="284"/>
      <w:bookmarkEnd w:id="285"/>
      <w:bookmarkEnd w:id="286"/>
    </w:p>
    <w:p w14:paraId="3A9316D9">
      <w:pPr>
        <w:snapToGrid w:val="0"/>
        <w:spacing w:line="288" w:lineRule="auto"/>
        <w:ind w:firstLine="470" w:firstLineChars="196"/>
        <w:contextualSpacing/>
        <w:rPr>
          <w:rFonts w:ascii="仿宋" w:hAnsi="仿宋" w:eastAsia="仿宋"/>
          <w:sz w:val="24"/>
          <w:szCs w:val="24"/>
        </w:rPr>
      </w:pPr>
      <w:r>
        <w:rPr>
          <w:rFonts w:hint="eastAsia" w:ascii="仿宋" w:hAnsi="仿宋" w:eastAsia="仿宋"/>
          <w:sz w:val="24"/>
          <w:szCs w:val="24"/>
        </w:rPr>
        <w:t>（1）采购人应当在成交人确定后在公告发布的同一媒介上公告成交结果，同时向成交供应商发出成交通知书，并将磋商文件随成交结果同时公告，公告期限1个工作日。</w:t>
      </w:r>
    </w:p>
    <w:p w14:paraId="37E05ACC">
      <w:pPr>
        <w:snapToGrid w:val="0"/>
        <w:spacing w:line="288" w:lineRule="auto"/>
        <w:ind w:firstLine="480" w:firstLineChars="200"/>
        <w:contextualSpacing/>
        <w:rPr>
          <w:rFonts w:ascii="仿宋" w:hAnsi="仿宋" w:eastAsia="仿宋"/>
          <w:sz w:val="24"/>
          <w:szCs w:val="24"/>
        </w:rPr>
      </w:pPr>
      <w:bookmarkStart w:id="287" w:name="_Toc270604607"/>
      <w:r>
        <w:rPr>
          <w:rFonts w:hint="eastAsia" w:ascii="仿宋" w:hAnsi="仿宋" w:eastAsia="仿宋"/>
          <w:sz w:val="24"/>
          <w:szCs w:val="24"/>
        </w:rPr>
        <w:t>（2）成交结果公告内容应当包括采购人和采购代理机构的名称、地址、联系方式，项目名称和项目编号，成交供应商名称、地址，主要成交标的的名称、规格型号、数量、单价、服务要求或标的的基本概况以及磋商小组名单</w:t>
      </w:r>
      <w:bookmarkEnd w:id="287"/>
      <w:r>
        <w:rPr>
          <w:rFonts w:hint="eastAsia" w:ascii="仿宋" w:hAnsi="仿宋" w:eastAsia="仿宋" w:cs="黑体"/>
          <w:sz w:val="24"/>
          <w:szCs w:val="24"/>
        </w:rPr>
        <w:t>。</w:t>
      </w:r>
    </w:p>
    <w:bookmarkEnd w:id="251"/>
    <w:p w14:paraId="35082764">
      <w:pPr>
        <w:rPr>
          <w:rFonts w:ascii="仿宋" w:hAnsi="仿宋" w:eastAsia="仿宋" w:cs="仿宋"/>
        </w:rPr>
      </w:pPr>
      <w:r>
        <w:rPr>
          <w:rFonts w:ascii="仿宋" w:hAnsi="仿宋" w:eastAsia="仿宋" w:cs="仿宋"/>
          <w:sz w:val="24"/>
          <w:szCs w:val="24"/>
        </w:rPr>
        <w:br w:type="page"/>
      </w:r>
    </w:p>
    <w:bookmarkEnd w:id="243"/>
    <w:bookmarkEnd w:id="244"/>
    <w:bookmarkEnd w:id="245"/>
    <w:bookmarkEnd w:id="246"/>
    <w:bookmarkEnd w:id="247"/>
    <w:p w14:paraId="14DBF4A8">
      <w:pPr>
        <w:pStyle w:val="2"/>
        <w:numPr>
          <w:ilvl w:val="0"/>
          <w:numId w:val="2"/>
        </w:numPr>
        <w:spacing w:before="120" w:after="120" w:line="240" w:lineRule="auto"/>
        <w:rPr>
          <w:rFonts w:ascii="仿宋" w:hAnsi="仿宋" w:eastAsia="仿宋" w:cs="仿宋"/>
          <w:kern w:val="2"/>
          <w:szCs w:val="20"/>
        </w:rPr>
      </w:pPr>
      <w:bookmarkStart w:id="288" w:name="_Toc19806"/>
      <w:bookmarkStart w:id="289" w:name="_Toc41326539"/>
      <w:bookmarkStart w:id="290" w:name="_Toc8680_WPSOffice_Level1"/>
      <w:r>
        <w:rPr>
          <w:rFonts w:hint="eastAsia" w:ascii="仿宋" w:hAnsi="仿宋" w:eastAsia="仿宋" w:cs="仿宋"/>
          <w:kern w:val="2"/>
          <w:szCs w:val="20"/>
        </w:rPr>
        <w:t>、合同条款及格式</w:t>
      </w:r>
      <w:bookmarkEnd w:id="288"/>
      <w:bookmarkEnd w:id="289"/>
      <w:bookmarkEnd w:id="290"/>
      <w:bookmarkStart w:id="291" w:name="_Toc298700182"/>
      <w:bookmarkStart w:id="292" w:name="_Toc292954905"/>
      <w:bookmarkStart w:id="293" w:name="_Toc292899373"/>
      <w:bookmarkStart w:id="294" w:name="_Toc292899532"/>
    </w:p>
    <w:p w14:paraId="554595E4">
      <w:pPr>
        <w:pStyle w:val="11"/>
        <w:keepNext w:val="0"/>
        <w:keepLines w:val="0"/>
        <w:pageBreakBefore w:val="0"/>
        <w:kinsoku/>
        <w:wordWrap/>
        <w:overflowPunct/>
        <w:topLinePunct w:val="0"/>
        <w:autoSpaceDE/>
        <w:autoSpaceDN/>
        <w:bidi w:val="0"/>
        <w:adjustRightInd w:val="0"/>
        <w:snapToGrid w:val="0"/>
        <w:spacing w:after="0" w:line="400" w:lineRule="exact"/>
        <w:jc w:val="center"/>
        <w:textAlignment w:val="auto"/>
        <w:rPr>
          <w:rFonts w:ascii="仿宋" w:hAnsi="仿宋" w:eastAsia="仿宋"/>
          <w:sz w:val="24"/>
          <w:szCs w:val="28"/>
        </w:rPr>
      </w:pPr>
      <w:r>
        <w:rPr>
          <w:rFonts w:hint="eastAsia" w:ascii="仿宋" w:hAnsi="仿宋" w:eastAsia="仿宋"/>
          <w:sz w:val="24"/>
          <w:szCs w:val="28"/>
        </w:rPr>
        <w:t>（合同条款及格式仅供参考，以采购人最终认定的合同格及内容为准）</w:t>
      </w:r>
    </w:p>
    <w:p w14:paraId="61F425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采购人（甲方）：</w:t>
      </w:r>
      <w:r>
        <w:rPr>
          <w:rFonts w:hint="eastAsia" w:ascii="仿宋" w:hAnsi="仿宋" w:eastAsia="仿宋" w:cs="仿宋"/>
          <w:sz w:val="24"/>
          <w:szCs w:val="24"/>
          <w:u w:val="single"/>
        </w:rPr>
        <w:t xml:space="preserve">                            </w:t>
      </w:r>
    </w:p>
    <w:p w14:paraId="6EC9F68B">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供应商（乙方）：</w:t>
      </w:r>
      <w:r>
        <w:rPr>
          <w:rFonts w:hint="eastAsia" w:ascii="仿宋" w:hAnsi="仿宋" w:eastAsia="仿宋" w:cs="仿宋"/>
          <w:sz w:val="24"/>
          <w:szCs w:val="24"/>
          <w:u w:val="single"/>
        </w:rPr>
        <w:t xml:space="preserve">                            </w:t>
      </w:r>
    </w:p>
    <w:p w14:paraId="11407727">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依照《中华人民共和国</w:t>
      </w:r>
      <w:r>
        <w:rPr>
          <w:rFonts w:hint="eastAsia" w:ascii="仿宋" w:hAnsi="仿宋" w:eastAsia="仿宋" w:cs="仿宋"/>
          <w:sz w:val="24"/>
          <w:szCs w:val="24"/>
          <w:lang w:val="en-US" w:eastAsia="zh-CN"/>
        </w:rPr>
        <w:t>民法典</w:t>
      </w:r>
      <w:r>
        <w:rPr>
          <w:rFonts w:hint="eastAsia" w:ascii="仿宋" w:hAnsi="仿宋" w:eastAsia="仿宋" w:cs="仿宋"/>
          <w:sz w:val="24"/>
          <w:szCs w:val="24"/>
        </w:rPr>
        <w:t>》、《中华人民共和国政府采购法》及国家的有关法律、行政法规，遵循平等、自愿、公平和诚实信用的原则，按照现行有关法律、法规，双方协商一致，订立本合同。</w:t>
      </w:r>
    </w:p>
    <w:p w14:paraId="2CBB737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一、本合同名称：</w:t>
      </w:r>
      <w:r>
        <w:rPr>
          <w:rFonts w:hint="eastAsia" w:ascii="仿宋" w:hAnsi="仿宋" w:eastAsia="仿宋" w:cs="仿宋"/>
          <w:sz w:val="24"/>
          <w:szCs w:val="24"/>
          <w:u w:val="single"/>
        </w:rPr>
        <w:t xml:space="preserve">                                      </w:t>
      </w:r>
    </w:p>
    <w:p w14:paraId="194D8A0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二、本合同总价：</w:t>
      </w:r>
      <w:r>
        <w:rPr>
          <w:rFonts w:hint="eastAsia" w:ascii="仿宋" w:hAnsi="仿宋" w:eastAsia="仿宋" w:cs="仿宋"/>
          <w:sz w:val="24"/>
          <w:szCs w:val="24"/>
          <w:u w:val="single"/>
        </w:rPr>
        <w:t xml:space="preserve">                                      </w:t>
      </w:r>
    </w:p>
    <w:p w14:paraId="6086731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rPr>
        <w:t>三、</w:t>
      </w:r>
      <w:r>
        <w:rPr>
          <w:rFonts w:hint="eastAsia" w:ascii="仿宋" w:hAnsi="仿宋" w:eastAsia="仿宋" w:cs="仿宋"/>
          <w:sz w:val="24"/>
          <w:szCs w:val="24"/>
          <w:lang w:val="en-US" w:eastAsia="zh-CN"/>
        </w:rPr>
        <w:t>服务</w:t>
      </w:r>
      <w:r>
        <w:rPr>
          <w:rFonts w:hint="eastAsia" w:ascii="仿宋" w:hAnsi="仿宋" w:eastAsia="仿宋" w:cs="仿宋"/>
          <w:sz w:val="24"/>
          <w:szCs w:val="24"/>
        </w:rPr>
        <w:t>标准：</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p>
    <w:p w14:paraId="4C12C8B3">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四、服务期限：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1DD868EA">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rPr>
        <w:t>五、付款方式：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p>
    <w:p w14:paraId="17732FF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六、验收事项：</w:t>
      </w:r>
    </w:p>
    <w:p w14:paraId="63F5FE0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1、验收要求：</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004C9E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2、验收结果确认：</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2D7F6E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3、验收标准和方法：</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EE15723">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七、双方权利义务</w:t>
      </w:r>
    </w:p>
    <w:p w14:paraId="204335C5">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1、甲方权利义务：</w:t>
      </w:r>
    </w:p>
    <w:p w14:paraId="7ADFBD23">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1.1甲方负责项目全面管理。</w:t>
      </w:r>
    </w:p>
    <w:p w14:paraId="715A54E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1.2甲方按合同约定支付合同价款。</w:t>
      </w:r>
    </w:p>
    <w:p w14:paraId="051AD64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1.3甲方负责监督本项目的服务相关事项。</w:t>
      </w:r>
    </w:p>
    <w:p w14:paraId="7649478A">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2、乙方权利义务：</w:t>
      </w:r>
    </w:p>
    <w:p w14:paraId="18A8F812">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乙方在合同履行过程中，应严格按照本项目服务要求和国家现行的相关要求以及响应文件内容提供服务事项，接受甲方（或甲方指定的第三方）的监督、管理和抽查，并在任何时候都应接受甲方关于本项目的相关咨询。</w:t>
      </w:r>
    </w:p>
    <w:p w14:paraId="2B833CC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2.2乙方在合同履行过程中，应根据甲方指令，安排相关服务进度。</w:t>
      </w:r>
    </w:p>
    <w:p w14:paraId="0568316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2.3乙方在合同履行过程中，应加强服务人员的安全教育，做好相应的安全保障，确保安全。在服务过程中发生的由于乙方的原因造成的一切安全事故责任，一律由乙方负责，并承担相应的经济责任。</w:t>
      </w:r>
    </w:p>
    <w:p w14:paraId="21B4F60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八、违约责任：乙方所交付的服务成果未符合本合同规定或未按要求履行合同义务时，甲方有权拒绝验收，乙方在得到甲方通知之日起2个工作日内采取补救措施，逾期仍未采取有效措施的，甲方有权要求乙方赔偿因此造成的损失。</w:t>
      </w:r>
    </w:p>
    <w:p w14:paraId="4BD67E7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九、双方应严格遵守采购文件要求，如有违反，按采购文件的规定处理。</w:t>
      </w:r>
    </w:p>
    <w:p w14:paraId="6AB460E9">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十、本合同签订和履行适用中华人民共和国法律，因履行合同发生的争议，由双方友好协商解决，如协商不成的，任何一方均可向签订合同地人民法院提起诉讼。</w:t>
      </w:r>
    </w:p>
    <w:p w14:paraId="3E92001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十一、本合同未尽事宜，双方可签订补充协议，与本合同具有同等法律效力。</w:t>
      </w:r>
    </w:p>
    <w:p w14:paraId="4B393DB2">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十二、合同生效</w:t>
      </w:r>
    </w:p>
    <w:p w14:paraId="6815150B">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本合同经双方代表签字并加盖公章后生效。</w:t>
      </w:r>
    </w:p>
    <w:p w14:paraId="1BEBCA87">
      <w:pPr>
        <w:pStyle w:val="63"/>
        <w:keepNext w:val="0"/>
        <w:keepLines w:val="0"/>
        <w:pageBreakBefore w:val="0"/>
        <w:kinsoku/>
        <w:wordWrap/>
        <w:overflowPunct/>
        <w:topLinePunct w:val="0"/>
        <w:autoSpaceDE/>
        <w:autoSpaceDN/>
        <w:bidi w:val="0"/>
        <w:adjustRightInd w:val="0"/>
        <w:snapToGrid w:val="0"/>
        <w:spacing w:line="400" w:lineRule="exac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w:t>
      </w:r>
    </w:p>
    <w:p w14:paraId="307EFEF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甲方（公章）：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乙方（公章）：</w:t>
      </w:r>
    </w:p>
    <w:p w14:paraId="2AEE8D4A">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                            地址：</w:t>
      </w:r>
    </w:p>
    <w:p w14:paraId="2BF79C7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法定代表人（或负责人）或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法定代表人（或负责人）或</w:t>
      </w:r>
    </w:p>
    <w:p w14:paraId="22AE36CF">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委托代理人（签字）：              委托代理人（签字）：</w:t>
      </w:r>
    </w:p>
    <w:p w14:paraId="4EB77AC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                            电话：</w:t>
      </w:r>
    </w:p>
    <w:p w14:paraId="294B1EBB">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开户银行：                        开户银行：</w:t>
      </w:r>
    </w:p>
    <w:p w14:paraId="1B2F16E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账号：                            账号：</w:t>
      </w:r>
    </w:p>
    <w:p w14:paraId="47AB448A">
      <w:pPr>
        <w:pStyle w:val="25"/>
        <w:keepNext w:val="0"/>
        <w:keepLines w:val="0"/>
        <w:pageBreakBefore w:val="0"/>
        <w:kinsoku/>
        <w:wordWrap/>
        <w:overflowPunct/>
        <w:topLinePunct w:val="0"/>
        <w:autoSpaceDE/>
        <w:autoSpaceDN/>
        <w:bidi w:val="0"/>
        <w:adjustRightInd w:val="0"/>
        <w:snapToGrid w:val="0"/>
        <w:spacing w:line="400" w:lineRule="exact"/>
        <w:ind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签订时间：     年   月   日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签订时间：   年   月   日</w:t>
      </w:r>
    </w:p>
    <w:bookmarkEnd w:id="291"/>
    <w:bookmarkEnd w:id="292"/>
    <w:bookmarkEnd w:id="293"/>
    <w:bookmarkEnd w:id="294"/>
    <w:p w14:paraId="75891DEE">
      <w:pPr>
        <w:rPr>
          <w:rFonts w:ascii="仿宋" w:hAnsi="仿宋" w:eastAsia="仿宋" w:cs="仿宋"/>
          <w:kern w:val="2"/>
          <w:szCs w:val="20"/>
          <w:highlight w:val="none"/>
        </w:rPr>
      </w:pPr>
      <w:bookmarkStart w:id="295" w:name="_Toc41326540"/>
      <w:bookmarkStart w:id="296" w:name="_Toc20329"/>
      <w:bookmarkStart w:id="297" w:name="_Toc20931_WPSOffice_Level1"/>
      <w:bookmarkStart w:id="298" w:name="_Hlk81213193"/>
      <w:r>
        <w:rPr>
          <w:rFonts w:hint="eastAsia" w:ascii="仿宋" w:hAnsi="仿宋" w:eastAsia="仿宋" w:cs="仿宋"/>
          <w:kern w:val="2"/>
          <w:szCs w:val="20"/>
          <w:highlight w:val="none"/>
        </w:rPr>
        <w:br w:type="page"/>
      </w:r>
    </w:p>
    <w:p w14:paraId="34322EC4">
      <w:pPr>
        <w:pStyle w:val="2"/>
        <w:numPr>
          <w:ilvl w:val="0"/>
          <w:numId w:val="2"/>
        </w:numPr>
        <w:spacing w:before="120" w:after="120" w:line="240" w:lineRule="auto"/>
        <w:rPr>
          <w:rFonts w:ascii="仿宋" w:hAnsi="仿宋" w:eastAsia="仿宋" w:cs="仿宋"/>
          <w:kern w:val="2"/>
          <w:szCs w:val="20"/>
          <w:highlight w:val="none"/>
        </w:rPr>
      </w:pPr>
      <w:r>
        <w:rPr>
          <w:rFonts w:hint="eastAsia" w:ascii="仿宋" w:hAnsi="仿宋" w:eastAsia="仿宋" w:cs="仿宋"/>
          <w:kern w:val="2"/>
          <w:szCs w:val="20"/>
          <w:highlight w:val="none"/>
        </w:rPr>
        <w:t>、</w:t>
      </w:r>
      <w:bookmarkEnd w:id="295"/>
      <w:bookmarkEnd w:id="296"/>
      <w:bookmarkEnd w:id="297"/>
      <w:r>
        <w:rPr>
          <w:rFonts w:hint="eastAsia" w:ascii="仿宋" w:hAnsi="仿宋" w:eastAsia="仿宋" w:cs="仿宋"/>
          <w:kern w:val="2"/>
          <w:szCs w:val="20"/>
          <w:highlight w:val="none"/>
          <w:lang w:val="en-US" w:eastAsia="zh-CN"/>
        </w:rPr>
        <w:t>服务</w:t>
      </w:r>
      <w:r>
        <w:rPr>
          <w:rFonts w:hint="eastAsia" w:ascii="仿宋" w:hAnsi="仿宋" w:eastAsia="仿宋" w:cs="仿宋"/>
          <w:kern w:val="2"/>
          <w:szCs w:val="20"/>
          <w:highlight w:val="none"/>
        </w:rPr>
        <w:t>内容和要求</w:t>
      </w:r>
    </w:p>
    <w:bookmarkEnd w:id="298"/>
    <w:p w14:paraId="4E360F6B">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1、服务内容：</w:t>
      </w:r>
    </w:p>
    <w:p w14:paraId="53490F9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1）核心服务</w:t>
      </w:r>
    </w:p>
    <w:p w14:paraId="56C46B47">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城市更新项目服务内容：搜集各局委及办事处关于城市更新需求、新华区现有存量资产情况、城市体检结果、市城市更新实施方案等现状资料；对照国家及省级关于城市更新的中的重点工作方向进行梳理及分类；与各局委、办事处进一步对接，开展走访及调研；形成《新华区城市更新工作实施方案》，同时提供城市更新类项目谋划和指导。</w:t>
      </w:r>
    </w:p>
    <w:p w14:paraId="0E63EB6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2）成果文件要求</w:t>
      </w:r>
    </w:p>
    <w:p w14:paraId="218CA7E9">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实施方案（含附图）、实施项目清单；</w:t>
      </w:r>
    </w:p>
    <w:p w14:paraId="7D3CB03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2、服务期限：</w:t>
      </w:r>
      <w:r>
        <w:rPr>
          <w:rFonts w:hint="eastAsia" w:ascii="仿宋" w:hAnsi="仿宋" w:eastAsia="仿宋" w:cs="仿宋"/>
          <w:sz w:val="24"/>
          <w:highlight w:val="none"/>
          <w:u w:val="none"/>
          <w:lang w:val="en-US" w:eastAsia="zh-CN"/>
        </w:rPr>
        <w:t>两年</w:t>
      </w:r>
      <w:r>
        <w:rPr>
          <w:rFonts w:hint="eastAsia" w:ascii="仿宋" w:hAnsi="仿宋" w:eastAsia="仿宋" w:cs="仿宋"/>
          <w:sz w:val="24"/>
          <w:szCs w:val="24"/>
          <w:highlight w:val="none"/>
          <w:lang w:val="en-US" w:eastAsia="zh-CN"/>
        </w:rPr>
        <w:t>。</w:t>
      </w:r>
    </w:p>
    <w:p w14:paraId="5607A0D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3、服务要求：符合国家、地区及行业的有关政策、法规及规范要求。</w:t>
      </w:r>
    </w:p>
    <w:p w14:paraId="125BA8B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715A9A3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p>
    <w:p w14:paraId="189D63B5">
      <w:pPr>
        <w:pStyle w:val="2"/>
        <w:numPr>
          <w:ilvl w:val="0"/>
          <w:numId w:val="2"/>
        </w:numPr>
        <w:spacing w:before="120" w:after="120" w:line="240" w:lineRule="auto"/>
        <w:rPr>
          <w:rFonts w:ascii="仿宋" w:hAnsi="仿宋" w:eastAsia="仿宋" w:cs="仿宋"/>
          <w:kern w:val="2"/>
          <w:szCs w:val="20"/>
        </w:rPr>
      </w:pPr>
      <w:bookmarkStart w:id="299" w:name="_Toc26845"/>
      <w:bookmarkStart w:id="300" w:name="_Toc19209_WPSOffice_Level1"/>
      <w:bookmarkStart w:id="301" w:name="_Toc41326541"/>
      <w:r>
        <w:rPr>
          <w:rFonts w:hint="eastAsia" w:ascii="仿宋" w:hAnsi="仿宋" w:eastAsia="仿宋" w:cs="仿宋"/>
          <w:kern w:val="2"/>
          <w:szCs w:val="20"/>
          <w:highlight w:val="none"/>
        </w:rPr>
        <w:t>、响应文件格式</w:t>
      </w:r>
      <w:bookmarkEnd w:id="299"/>
      <w:bookmarkEnd w:id="300"/>
      <w:bookmarkEnd w:id="301"/>
    </w:p>
    <w:p w14:paraId="6906DBFC">
      <w:pPr>
        <w:rPr>
          <w:rFonts w:ascii="仿宋" w:hAnsi="仿宋" w:eastAsia="仿宋"/>
        </w:rPr>
      </w:pPr>
    </w:p>
    <w:p w14:paraId="47324C75">
      <w:pPr>
        <w:pStyle w:val="14"/>
        <w:spacing w:before="312" w:beforeLines="100" w:after="312" w:afterLines="100" w:line="600" w:lineRule="exact"/>
        <w:jc w:val="center"/>
        <w:rPr>
          <w:rFonts w:ascii="仿宋" w:hAnsi="仿宋" w:eastAsia="仿宋"/>
          <w:b/>
          <w:sz w:val="44"/>
          <w:szCs w:val="44"/>
        </w:rPr>
      </w:pPr>
      <w:r>
        <w:rPr>
          <w:rFonts w:hint="eastAsia" w:ascii="仿宋" w:hAnsi="仿宋" w:eastAsia="仿宋"/>
          <w:b/>
          <w:sz w:val="44"/>
          <w:szCs w:val="44"/>
          <w:u w:val="single"/>
        </w:rPr>
        <w:t xml:space="preserve">        </w:t>
      </w:r>
      <w:r>
        <w:rPr>
          <w:rFonts w:ascii="仿宋" w:hAnsi="仿宋" w:eastAsia="仿宋"/>
          <w:b/>
          <w:sz w:val="44"/>
          <w:szCs w:val="44"/>
          <w:u w:val="single"/>
        </w:rPr>
        <w:t xml:space="preserve">                  </w:t>
      </w:r>
      <w:r>
        <w:rPr>
          <w:rFonts w:hint="eastAsia" w:ascii="仿宋" w:hAnsi="仿宋" w:eastAsia="仿宋"/>
          <w:b/>
          <w:sz w:val="44"/>
          <w:szCs w:val="44"/>
          <w:u w:val="single"/>
        </w:rPr>
        <w:t xml:space="preserve">        </w:t>
      </w:r>
      <w:r>
        <w:rPr>
          <w:rFonts w:hint="eastAsia" w:ascii="仿宋" w:hAnsi="仿宋" w:eastAsia="仿宋"/>
          <w:b/>
          <w:sz w:val="44"/>
          <w:szCs w:val="44"/>
        </w:rPr>
        <w:t>项目</w:t>
      </w:r>
    </w:p>
    <w:p w14:paraId="6FABEC48">
      <w:pPr>
        <w:pStyle w:val="14"/>
        <w:spacing w:before="312" w:beforeLines="100" w:after="312" w:afterLines="100" w:line="600" w:lineRule="exact"/>
        <w:jc w:val="center"/>
        <w:rPr>
          <w:rFonts w:ascii="仿宋" w:hAnsi="仿宋" w:eastAsia="仿宋"/>
          <w:b/>
          <w:bCs/>
          <w:u w:val="single"/>
        </w:rPr>
      </w:pPr>
    </w:p>
    <w:p w14:paraId="319486CF">
      <w:pPr>
        <w:pStyle w:val="14"/>
        <w:spacing w:before="312" w:beforeLines="100" w:after="312" w:afterLines="100" w:line="600" w:lineRule="exact"/>
        <w:jc w:val="center"/>
        <w:rPr>
          <w:rFonts w:ascii="仿宋" w:hAnsi="仿宋" w:eastAsia="仿宋"/>
          <w:b/>
          <w:bCs/>
          <w:u w:val="single"/>
        </w:rPr>
      </w:pPr>
    </w:p>
    <w:p w14:paraId="2A048865">
      <w:pPr>
        <w:pStyle w:val="14"/>
        <w:spacing w:before="312" w:beforeLines="100" w:after="312" w:afterLines="100"/>
        <w:jc w:val="center"/>
        <w:rPr>
          <w:rFonts w:ascii="仿宋" w:hAnsi="仿宋" w:eastAsia="仿宋"/>
          <w:b/>
          <w:bCs/>
          <w:sz w:val="72"/>
          <w:szCs w:val="72"/>
        </w:rPr>
      </w:pPr>
      <w:r>
        <w:rPr>
          <w:rFonts w:hint="eastAsia" w:ascii="仿宋" w:hAnsi="仿宋" w:eastAsia="仿宋"/>
          <w:b/>
          <w:bCs/>
          <w:sz w:val="72"/>
          <w:szCs w:val="72"/>
        </w:rPr>
        <w:t>响应文件</w:t>
      </w:r>
    </w:p>
    <w:p w14:paraId="0AF15254">
      <w:pPr>
        <w:pStyle w:val="14"/>
        <w:spacing w:before="312" w:beforeLines="100" w:after="312" w:afterLines="100" w:line="600" w:lineRule="exact"/>
        <w:ind w:left="2836" w:leftChars="1349" w:hanging="3"/>
        <w:jc w:val="left"/>
        <w:rPr>
          <w:rFonts w:ascii="仿宋" w:hAnsi="仿宋" w:eastAsia="仿宋"/>
          <w:bCs/>
          <w:sz w:val="32"/>
          <w:szCs w:val="32"/>
        </w:rPr>
      </w:pPr>
      <w:r>
        <w:rPr>
          <w:rFonts w:hint="eastAsia" w:ascii="仿宋" w:hAnsi="仿宋" w:eastAsia="仿宋"/>
          <w:bCs/>
          <w:sz w:val="32"/>
          <w:szCs w:val="32"/>
        </w:rPr>
        <w:t>项目编号：</w:t>
      </w:r>
      <w:r>
        <w:rPr>
          <w:rFonts w:hint="eastAsia" w:ascii="仿宋" w:hAnsi="仿宋" w:eastAsia="仿宋"/>
          <w:bCs/>
          <w:sz w:val="36"/>
          <w:szCs w:val="36"/>
          <w:u w:val="single"/>
        </w:rPr>
        <w:t xml:space="preserve"> </w:t>
      </w:r>
      <w:r>
        <w:rPr>
          <w:rFonts w:ascii="仿宋" w:hAnsi="仿宋" w:eastAsia="仿宋"/>
          <w:bCs/>
          <w:sz w:val="36"/>
          <w:szCs w:val="36"/>
          <w:u w:val="single"/>
        </w:rPr>
        <w:t xml:space="preserve">              </w:t>
      </w:r>
      <w:r>
        <w:rPr>
          <w:rFonts w:ascii="仿宋" w:hAnsi="仿宋" w:eastAsia="仿宋"/>
          <w:bCs/>
          <w:sz w:val="36"/>
          <w:szCs w:val="36"/>
        </w:rPr>
        <w:t xml:space="preserve">  </w:t>
      </w:r>
    </w:p>
    <w:p w14:paraId="66F00681">
      <w:pPr>
        <w:pStyle w:val="14"/>
        <w:spacing w:before="312" w:beforeLines="100" w:after="312" w:afterLines="100" w:line="600" w:lineRule="exact"/>
        <w:jc w:val="center"/>
        <w:rPr>
          <w:rFonts w:ascii="仿宋" w:hAnsi="仿宋" w:eastAsia="仿宋"/>
          <w:bCs/>
          <w:sz w:val="36"/>
          <w:szCs w:val="36"/>
        </w:rPr>
      </w:pPr>
    </w:p>
    <w:p w14:paraId="2136603A">
      <w:pPr>
        <w:pStyle w:val="14"/>
        <w:spacing w:before="312" w:beforeLines="100" w:after="312" w:afterLines="100" w:line="600" w:lineRule="exact"/>
        <w:jc w:val="center"/>
        <w:rPr>
          <w:rFonts w:ascii="仿宋" w:hAnsi="仿宋" w:eastAsia="仿宋"/>
          <w:bCs/>
          <w:sz w:val="36"/>
          <w:szCs w:val="36"/>
        </w:rPr>
      </w:pPr>
    </w:p>
    <w:p w14:paraId="3E1650FC">
      <w:pPr>
        <w:pStyle w:val="14"/>
        <w:spacing w:before="312" w:beforeLines="100" w:after="312" w:afterLines="100" w:line="600" w:lineRule="exact"/>
        <w:jc w:val="center"/>
        <w:rPr>
          <w:rFonts w:ascii="仿宋" w:hAnsi="仿宋" w:eastAsia="仿宋"/>
          <w:bCs/>
          <w:sz w:val="36"/>
          <w:szCs w:val="36"/>
        </w:rPr>
      </w:pPr>
    </w:p>
    <w:p w14:paraId="792DAB0F">
      <w:pPr>
        <w:pStyle w:val="14"/>
        <w:spacing w:before="312" w:beforeLines="100" w:after="312" w:afterLines="100" w:line="600" w:lineRule="exact"/>
        <w:jc w:val="center"/>
        <w:rPr>
          <w:rFonts w:ascii="仿宋" w:hAnsi="仿宋" w:eastAsia="仿宋"/>
          <w:bCs/>
          <w:sz w:val="36"/>
          <w:szCs w:val="36"/>
        </w:rPr>
      </w:pPr>
    </w:p>
    <w:p w14:paraId="680864A5">
      <w:pPr>
        <w:pStyle w:val="14"/>
        <w:spacing w:before="312" w:beforeLines="100" w:after="312" w:afterLines="100" w:line="600" w:lineRule="exact"/>
        <w:ind w:firstLine="425" w:firstLineChars="141"/>
        <w:jc w:val="center"/>
        <w:rPr>
          <w:rFonts w:ascii="仿宋" w:hAnsi="仿宋" w:eastAsia="仿宋"/>
          <w:b/>
          <w:bCs/>
          <w:sz w:val="30"/>
          <w:szCs w:val="30"/>
          <w:u w:val="single"/>
        </w:rPr>
      </w:pPr>
      <w:r>
        <w:rPr>
          <w:rFonts w:hint="eastAsia" w:ascii="仿宋" w:hAnsi="仿宋" w:eastAsia="仿宋"/>
          <w:b/>
          <w:bCs/>
          <w:sz w:val="30"/>
          <w:szCs w:val="30"/>
        </w:rPr>
        <w:t>供  应  商：</w:t>
      </w:r>
      <w:r>
        <w:rPr>
          <w:rFonts w:hint="eastAsia" w:ascii="仿宋" w:hAnsi="仿宋" w:eastAsia="仿宋"/>
          <w:b/>
          <w:bCs/>
          <w:sz w:val="30"/>
          <w:szCs w:val="30"/>
          <w:u w:val="single"/>
        </w:rPr>
        <w:t xml:space="preserve">      </w:t>
      </w:r>
      <w:r>
        <w:rPr>
          <w:rFonts w:ascii="仿宋" w:hAnsi="仿宋" w:eastAsia="仿宋"/>
          <w:b/>
          <w:bCs/>
          <w:sz w:val="30"/>
          <w:szCs w:val="30"/>
          <w:u w:val="single"/>
        </w:rPr>
        <w:t xml:space="preserve">    </w:t>
      </w:r>
      <w:r>
        <w:rPr>
          <w:rFonts w:hint="eastAsia" w:ascii="仿宋" w:hAnsi="仿宋" w:eastAsia="仿宋"/>
          <w:b/>
          <w:bCs/>
          <w:sz w:val="30"/>
          <w:szCs w:val="30"/>
          <w:u w:val="single"/>
        </w:rPr>
        <w:t xml:space="preserve">               </w:t>
      </w:r>
      <w:r>
        <w:rPr>
          <w:rFonts w:hint="eastAsia" w:ascii="仿宋" w:hAnsi="仿宋" w:eastAsia="仿宋"/>
          <w:b/>
          <w:bCs/>
          <w:sz w:val="30"/>
          <w:szCs w:val="30"/>
        </w:rPr>
        <w:t>（</w:t>
      </w:r>
      <w:r>
        <w:rPr>
          <w:rFonts w:hint="eastAsia" w:ascii="仿宋" w:hAnsi="仿宋" w:eastAsia="仿宋"/>
          <w:sz w:val="30"/>
          <w:szCs w:val="30"/>
        </w:rPr>
        <w:t>电子签章</w:t>
      </w:r>
      <w:r>
        <w:rPr>
          <w:rFonts w:hint="eastAsia" w:ascii="仿宋" w:hAnsi="仿宋" w:eastAsia="仿宋"/>
          <w:b/>
          <w:bCs/>
          <w:sz w:val="30"/>
          <w:szCs w:val="30"/>
        </w:rPr>
        <w:t>）</w:t>
      </w:r>
    </w:p>
    <w:p w14:paraId="2509F412">
      <w:pPr>
        <w:pStyle w:val="14"/>
        <w:spacing w:before="312" w:beforeLines="100" w:after="312" w:afterLines="100" w:line="600" w:lineRule="exact"/>
        <w:ind w:firstLine="897" w:firstLineChars="298"/>
        <w:jc w:val="center"/>
        <w:rPr>
          <w:rFonts w:ascii="仿宋" w:hAnsi="仿宋" w:eastAsia="仿宋"/>
          <w:b/>
          <w:bCs/>
          <w:sz w:val="30"/>
          <w:szCs w:val="30"/>
        </w:rPr>
      </w:pPr>
      <w:r>
        <w:rPr>
          <w:rFonts w:hint="eastAsia" w:ascii="仿宋" w:hAnsi="仿宋" w:eastAsia="仿宋"/>
          <w:b/>
          <w:bCs/>
          <w:sz w:val="30"/>
          <w:szCs w:val="30"/>
        </w:rPr>
        <w:t>法定代表人或其委托代理人：</w:t>
      </w:r>
      <w:r>
        <w:rPr>
          <w:rFonts w:hint="eastAsia" w:ascii="仿宋" w:hAnsi="仿宋" w:eastAsia="仿宋"/>
          <w:b/>
          <w:bCs/>
          <w:sz w:val="30"/>
          <w:szCs w:val="30"/>
          <w:u w:val="single"/>
        </w:rPr>
        <w:t xml:space="preserve">       </w:t>
      </w:r>
      <w:r>
        <w:rPr>
          <w:rFonts w:ascii="仿宋" w:hAnsi="仿宋" w:eastAsia="仿宋"/>
          <w:b/>
          <w:bCs/>
          <w:sz w:val="30"/>
          <w:szCs w:val="30"/>
          <w:u w:val="single"/>
        </w:rPr>
        <w:t xml:space="preserve">     </w:t>
      </w:r>
      <w:r>
        <w:rPr>
          <w:rFonts w:hint="eastAsia" w:ascii="仿宋" w:hAnsi="仿宋" w:eastAsia="仿宋"/>
          <w:b/>
          <w:bCs/>
          <w:sz w:val="30"/>
          <w:szCs w:val="30"/>
          <w:u w:val="single"/>
        </w:rPr>
        <w:t xml:space="preserve">   </w:t>
      </w:r>
      <w:r>
        <w:rPr>
          <w:rFonts w:hint="eastAsia" w:ascii="仿宋" w:hAnsi="仿宋" w:eastAsia="仿宋"/>
          <w:b/>
          <w:bCs/>
          <w:sz w:val="30"/>
          <w:szCs w:val="30"/>
        </w:rPr>
        <w:t>（</w:t>
      </w:r>
      <w:r>
        <w:rPr>
          <w:rFonts w:hint="eastAsia" w:ascii="仿宋" w:hAnsi="仿宋" w:eastAsia="仿宋"/>
          <w:sz w:val="30"/>
          <w:szCs w:val="30"/>
        </w:rPr>
        <w:t>电子签章</w:t>
      </w:r>
      <w:r>
        <w:rPr>
          <w:rFonts w:hint="eastAsia" w:ascii="仿宋" w:hAnsi="仿宋" w:eastAsia="仿宋"/>
          <w:b/>
          <w:bCs/>
          <w:sz w:val="30"/>
          <w:szCs w:val="30"/>
        </w:rPr>
        <w:t>）</w:t>
      </w:r>
    </w:p>
    <w:p w14:paraId="09E5201F">
      <w:pPr>
        <w:pStyle w:val="12"/>
        <w:spacing w:line="500" w:lineRule="exact"/>
        <w:ind w:left="0" w:leftChars="0" w:firstLine="753" w:firstLineChars="250"/>
        <w:jc w:val="center"/>
        <w:rPr>
          <w:rFonts w:ascii="仿宋" w:hAnsi="仿宋" w:eastAsia="仿宋"/>
          <w:b/>
          <w:bCs/>
          <w:sz w:val="30"/>
          <w:szCs w:val="30"/>
        </w:rPr>
      </w:pPr>
      <w:r>
        <w:rPr>
          <w:rFonts w:hint="eastAsia" w:ascii="仿宋" w:hAnsi="仿宋" w:eastAsia="仿宋"/>
          <w:b/>
          <w:bCs/>
          <w:sz w:val="30"/>
          <w:szCs w:val="30"/>
        </w:rPr>
        <w:t>日      期：</w:t>
      </w:r>
      <w:r>
        <w:rPr>
          <w:rFonts w:hint="eastAsia" w:ascii="仿宋" w:hAnsi="仿宋" w:eastAsia="仿宋"/>
          <w:b/>
          <w:bCs/>
          <w:sz w:val="30"/>
          <w:szCs w:val="30"/>
          <w:u w:val="single"/>
        </w:rPr>
        <w:t xml:space="preserve">       </w:t>
      </w:r>
      <w:r>
        <w:rPr>
          <w:rFonts w:hint="eastAsia" w:ascii="仿宋" w:hAnsi="仿宋" w:eastAsia="仿宋"/>
          <w:b/>
          <w:bCs/>
          <w:sz w:val="30"/>
          <w:szCs w:val="30"/>
        </w:rPr>
        <w:t>年</w:t>
      </w:r>
      <w:r>
        <w:rPr>
          <w:rFonts w:hint="eastAsia" w:ascii="仿宋" w:hAnsi="仿宋" w:eastAsia="仿宋"/>
          <w:b/>
          <w:bCs/>
          <w:sz w:val="30"/>
          <w:szCs w:val="30"/>
          <w:u w:val="single"/>
        </w:rPr>
        <w:t xml:space="preserve">       </w:t>
      </w:r>
      <w:r>
        <w:rPr>
          <w:rFonts w:hint="eastAsia" w:ascii="仿宋" w:hAnsi="仿宋" w:eastAsia="仿宋"/>
          <w:b/>
          <w:bCs/>
          <w:sz w:val="30"/>
          <w:szCs w:val="30"/>
        </w:rPr>
        <w:t>月</w:t>
      </w:r>
      <w:r>
        <w:rPr>
          <w:rFonts w:hint="eastAsia" w:ascii="仿宋" w:hAnsi="仿宋" w:eastAsia="仿宋"/>
          <w:b/>
          <w:bCs/>
          <w:sz w:val="30"/>
          <w:szCs w:val="30"/>
          <w:u w:val="single"/>
        </w:rPr>
        <w:t xml:space="preserve">       </w:t>
      </w:r>
      <w:r>
        <w:rPr>
          <w:rFonts w:hint="eastAsia" w:ascii="仿宋" w:hAnsi="仿宋" w:eastAsia="仿宋"/>
          <w:b/>
          <w:bCs/>
          <w:sz w:val="30"/>
          <w:szCs w:val="30"/>
        </w:rPr>
        <w:t>日</w:t>
      </w:r>
    </w:p>
    <w:p w14:paraId="360E06FA">
      <w:pPr>
        <w:pStyle w:val="12"/>
        <w:spacing w:line="500" w:lineRule="exact"/>
        <w:ind w:left="99" w:leftChars="0" w:firstLine="452" w:firstLineChars="150"/>
        <w:rPr>
          <w:rFonts w:ascii="仿宋" w:hAnsi="仿宋" w:eastAsia="仿宋"/>
          <w:b/>
          <w:bCs/>
          <w:sz w:val="30"/>
          <w:szCs w:val="30"/>
        </w:rPr>
      </w:pPr>
    </w:p>
    <w:p w14:paraId="532E63C2">
      <w:pPr>
        <w:pStyle w:val="3"/>
        <w:numPr>
          <w:ilvl w:val="0"/>
          <w:numId w:val="3"/>
        </w:numPr>
        <w:spacing w:line="416" w:lineRule="auto"/>
        <w:jc w:val="center"/>
        <w:rPr>
          <w:rFonts w:ascii="仿宋" w:hAnsi="仿宋" w:eastAsia="仿宋"/>
          <w:sz w:val="30"/>
          <w:szCs w:val="30"/>
        </w:rPr>
      </w:pPr>
      <w:bookmarkStart w:id="302" w:name="_Toc516932680"/>
      <w:r>
        <w:rPr>
          <w:rFonts w:ascii="仿宋" w:hAnsi="仿宋" w:eastAsia="仿宋"/>
          <w:sz w:val="30"/>
          <w:szCs w:val="30"/>
        </w:rPr>
        <w:br w:type="page"/>
      </w:r>
      <w:bookmarkEnd w:id="302"/>
      <w:bookmarkStart w:id="303" w:name="_Hlk137492346"/>
      <w:r>
        <w:rPr>
          <w:rFonts w:hint="eastAsia" w:ascii="仿宋" w:hAnsi="仿宋" w:eastAsia="仿宋"/>
          <w:sz w:val="30"/>
          <w:szCs w:val="30"/>
        </w:rPr>
        <w:t>投标函</w:t>
      </w:r>
    </w:p>
    <w:p w14:paraId="35B5F97F">
      <w:pPr>
        <w:spacing w:line="400" w:lineRule="exact"/>
        <w:rPr>
          <w:rFonts w:ascii="仿宋" w:hAnsi="仿宋" w:eastAsia="仿宋"/>
          <w:szCs w:val="21"/>
        </w:rPr>
      </w:pPr>
      <w:r>
        <w:rPr>
          <w:rFonts w:hint="eastAsia" w:ascii="仿宋" w:hAnsi="仿宋" w:eastAsia="仿宋"/>
          <w:szCs w:val="21"/>
        </w:rPr>
        <w:t>致：（</w:t>
      </w:r>
      <w:r>
        <w:rPr>
          <w:rFonts w:hint="eastAsia" w:ascii="仿宋" w:hAnsi="仿宋" w:eastAsia="仿宋"/>
          <w:szCs w:val="21"/>
          <w:u w:val="single"/>
        </w:rPr>
        <w:t>采购人名称</w:t>
      </w:r>
      <w:r>
        <w:rPr>
          <w:rFonts w:hint="eastAsia" w:ascii="仿宋" w:hAnsi="仿宋" w:eastAsia="仿宋"/>
          <w:szCs w:val="21"/>
        </w:rPr>
        <w:t>）</w:t>
      </w:r>
    </w:p>
    <w:p w14:paraId="213145D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仿宋" w:hAnsi="仿宋" w:eastAsia="仿宋"/>
          <w:szCs w:val="21"/>
        </w:rPr>
      </w:pPr>
      <w:r>
        <w:rPr>
          <w:rFonts w:hint="eastAsia" w:ascii="仿宋" w:hAnsi="仿宋" w:eastAsia="仿宋"/>
          <w:szCs w:val="21"/>
        </w:rPr>
        <w:t>根据贵方为</w:t>
      </w:r>
      <w:r>
        <w:rPr>
          <w:rFonts w:hint="eastAsia" w:ascii="仿宋" w:hAnsi="仿宋" w:eastAsia="仿宋"/>
          <w:szCs w:val="21"/>
          <w:u w:val="single"/>
        </w:rPr>
        <w:t>（项目名称）</w:t>
      </w:r>
      <w:r>
        <w:rPr>
          <w:rFonts w:hint="eastAsia" w:ascii="仿宋" w:hAnsi="仿宋" w:eastAsia="仿宋"/>
          <w:szCs w:val="21"/>
        </w:rPr>
        <w:t>的竞争性磋商文件,我方提交该项目的竞争性磋商响应文件，并对之负法律责任。</w:t>
      </w:r>
    </w:p>
    <w:p w14:paraId="7A50441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仿宋" w:hAnsi="仿宋" w:eastAsia="仿宋"/>
          <w:szCs w:val="21"/>
        </w:rPr>
      </w:pPr>
      <w:r>
        <w:rPr>
          <w:rFonts w:hint="eastAsia" w:ascii="仿宋" w:hAnsi="仿宋" w:eastAsia="仿宋"/>
          <w:szCs w:val="21"/>
        </w:rPr>
        <w:t>据此函，签字代表宣布同意如下：</w:t>
      </w:r>
    </w:p>
    <w:p w14:paraId="7451B033">
      <w:pPr>
        <w:pStyle w:val="1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after="0" w:line="360" w:lineRule="auto"/>
        <w:ind w:left="0" w:leftChars="0" w:firstLine="420" w:firstLineChars="200"/>
        <w:textAlignment w:val="auto"/>
        <w:rPr>
          <w:rFonts w:ascii="仿宋" w:hAnsi="仿宋" w:eastAsia="仿宋"/>
          <w:szCs w:val="21"/>
        </w:rPr>
      </w:pPr>
      <w:r>
        <w:rPr>
          <w:rFonts w:hint="eastAsia" w:ascii="仿宋" w:hAnsi="仿宋" w:eastAsia="仿宋"/>
          <w:szCs w:val="21"/>
          <w:lang w:val="en-US" w:eastAsia="zh-CN"/>
        </w:rPr>
        <w:t>1.</w:t>
      </w:r>
      <w:r>
        <w:rPr>
          <w:rFonts w:hint="eastAsia" w:ascii="仿宋" w:hAnsi="仿宋" w:eastAsia="仿宋"/>
          <w:szCs w:val="21"/>
        </w:rPr>
        <w:t>所附投标函附录中本项目</w:t>
      </w:r>
      <w:r>
        <w:rPr>
          <w:rFonts w:hint="eastAsia" w:ascii="仿宋" w:hAnsi="仿宋" w:eastAsia="仿宋"/>
          <w:szCs w:val="21"/>
          <w:lang w:val="en-US" w:eastAsia="zh-CN"/>
        </w:rPr>
        <w:t>首次</w:t>
      </w:r>
      <w:r>
        <w:rPr>
          <w:rFonts w:hint="eastAsia" w:ascii="仿宋" w:hAnsi="仿宋" w:eastAsia="仿宋"/>
          <w:szCs w:val="21"/>
        </w:rPr>
        <w:t>磋商报价为（大写）</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hint="eastAsia" w:ascii="仿宋" w:hAnsi="仿宋" w:eastAsia="仿宋"/>
          <w:szCs w:val="21"/>
        </w:rPr>
        <w:t>，（小写）</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hint="eastAsia" w:ascii="仿宋" w:hAnsi="仿宋" w:eastAsia="仿宋"/>
          <w:szCs w:val="21"/>
        </w:rPr>
        <w:t>元；服务期限：</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lang w:eastAsia="zh-CN"/>
        </w:rPr>
        <w:t>，</w:t>
      </w:r>
      <w:r>
        <w:rPr>
          <w:rFonts w:hint="eastAsia" w:ascii="仿宋" w:hAnsi="仿宋" w:eastAsia="仿宋"/>
          <w:szCs w:val="21"/>
          <w:u w:val="none"/>
          <w:lang w:val="en-US" w:eastAsia="zh-CN"/>
        </w:rPr>
        <w:t xml:space="preserve">服务质量达到： </w:t>
      </w:r>
      <w:r>
        <w:rPr>
          <w:rFonts w:hint="eastAsia" w:ascii="仿宋" w:hAnsi="仿宋" w:eastAsia="仿宋"/>
          <w:szCs w:val="21"/>
          <w:u w:val="single"/>
          <w:lang w:val="en-US" w:eastAsia="zh-CN"/>
        </w:rPr>
        <w:t xml:space="preserve">    </w:t>
      </w:r>
      <w:r>
        <w:rPr>
          <w:rFonts w:hint="eastAsia" w:ascii="仿宋" w:hAnsi="仿宋" w:eastAsia="仿宋"/>
          <w:szCs w:val="21"/>
        </w:rPr>
        <w:t>；我方承诺，该磋商报价包含为完成本项目所需的一切费用。</w:t>
      </w:r>
    </w:p>
    <w:p w14:paraId="7CE1800C">
      <w:pPr>
        <w:pStyle w:val="1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after="0" w:line="360" w:lineRule="auto"/>
        <w:ind w:left="0" w:leftChars="0" w:firstLine="420" w:firstLineChars="200"/>
        <w:jc w:val="left"/>
        <w:textAlignment w:val="auto"/>
        <w:rPr>
          <w:rFonts w:ascii="仿宋" w:hAnsi="仿宋" w:eastAsia="仿宋"/>
          <w:szCs w:val="21"/>
        </w:rPr>
      </w:pPr>
      <w:r>
        <w:rPr>
          <w:rFonts w:hint="eastAsia" w:ascii="仿宋" w:hAnsi="仿宋" w:eastAsia="仿宋"/>
          <w:szCs w:val="21"/>
          <w:lang w:val="en-US" w:eastAsia="zh-CN"/>
        </w:rPr>
        <w:t>2.</w:t>
      </w:r>
      <w:r>
        <w:rPr>
          <w:rFonts w:hint="eastAsia" w:ascii="仿宋" w:hAnsi="仿宋" w:eastAsia="仿宋"/>
          <w:szCs w:val="21"/>
        </w:rPr>
        <w:t>如我方中标，我方将按磋商文件的规定签订并严格履行合同中的责任和义务，在签订合同时不向你方提出附加条件，在合同约定的期限内完成合同规定的全部内容。</w:t>
      </w:r>
    </w:p>
    <w:p w14:paraId="71FA3F5F">
      <w:pPr>
        <w:pStyle w:val="13"/>
        <w:keepNext w:val="0"/>
        <w:keepLines w:val="0"/>
        <w:pageBreakBefore w:val="0"/>
        <w:widowControl w:val="0"/>
        <w:numPr>
          <w:ilvl w:val="0"/>
          <w:numId w:val="0"/>
        </w:numPr>
        <w:tabs>
          <w:tab w:val="left" w:pos="720"/>
        </w:tabs>
        <w:kinsoku/>
        <w:wordWrap/>
        <w:overflowPunct/>
        <w:topLinePunct w:val="0"/>
        <w:autoSpaceDE/>
        <w:autoSpaceDN/>
        <w:bidi w:val="0"/>
        <w:adjustRightInd w:val="0"/>
        <w:snapToGrid w:val="0"/>
        <w:spacing w:after="0" w:line="360" w:lineRule="auto"/>
        <w:ind w:left="0" w:leftChars="0" w:firstLine="420" w:firstLineChars="200"/>
        <w:textAlignment w:val="auto"/>
        <w:rPr>
          <w:rFonts w:ascii="仿宋" w:hAnsi="仿宋" w:eastAsia="仿宋"/>
          <w:szCs w:val="21"/>
        </w:rPr>
      </w:pPr>
      <w:r>
        <w:rPr>
          <w:rFonts w:hint="eastAsia" w:ascii="仿宋" w:hAnsi="仿宋" w:eastAsia="仿宋"/>
          <w:szCs w:val="21"/>
          <w:lang w:val="en-US" w:eastAsia="zh-CN"/>
        </w:rPr>
        <w:t>3.</w:t>
      </w:r>
      <w:r>
        <w:rPr>
          <w:rFonts w:hint="eastAsia" w:ascii="仿宋" w:hAnsi="仿宋" w:eastAsia="仿宋"/>
          <w:szCs w:val="21"/>
        </w:rPr>
        <w:t>我方已详细审查全部磋商文件，包括修改文件以及全部参考资料和有关附件。我们完全理解并同意放弃对这方面有不明及误解的权力。</w:t>
      </w:r>
    </w:p>
    <w:p w14:paraId="285E18D3">
      <w:pPr>
        <w:pStyle w:val="13"/>
        <w:keepNext w:val="0"/>
        <w:keepLines w:val="0"/>
        <w:pageBreakBefore w:val="0"/>
        <w:widowControl w:val="0"/>
        <w:numPr>
          <w:ilvl w:val="0"/>
          <w:numId w:val="0"/>
        </w:numPr>
        <w:tabs>
          <w:tab w:val="left" w:pos="720"/>
        </w:tabs>
        <w:kinsoku/>
        <w:wordWrap/>
        <w:overflowPunct/>
        <w:topLinePunct w:val="0"/>
        <w:autoSpaceDE/>
        <w:autoSpaceDN/>
        <w:bidi w:val="0"/>
        <w:adjustRightInd w:val="0"/>
        <w:snapToGrid w:val="0"/>
        <w:spacing w:after="0" w:line="360" w:lineRule="auto"/>
        <w:ind w:left="0" w:leftChars="0" w:firstLine="420" w:firstLineChars="200"/>
        <w:textAlignment w:val="auto"/>
        <w:rPr>
          <w:rFonts w:ascii="仿宋" w:hAnsi="仿宋" w:eastAsia="仿宋"/>
          <w:szCs w:val="21"/>
        </w:rPr>
      </w:pPr>
      <w:r>
        <w:rPr>
          <w:rFonts w:hint="eastAsia" w:ascii="仿宋" w:hAnsi="仿宋" w:eastAsia="仿宋"/>
          <w:szCs w:val="21"/>
          <w:lang w:val="en-US" w:eastAsia="zh-CN"/>
        </w:rPr>
        <w:t>4.投标有效期</w:t>
      </w:r>
      <w:r>
        <w:rPr>
          <w:rFonts w:hint="eastAsia" w:ascii="仿宋" w:hAnsi="仿宋" w:eastAsia="仿宋"/>
          <w:szCs w:val="21"/>
        </w:rPr>
        <w:t>为自</w:t>
      </w:r>
      <w:r>
        <w:rPr>
          <w:rFonts w:hint="eastAsia" w:ascii="仿宋" w:hAnsi="仿宋" w:eastAsia="仿宋"/>
          <w:szCs w:val="21"/>
          <w:lang w:eastAsia="zh-CN"/>
        </w:rPr>
        <w:t>响应截止</w:t>
      </w:r>
      <w:r>
        <w:rPr>
          <w:rFonts w:hint="eastAsia" w:ascii="仿宋" w:hAnsi="仿宋" w:eastAsia="仿宋"/>
          <w:szCs w:val="21"/>
        </w:rPr>
        <w:t>之日起60日历天。</w:t>
      </w:r>
    </w:p>
    <w:p w14:paraId="3CEB0D20">
      <w:pPr>
        <w:pStyle w:val="13"/>
        <w:keepNext w:val="0"/>
        <w:keepLines w:val="0"/>
        <w:pageBreakBefore w:val="0"/>
        <w:widowControl w:val="0"/>
        <w:numPr>
          <w:ilvl w:val="0"/>
          <w:numId w:val="0"/>
        </w:numPr>
        <w:tabs>
          <w:tab w:val="left" w:pos="720"/>
        </w:tabs>
        <w:kinsoku/>
        <w:wordWrap/>
        <w:overflowPunct/>
        <w:topLinePunct w:val="0"/>
        <w:autoSpaceDE/>
        <w:autoSpaceDN/>
        <w:bidi w:val="0"/>
        <w:adjustRightInd w:val="0"/>
        <w:snapToGrid w:val="0"/>
        <w:spacing w:after="0" w:line="360" w:lineRule="auto"/>
        <w:ind w:left="0" w:leftChars="0" w:firstLine="420" w:firstLineChars="200"/>
        <w:textAlignment w:val="auto"/>
        <w:rPr>
          <w:rFonts w:ascii="仿宋" w:hAnsi="仿宋" w:eastAsia="仿宋"/>
          <w:szCs w:val="21"/>
        </w:rPr>
      </w:pPr>
      <w:r>
        <w:rPr>
          <w:rFonts w:hint="eastAsia" w:ascii="仿宋" w:hAnsi="仿宋" w:eastAsia="仿宋"/>
          <w:szCs w:val="21"/>
          <w:lang w:val="en-US" w:eastAsia="zh-CN"/>
        </w:rPr>
        <w:t>5.</w:t>
      </w:r>
      <w:r>
        <w:rPr>
          <w:rFonts w:hint="eastAsia" w:ascii="仿宋" w:hAnsi="仿宋" w:eastAsia="仿宋"/>
          <w:szCs w:val="21"/>
        </w:rPr>
        <w:t>如我方</w:t>
      </w:r>
      <w:r>
        <w:rPr>
          <w:rFonts w:hint="eastAsia" w:ascii="仿宋" w:hAnsi="仿宋" w:eastAsia="仿宋"/>
          <w:szCs w:val="21"/>
          <w:lang w:val="en-US" w:eastAsia="zh-CN"/>
        </w:rPr>
        <w:t>成交</w:t>
      </w:r>
      <w:r>
        <w:rPr>
          <w:rFonts w:hint="eastAsia" w:ascii="仿宋" w:hAnsi="仿宋" w:eastAsia="仿宋"/>
          <w:szCs w:val="21"/>
        </w:rPr>
        <w:t>，我方保证按磋商文件规定支付招标代理服务费。</w:t>
      </w:r>
    </w:p>
    <w:p w14:paraId="2063607D">
      <w:pPr>
        <w:pStyle w:val="13"/>
        <w:keepNext w:val="0"/>
        <w:keepLines w:val="0"/>
        <w:pageBreakBefore w:val="0"/>
        <w:widowControl w:val="0"/>
        <w:numPr>
          <w:ilvl w:val="0"/>
          <w:numId w:val="0"/>
        </w:numPr>
        <w:tabs>
          <w:tab w:val="left" w:pos="720"/>
        </w:tabs>
        <w:kinsoku/>
        <w:wordWrap/>
        <w:overflowPunct/>
        <w:topLinePunct w:val="0"/>
        <w:autoSpaceDE/>
        <w:autoSpaceDN/>
        <w:bidi w:val="0"/>
        <w:adjustRightInd w:val="0"/>
        <w:snapToGrid w:val="0"/>
        <w:spacing w:after="0" w:line="360" w:lineRule="auto"/>
        <w:ind w:left="0" w:leftChars="0" w:firstLine="420" w:firstLineChars="200"/>
        <w:textAlignment w:val="auto"/>
        <w:rPr>
          <w:rFonts w:ascii="仿宋" w:hAnsi="仿宋" w:eastAsia="仿宋"/>
          <w:szCs w:val="21"/>
        </w:rPr>
      </w:pPr>
      <w:r>
        <w:rPr>
          <w:rFonts w:hint="eastAsia" w:ascii="仿宋" w:hAnsi="仿宋" w:eastAsia="仿宋"/>
          <w:szCs w:val="21"/>
          <w:lang w:val="en-US" w:eastAsia="zh-CN"/>
        </w:rPr>
        <w:t>6.</w:t>
      </w:r>
      <w:r>
        <w:rPr>
          <w:rFonts w:hint="eastAsia" w:ascii="仿宋" w:hAnsi="仿宋" w:eastAsia="仿宋"/>
          <w:szCs w:val="21"/>
        </w:rPr>
        <w:t>我方同意提供按照贵方可能要求的与其投标有关的一切数据或资料，完全理解贵方不一定接受最低价的投标或收到的任何投标。</w:t>
      </w:r>
    </w:p>
    <w:p w14:paraId="1F79696A">
      <w:pPr>
        <w:pStyle w:val="13"/>
        <w:tabs>
          <w:tab w:val="left" w:pos="720"/>
        </w:tabs>
        <w:spacing w:after="0" w:line="360" w:lineRule="auto"/>
        <w:rPr>
          <w:rFonts w:ascii="仿宋" w:hAnsi="仿宋" w:eastAsia="仿宋"/>
          <w:szCs w:val="21"/>
        </w:rPr>
      </w:pPr>
    </w:p>
    <w:p w14:paraId="0FCDBE5C">
      <w:pPr>
        <w:adjustRightInd w:val="0"/>
        <w:spacing w:line="360" w:lineRule="auto"/>
        <w:rPr>
          <w:rFonts w:ascii="仿宋" w:hAnsi="仿宋" w:eastAsia="仿宋"/>
          <w:szCs w:val="21"/>
        </w:rPr>
      </w:pPr>
      <w:r>
        <w:rPr>
          <w:rFonts w:hint="eastAsia" w:ascii="仿宋" w:hAnsi="仿宋" w:eastAsia="仿宋"/>
          <w:szCs w:val="21"/>
        </w:rPr>
        <w:t>供应商名称（</w:t>
      </w:r>
      <w:r>
        <w:rPr>
          <w:rFonts w:ascii="仿宋" w:hAnsi="仿宋" w:eastAsia="仿宋"/>
        </w:rPr>
        <w:t>电子签章</w:t>
      </w:r>
      <w:r>
        <w:rPr>
          <w:rFonts w:hint="eastAsia" w:ascii="仿宋" w:hAnsi="仿宋" w:eastAsia="仿宋"/>
          <w:szCs w:val="21"/>
        </w:rPr>
        <w:t>）：</w:t>
      </w:r>
      <w:r>
        <w:rPr>
          <w:rFonts w:hint="eastAsia" w:ascii="仿宋" w:hAnsi="仿宋" w:eastAsia="仿宋"/>
          <w:szCs w:val="21"/>
          <w:u w:val="single"/>
        </w:rPr>
        <w:t xml:space="preserve">        </w:t>
      </w:r>
    </w:p>
    <w:p w14:paraId="630C8166">
      <w:pPr>
        <w:adjustRightInd w:val="0"/>
        <w:spacing w:line="360" w:lineRule="auto"/>
        <w:rPr>
          <w:rFonts w:ascii="仿宋" w:hAnsi="仿宋" w:eastAsia="仿宋"/>
          <w:szCs w:val="21"/>
        </w:rPr>
      </w:pPr>
      <w:r>
        <w:rPr>
          <w:rFonts w:hint="eastAsia" w:ascii="仿宋" w:hAnsi="仿宋" w:eastAsia="仿宋"/>
          <w:szCs w:val="21"/>
        </w:rPr>
        <w:t>法定代表人（电子签章）：</w:t>
      </w:r>
      <w:r>
        <w:rPr>
          <w:rFonts w:hint="eastAsia" w:ascii="仿宋" w:hAnsi="仿宋" w:eastAsia="仿宋"/>
          <w:szCs w:val="21"/>
          <w:u w:val="single"/>
        </w:rPr>
        <w:t xml:space="preserve">        </w:t>
      </w:r>
    </w:p>
    <w:p w14:paraId="71CD05CF">
      <w:pPr>
        <w:adjustRightInd w:val="0"/>
        <w:spacing w:line="360" w:lineRule="auto"/>
        <w:rPr>
          <w:rFonts w:ascii="仿宋" w:hAnsi="仿宋" w:eastAsia="仿宋"/>
          <w:szCs w:val="21"/>
        </w:rPr>
      </w:pPr>
      <w:r>
        <w:rPr>
          <w:rFonts w:hint="eastAsia" w:ascii="仿宋" w:hAnsi="仿宋" w:eastAsia="仿宋"/>
          <w:szCs w:val="21"/>
        </w:rPr>
        <w:t>日期:</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bookmarkStart w:id="304" w:name="_Toc312133598"/>
    </w:p>
    <w:bookmarkEnd w:id="303"/>
    <w:p w14:paraId="6164DBA5">
      <w:pPr>
        <w:pStyle w:val="61"/>
        <w:ind w:firstLine="200"/>
        <w:rPr>
          <w:rFonts w:ascii="仿宋" w:hAnsi="仿宋" w:eastAsia="仿宋"/>
        </w:rPr>
      </w:pPr>
    </w:p>
    <w:p w14:paraId="754B361C">
      <w:pPr>
        <w:pStyle w:val="61"/>
        <w:ind w:firstLine="200"/>
        <w:rPr>
          <w:rFonts w:ascii="仿宋" w:hAnsi="仿宋" w:eastAsia="仿宋"/>
        </w:rPr>
      </w:pPr>
    </w:p>
    <w:p w14:paraId="6167C2F6">
      <w:pPr>
        <w:pStyle w:val="61"/>
        <w:ind w:firstLine="200"/>
        <w:rPr>
          <w:rFonts w:ascii="仿宋" w:hAnsi="仿宋" w:eastAsia="仿宋"/>
        </w:rPr>
      </w:pPr>
    </w:p>
    <w:bookmarkEnd w:id="304"/>
    <w:p w14:paraId="64AF3BB2">
      <w:pPr>
        <w:pStyle w:val="3"/>
        <w:numPr>
          <w:ilvl w:val="0"/>
          <w:numId w:val="3"/>
        </w:numPr>
        <w:spacing w:line="416" w:lineRule="auto"/>
        <w:jc w:val="center"/>
        <w:rPr>
          <w:rFonts w:ascii="仿宋" w:hAnsi="仿宋" w:eastAsia="仿宋"/>
          <w:sz w:val="30"/>
          <w:szCs w:val="30"/>
        </w:rPr>
      </w:pPr>
      <w:bookmarkStart w:id="305" w:name="_Hlk81830954"/>
      <w:bookmarkStart w:id="306" w:name="_Hlk107391665"/>
      <w:r>
        <w:rPr>
          <w:rFonts w:ascii="仿宋" w:hAnsi="仿宋" w:eastAsia="仿宋"/>
          <w:sz w:val="30"/>
          <w:szCs w:val="30"/>
        </w:rPr>
        <w:br w:type="page"/>
      </w:r>
      <w:r>
        <w:rPr>
          <w:rFonts w:hint="eastAsia" w:ascii="仿宋" w:hAnsi="仿宋" w:eastAsia="仿宋"/>
          <w:sz w:val="30"/>
          <w:szCs w:val="30"/>
          <w:lang w:val="en-US" w:eastAsia="zh-CN"/>
        </w:rPr>
        <w:t>投标</w:t>
      </w:r>
      <w:r>
        <w:rPr>
          <w:rFonts w:hint="eastAsia" w:ascii="仿宋" w:hAnsi="仿宋" w:eastAsia="仿宋"/>
          <w:sz w:val="30"/>
          <w:szCs w:val="30"/>
        </w:rPr>
        <w:t>函附录</w:t>
      </w:r>
    </w:p>
    <w:tbl>
      <w:tblPr>
        <w:tblStyle w:val="27"/>
        <w:tblW w:w="8973" w:type="dxa"/>
        <w:tblInd w:w="15" w:type="dxa"/>
        <w:tblLayout w:type="fixed"/>
        <w:tblCellMar>
          <w:top w:w="0" w:type="dxa"/>
          <w:left w:w="0" w:type="dxa"/>
          <w:bottom w:w="0" w:type="dxa"/>
          <w:right w:w="0" w:type="dxa"/>
        </w:tblCellMar>
      </w:tblPr>
      <w:tblGrid>
        <w:gridCol w:w="8973"/>
      </w:tblGrid>
      <w:tr w14:paraId="41937D60">
        <w:trPr>
          <w:trHeight w:val="540" w:hRule="atLeast"/>
        </w:trPr>
        <w:tc>
          <w:tcPr>
            <w:tcW w:w="8973" w:type="dxa"/>
            <w:tcBorders>
              <w:top w:val="nil"/>
              <w:left w:val="nil"/>
              <w:bottom w:val="nil"/>
              <w:right w:val="nil"/>
            </w:tcBorders>
            <w:tcMar>
              <w:top w:w="15" w:type="dxa"/>
              <w:left w:w="15" w:type="dxa"/>
              <w:bottom w:w="0" w:type="dxa"/>
              <w:right w:w="15" w:type="dxa"/>
            </w:tcMar>
            <w:vAlign w:val="bottom"/>
          </w:tcPr>
          <w:tbl>
            <w:tblPr>
              <w:tblStyle w:val="27"/>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9"/>
              <w:gridCol w:w="7100"/>
            </w:tblGrid>
            <w:tr w14:paraId="293D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699" w:type="dxa"/>
                  <w:vAlign w:val="center"/>
                </w:tcPr>
                <w:p w14:paraId="48C3392E">
                  <w:pPr>
                    <w:spacing w:line="360" w:lineRule="auto"/>
                    <w:jc w:val="center"/>
                    <w:rPr>
                      <w:rFonts w:ascii="仿宋" w:hAnsi="仿宋" w:eastAsia="仿宋"/>
                      <w:szCs w:val="21"/>
                    </w:rPr>
                  </w:pPr>
                  <w:bookmarkStart w:id="307" w:name="_Hlk137493702"/>
                  <w:r>
                    <w:rPr>
                      <w:rFonts w:hint="eastAsia" w:ascii="仿宋" w:hAnsi="仿宋" w:eastAsia="仿宋"/>
                      <w:szCs w:val="21"/>
                    </w:rPr>
                    <w:t>项目名称</w:t>
                  </w:r>
                </w:p>
              </w:tc>
              <w:tc>
                <w:tcPr>
                  <w:tcW w:w="7100" w:type="dxa"/>
                  <w:vAlign w:val="center"/>
                </w:tcPr>
                <w:p w14:paraId="04757607">
                  <w:pPr>
                    <w:spacing w:line="360" w:lineRule="auto"/>
                    <w:rPr>
                      <w:rFonts w:ascii="仿宋" w:hAnsi="仿宋" w:eastAsia="仿宋"/>
                      <w:szCs w:val="21"/>
                    </w:rPr>
                  </w:pPr>
                </w:p>
              </w:tc>
            </w:tr>
            <w:tr w14:paraId="5091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1699" w:type="dxa"/>
                  <w:vAlign w:val="center"/>
                </w:tcPr>
                <w:p w14:paraId="3AA205F9">
                  <w:pPr>
                    <w:spacing w:line="360" w:lineRule="auto"/>
                    <w:jc w:val="center"/>
                    <w:rPr>
                      <w:rFonts w:ascii="仿宋" w:hAnsi="仿宋" w:eastAsia="仿宋"/>
                      <w:szCs w:val="21"/>
                    </w:rPr>
                  </w:pPr>
                  <w:r>
                    <w:rPr>
                      <w:rFonts w:hint="eastAsia" w:ascii="仿宋" w:hAnsi="仿宋" w:eastAsia="仿宋"/>
                      <w:szCs w:val="21"/>
                    </w:rPr>
                    <w:t>供应商名称</w:t>
                  </w:r>
                </w:p>
              </w:tc>
              <w:tc>
                <w:tcPr>
                  <w:tcW w:w="7100" w:type="dxa"/>
                  <w:vAlign w:val="center"/>
                </w:tcPr>
                <w:p w14:paraId="74CBFC0B">
                  <w:pPr>
                    <w:spacing w:line="360" w:lineRule="auto"/>
                    <w:ind w:firstLine="315" w:firstLineChars="150"/>
                    <w:rPr>
                      <w:rFonts w:ascii="仿宋" w:hAnsi="仿宋" w:eastAsia="仿宋"/>
                      <w:szCs w:val="21"/>
                    </w:rPr>
                  </w:pPr>
                </w:p>
              </w:tc>
            </w:tr>
            <w:tr w14:paraId="7EC0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699" w:type="dxa"/>
                  <w:vMerge w:val="restart"/>
                  <w:vAlign w:val="center"/>
                </w:tcPr>
                <w:p w14:paraId="6AF81A73">
                  <w:pPr>
                    <w:spacing w:line="360" w:lineRule="auto"/>
                    <w:ind w:left="315" w:hanging="315" w:hangingChars="150"/>
                    <w:rPr>
                      <w:rFonts w:ascii="仿宋" w:hAnsi="仿宋" w:eastAsia="仿宋"/>
                      <w:szCs w:val="21"/>
                    </w:rPr>
                  </w:pPr>
                  <w:r>
                    <w:rPr>
                      <w:rFonts w:hint="eastAsia" w:ascii="仿宋" w:hAnsi="仿宋" w:eastAsia="仿宋"/>
                      <w:szCs w:val="21"/>
                      <w:lang w:val="en-US" w:eastAsia="zh-CN"/>
                    </w:rPr>
                    <w:t>首次</w:t>
                  </w:r>
                  <w:r>
                    <w:rPr>
                      <w:rFonts w:hint="eastAsia" w:ascii="仿宋" w:hAnsi="仿宋" w:eastAsia="仿宋"/>
                      <w:szCs w:val="21"/>
                    </w:rPr>
                    <w:t>报价（元）</w:t>
                  </w:r>
                </w:p>
              </w:tc>
              <w:tc>
                <w:tcPr>
                  <w:tcW w:w="7100" w:type="dxa"/>
                  <w:vAlign w:val="center"/>
                </w:tcPr>
                <w:p w14:paraId="4B1BA61D">
                  <w:pPr>
                    <w:spacing w:line="360" w:lineRule="auto"/>
                    <w:ind w:firstLine="315" w:firstLineChars="150"/>
                    <w:rPr>
                      <w:rFonts w:ascii="仿宋" w:hAnsi="仿宋" w:eastAsia="仿宋"/>
                      <w:szCs w:val="21"/>
                      <w:u w:val="single"/>
                    </w:rPr>
                  </w:pPr>
                  <w:r>
                    <w:rPr>
                      <w:rFonts w:hint="eastAsia" w:ascii="仿宋" w:hAnsi="仿宋" w:eastAsia="仿宋"/>
                      <w:szCs w:val="21"/>
                    </w:rPr>
                    <w:t xml:space="preserve">大写：人民币 </w:t>
                  </w:r>
                  <w:r>
                    <w:rPr>
                      <w:rFonts w:hint="eastAsia" w:ascii="仿宋" w:hAnsi="仿宋" w:eastAsia="仿宋"/>
                      <w:szCs w:val="21"/>
                      <w:u w:val="single"/>
                    </w:rPr>
                    <w:t xml:space="preserve">                    </w:t>
                  </w:r>
                </w:p>
              </w:tc>
            </w:tr>
            <w:tr w14:paraId="2873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699" w:type="dxa"/>
                  <w:vMerge w:val="continue"/>
                  <w:vAlign w:val="center"/>
                </w:tcPr>
                <w:p w14:paraId="386BC72C">
                  <w:pPr>
                    <w:spacing w:line="360" w:lineRule="auto"/>
                    <w:jc w:val="center"/>
                    <w:rPr>
                      <w:rFonts w:ascii="仿宋" w:hAnsi="仿宋" w:eastAsia="仿宋"/>
                      <w:szCs w:val="21"/>
                    </w:rPr>
                  </w:pPr>
                </w:p>
              </w:tc>
              <w:tc>
                <w:tcPr>
                  <w:tcW w:w="7100" w:type="dxa"/>
                  <w:vAlign w:val="center"/>
                </w:tcPr>
                <w:p w14:paraId="19C4A825">
                  <w:pPr>
                    <w:spacing w:line="360" w:lineRule="auto"/>
                    <w:ind w:firstLine="315" w:firstLineChars="150"/>
                    <w:rPr>
                      <w:rFonts w:ascii="仿宋" w:hAnsi="仿宋" w:eastAsia="仿宋"/>
                      <w:szCs w:val="21"/>
                    </w:rPr>
                  </w:pPr>
                  <w:r>
                    <w:rPr>
                      <w:rFonts w:hint="eastAsia" w:ascii="仿宋" w:hAnsi="仿宋" w:eastAsia="仿宋"/>
                      <w:szCs w:val="21"/>
                    </w:rPr>
                    <w:t xml:space="preserve">小写：人民币 </w:t>
                  </w:r>
                  <w:r>
                    <w:rPr>
                      <w:rFonts w:hint="eastAsia" w:ascii="仿宋" w:hAnsi="仿宋" w:eastAsia="仿宋"/>
                      <w:szCs w:val="21"/>
                      <w:u w:val="single"/>
                    </w:rPr>
                    <w:t xml:space="preserve">                    </w:t>
                  </w:r>
                  <w:r>
                    <w:rPr>
                      <w:rFonts w:hint="eastAsia" w:ascii="仿宋" w:hAnsi="仿宋" w:eastAsia="仿宋"/>
                      <w:szCs w:val="21"/>
                    </w:rPr>
                    <w:t xml:space="preserve"> </w:t>
                  </w:r>
                </w:p>
              </w:tc>
            </w:tr>
            <w:tr w14:paraId="78632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699" w:type="dxa"/>
                  <w:vAlign w:val="center"/>
                </w:tcPr>
                <w:p w14:paraId="6D376BB7">
                  <w:pPr>
                    <w:spacing w:line="360" w:lineRule="auto"/>
                    <w:jc w:val="center"/>
                    <w:rPr>
                      <w:rFonts w:hint="eastAsia" w:ascii="仿宋" w:hAnsi="仿宋" w:eastAsia="仿宋"/>
                      <w:szCs w:val="21"/>
                      <w:lang w:eastAsia="zh-CN"/>
                    </w:rPr>
                  </w:pPr>
                  <w:r>
                    <w:rPr>
                      <w:rFonts w:hint="eastAsia" w:ascii="仿宋" w:hAnsi="仿宋" w:eastAsia="仿宋"/>
                      <w:szCs w:val="21"/>
                      <w:lang w:val="en-US" w:eastAsia="zh-CN"/>
                    </w:rPr>
                    <w:t>服务要求</w:t>
                  </w:r>
                </w:p>
              </w:tc>
              <w:tc>
                <w:tcPr>
                  <w:tcW w:w="7100" w:type="dxa"/>
                  <w:vAlign w:val="center"/>
                </w:tcPr>
                <w:p w14:paraId="022C4BC3">
                  <w:pPr>
                    <w:spacing w:line="360" w:lineRule="auto"/>
                    <w:ind w:firstLine="420" w:firstLineChars="200"/>
                    <w:rPr>
                      <w:rFonts w:ascii="仿宋" w:hAnsi="仿宋" w:eastAsia="仿宋"/>
                      <w:szCs w:val="21"/>
                    </w:rPr>
                  </w:pPr>
                </w:p>
              </w:tc>
            </w:tr>
            <w:tr w14:paraId="7867B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699" w:type="dxa"/>
                  <w:vAlign w:val="center"/>
                </w:tcPr>
                <w:p w14:paraId="0F53962C">
                  <w:pPr>
                    <w:spacing w:line="360" w:lineRule="auto"/>
                    <w:jc w:val="center"/>
                    <w:rPr>
                      <w:rFonts w:ascii="仿宋" w:hAnsi="仿宋" w:eastAsia="仿宋"/>
                      <w:szCs w:val="21"/>
                    </w:rPr>
                  </w:pPr>
                  <w:r>
                    <w:rPr>
                      <w:rFonts w:hint="eastAsia" w:ascii="仿宋" w:hAnsi="仿宋" w:eastAsia="仿宋"/>
                      <w:szCs w:val="21"/>
                    </w:rPr>
                    <w:t>服务期限</w:t>
                  </w:r>
                </w:p>
              </w:tc>
              <w:tc>
                <w:tcPr>
                  <w:tcW w:w="7100" w:type="dxa"/>
                  <w:vAlign w:val="center"/>
                </w:tcPr>
                <w:p w14:paraId="14B4D54D">
                  <w:pPr>
                    <w:spacing w:line="360" w:lineRule="auto"/>
                    <w:rPr>
                      <w:rFonts w:ascii="仿宋" w:hAnsi="仿宋" w:eastAsia="仿宋"/>
                      <w:szCs w:val="21"/>
                    </w:rPr>
                  </w:pPr>
                </w:p>
              </w:tc>
            </w:tr>
            <w:tr w14:paraId="5603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1699" w:type="dxa"/>
                  <w:vAlign w:val="center"/>
                </w:tcPr>
                <w:p w14:paraId="3D02333F">
                  <w:pPr>
                    <w:spacing w:line="360" w:lineRule="auto"/>
                    <w:jc w:val="center"/>
                    <w:rPr>
                      <w:rFonts w:hint="eastAsia" w:ascii="仿宋" w:hAnsi="仿宋" w:eastAsia="仿宋"/>
                      <w:szCs w:val="21"/>
                      <w:lang w:eastAsia="zh-CN"/>
                    </w:rPr>
                  </w:pPr>
                  <w:r>
                    <w:rPr>
                      <w:rFonts w:hint="eastAsia" w:ascii="仿宋" w:hAnsi="仿宋" w:eastAsia="仿宋"/>
                      <w:szCs w:val="21"/>
                    </w:rPr>
                    <w:t>其他</w:t>
                  </w:r>
                  <w:r>
                    <w:rPr>
                      <w:rFonts w:hint="eastAsia" w:ascii="仿宋" w:hAnsi="仿宋" w:eastAsia="仿宋"/>
                      <w:szCs w:val="21"/>
                      <w:lang w:val="en-US" w:eastAsia="zh-CN"/>
                    </w:rPr>
                    <w:t>说明</w:t>
                  </w:r>
                </w:p>
              </w:tc>
              <w:tc>
                <w:tcPr>
                  <w:tcW w:w="7100" w:type="dxa"/>
                  <w:vAlign w:val="center"/>
                </w:tcPr>
                <w:p w14:paraId="1874DB05">
                  <w:pPr>
                    <w:spacing w:line="360" w:lineRule="auto"/>
                    <w:rPr>
                      <w:rFonts w:ascii="仿宋" w:hAnsi="仿宋" w:eastAsia="仿宋"/>
                      <w:szCs w:val="21"/>
                    </w:rPr>
                  </w:pPr>
                </w:p>
              </w:tc>
            </w:tr>
          </w:tbl>
          <w:p w14:paraId="4E44D45B">
            <w:pPr>
              <w:spacing w:line="360" w:lineRule="auto"/>
              <w:rPr>
                <w:rFonts w:ascii="仿宋" w:hAnsi="仿宋" w:eastAsia="仿宋"/>
                <w:szCs w:val="21"/>
              </w:rPr>
            </w:pPr>
          </w:p>
        </w:tc>
      </w:tr>
    </w:tbl>
    <w:p w14:paraId="523DAF4E">
      <w:pPr>
        <w:autoSpaceDE w:val="0"/>
        <w:autoSpaceDN w:val="0"/>
        <w:spacing w:before="12"/>
        <w:jc w:val="left"/>
        <w:rPr>
          <w:rFonts w:ascii="仿宋" w:hAnsi="仿宋" w:eastAsia="仿宋" w:cs="宋体"/>
          <w:b/>
          <w:kern w:val="0"/>
          <w:szCs w:val="21"/>
          <w:lang w:val="zh-CN" w:bidi="zh-CN"/>
        </w:rPr>
      </w:pPr>
      <w:r>
        <w:rPr>
          <w:rFonts w:hint="eastAsia" w:ascii="仿宋" w:hAnsi="仿宋" w:eastAsia="仿宋" w:cs="宋体"/>
          <w:b/>
          <w:bCs/>
          <w:color w:val="000000"/>
          <w:szCs w:val="21"/>
        </w:rPr>
        <w:t>注：本表所填的报价为供应商第一次报价，供应商的最后一次磋商报价为成交价。</w:t>
      </w:r>
    </w:p>
    <w:p w14:paraId="237B1E9A">
      <w:pPr>
        <w:pStyle w:val="61"/>
        <w:ind w:firstLine="200"/>
        <w:rPr>
          <w:rFonts w:ascii="仿宋" w:hAnsi="仿宋" w:eastAsia="仿宋"/>
        </w:rPr>
      </w:pPr>
    </w:p>
    <w:bookmarkEnd w:id="305"/>
    <w:p w14:paraId="4551B690">
      <w:pPr>
        <w:adjustRightInd w:val="0"/>
        <w:spacing w:line="360" w:lineRule="auto"/>
        <w:rPr>
          <w:rFonts w:ascii="仿宋" w:hAnsi="仿宋" w:eastAsia="仿宋"/>
          <w:szCs w:val="21"/>
        </w:rPr>
      </w:pPr>
      <w:bookmarkStart w:id="308" w:name="_Hlk81831412"/>
    </w:p>
    <w:p w14:paraId="6AD58A20">
      <w:pPr>
        <w:adjustRightInd w:val="0"/>
        <w:spacing w:line="360" w:lineRule="auto"/>
        <w:rPr>
          <w:rFonts w:ascii="仿宋" w:hAnsi="仿宋" w:eastAsia="仿宋"/>
          <w:szCs w:val="21"/>
        </w:rPr>
      </w:pPr>
    </w:p>
    <w:p w14:paraId="4657E91F">
      <w:pPr>
        <w:adjustRightInd w:val="0"/>
        <w:spacing w:line="360" w:lineRule="auto"/>
        <w:rPr>
          <w:rFonts w:ascii="仿宋" w:hAnsi="仿宋" w:eastAsia="仿宋"/>
          <w:szCs w:val="21"/>
        </w:rPr>
      </w:pPr>
      <w:r>
        <w:rPr>
          <w:rFonts w:hint="eastAsia" w:ascii="仿宋" w:hAnsi="仿宋" w:eastAsia="仿宋"/>
          <w:szCs w:val="21"/>
        </w:rPr>
        <w:t>供应商名称（</w:t>
      </w:r>
      <w:r>
        <w:rPr>
          <w:rFonts w:ascii="仿宋" w:hAnsi="仿宋" w:eastAsia="仿宋"/>
        </w:rPr>
        <w:t>电子签章</w:t>
      </w:r>
      <w:r>
        <w:rPr>
          <w:rFonts w:hint="eastAsia" w:ascii="仿宋" w:hAnsi="仿宋" w:eastAsia="仿宋"/>
          <w:szCs w:val="21"/>
        </w:rPr>
        <w:t>）：</w:t>
      </w:r>
      <w:r>
        <w:rPr>
          <w:rFonts w:hint="eastAsia" w:ascii="仿宋" w:hAnsi="仿宋" w:eastAsia="仿宋"/>
          <w:szCs w:val="21"/>
          <w:u w:val="single"/>
        </w:rPr>
        <w:t xml:space="preserve">        </w:t>
      </w:r>
    </w:p>
    <w:p w14:paraId="16775DD0">
      <w:pPr>
        <w:adjustRightInd w:val="0"/>
        <w:spacing w:line="360" w:lineRule="auto"/>
        <w:rPr>
          <w:rFonts w:ascii="仿宋" w:hAnsi="仿宋" w:eastAsia="仿宋"/>
          <w:szCs w:val="21"/>
        </w:rPr>
      </w:pPr>
      <w:r>
        <w:rPr>
          <w:rFonts w:hint="eastAsia" w:ascii="仿宋" w:hAnsi="仿宋" w:eastAsia="仿宋"/>
          <w:szCs w:val="21"/>
        </w:rPr>
        <w:t>法定代表人或其委托代理人（电子签章）：</w:t>
      </w:r>
      <w:r>
        <w:rPr>
          <w:rFonts w:hint="eastAsia" w:ascii="仿宋" w:hAnsi="仿宋" w:eastAsia="仿宋"/>
          <w:szCs w:val="21"/>
          <w:u w:val="single"/>
        </w:rPr>
        <w:t xml:space="preserve">        </w:t>
      </w:r>
    </w:p>
    <w:bookmarkEnd w:id="306"/>
    <w:bookmarkEnd w:id="307"/>
    <w:bookmarkEnd w:id="308"/>
    <w:p w14:paraId="7A0FE235">
      <w:pPr>
        <w:adjustRightInd w:val="0"/>
        <w:spacing w:line="360" w:lineRule="auto"/>
        <w:rPr>
          <w:rFonts w:ascii="仿宋" w:hAnsi="仿宋" w:eastAsia="仿宋"/>
          <w:szCs w:val="21"/>
        </w:rPr>
      </w:pPr>
      <w:r>
        <w:rPr>
          <w:rFonts w:hint="eastAsia" w:ascii="仿宋" w:hAnsi="仿宋" w:eastAsia="仿宋"/>
          <w:szCs w:val="21"/>
        </w:rPr>
        <w:t>日期:</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65D27046">
      <w:pPr>
        <w:rPr>
          <w:rFonts w:ascii="仿宋" w:hAnsi="仿宋" w:eastAsia="仿宋"/>
          <w:szCs w:val="21"/>
        </w:rPr>
      </w:pPr>
    </w:p>
    <w:p w14:paraId="22009AD7">
      <w:pPr>
        <w:jc w:val="center"/>
        <w:rPr>
          <w:rFonts w:ascii="仿宋" w:hAnsi="仿宋" w:eastAsia="仿宋"/>
        </w:rPr>
      </w:pPr>
      <w:r>
        <w:rPr>
          <w:rFonts w:ascii="仿宋" w:hAnsi="仿宋" w:eastAsia="仿宋"/>
          <w:b/>
          <w:bCs/>
          <w:color w:val="FF0000"/>
          <w:sz w:val="29"/>
          <w:szCs w:val="29"/>
        </w:rPr>
        <w:br w:type="page"/>
      </w:r>
    </w:p>
    <w:p w14:paraId="0C40FB42">
      <w:pPr>
        <w:pStyle w:val="61"/>
        <w:ind w:firstLine="200"/>
        <w:rPr>
          <w:rFonts w:ascii="仿宋" w:hAnsi="仿宋" w:eastAsia="仿宋"/>
        </w:rPr>
      </w:pPr>
    </w:p>
    <w:p w14:paraId="33F3BB97">
      <w:pPr>
        <w:pStyle w:val="3"/>
        <w:numPr>
          <w:ilvl w:val="0"/>
          <w:numId w:val="3"/>
        </w:numPr>
        <w:spacing w:line="416" w:lineRule="auto"/>
        <w:jc w:val="center"/>
        <w:rPr>
          <w:rFonts w:ascii="仿宋" w:hAnsi="仿宋" w:eastAsia="仿宋"/>
          <w:sz w:val="30"/>
          <w:szCs w:val="30"/>
        </w:rPr>
      </w:pPr>
      <w:bookmarkStart w:id="309" w:name="_Toc516932674"/>
      <w:r>
        <w:rPr>
          <w:rFonts w:hint="eastAsia" w:ascii="仿宋" w:hAnsi="仿宋" w:eastAsia="仿宋"/>
          <w:sz w:val="30"/>
          <w:szCs w:val="30"/>
        </w:rPr>
        <w:t>法定代表人身份证明</w:t>
      </w:r>
      <w:bookmarkEnd w:id="309"/>
    </w:p>
    <w:p w14:paraId="28705491">
      <w:pPr>
        <w:spacing w:line="500" w:lineRule="exact"/>
        <w:rPr>
          <w:rFonts w:ascii="仿宋" w:hAnsi="仿宋" w:eastAsia="仿宋"/>
          <w:szCs w:val="21"/>
        </w:rPr>
      </w:pPr>
      <w:bookmarkStart w:id="310" w:name="_Hlk81830984"/>
      <w:bookmarkStart w:id="311" w:name="_Hlk137493725"/>
      <w:r>
        <w:rPr>
          <w:rFonts w:hint="eastAsia" w:ascii="仿宋" w:hAnsi="仿宋" w:eastAsia="仿宋"/>
          <w:szCs w:val="21"/>
        </w:rPr>
        <w:t>供 应 商：</w:t>
      </w:r>
      <w:r>
        <w:rPr>
          <w:rFonts w:hint="eastAsia" w:ascii="仿宋" w:hAnsi="仿宋" w:eastAsia="仿宋"/>
          <w:szCs w:val="21"/>
          <w:u w:val="single"/>
        </w:rPr>
        <w:t xml:space="preserve">                                                        </w:t>
      </w:r>
    </w:p>
    <w:p w14:paraId="786907CD">
      <w:pPr>
        <w:spacing w:line="500" w:lineRule="exact"/>
        <w:rPr>
          <w:rFonts w:ascii="仿宋" w:hAnsi="仿宋" w:eastAsia="仿宋"/>
          <w:szCs w:val="21"/>
        </w:rPr>
      </w:pPr>
      <w:r>
        <w:rPr>
          <w:rFonts w:hint="eastAsia" w:ascii="仿宋" w:hAnsi="仿宋" w:eastAsia="仿宋"/>
          <w:szCs w:val="21"/>
        </w:rPr>
        <w:t>单位性质：</w:t>
      </w:r>
      <w:r>
        <w:rPr>
          <w:rFonts w:hint="eastAsia" w:ascii="仿宋" w:hAnsi="仿宋" w:eastAsia="仿宋"/>
          <w:szCs w:val="21"/>
          <w:u w:val="single"/>
        </w:rPr>
        <w:t xml:space="preserve">                                                        </w:t>
      </w:r>
    </w:p>
    <w:p w14:paraId="705D4E76">
      <w:pPr>
        <w:spacing w:line="500" w:lineRule="exact"/>
        <w:rPr>
          <w:rFonts w:ascii="仿宋" w:hAnsi="仿宋" w:eastAsia="仿宋"/>
          <w:szCs w:val="21"/>
        </w:rPr>
      </w:pPr>
      <w:r>
        <w:rPr>
          <w:rFonts w:hint="eastAsia" w:ascii="仿宋" w:hAnsi="仿宋" w:eastAsia="仿宋"/>
          <w:szCs w:val="21"/>
        </w:rPr>
        <w:t>地    址：</w:t>
      </w:r>
      <w:r>
        <w:rPr>
          <w:rFonts w:hint="eastAsia" w:ascii="仿宋" w:hAnsi="仿宋" w:eastAsia="仿宋"/>
          <w:szCs w:val="21"/>
          <w:u w:val="single"/>
        </w:rPr>
        <w:t xml:space="preserve">                                                        </w:t>
      </w:r>
    </w:p>
    <w:p w14:paraId="469802F9">
      <w:pPr>
        <w:spacing w:line="500" w:lineRule="exact"/>
        <w:rPr>
          <w:rFonts w:ascii="仿宋" w:hAnsi="仿宋" w:eastAsia="仿宋"/>
          <w:szCs w:val="21"/>
        </w:rPr>
      </w:pPr>
      <w:r>
        <w:rPr>
          <w:rFonts w:hint="eastAsia" w:ascii="仿宋" w:hAnsi="仿宋" w:eastAsia="仿宋"/>
          <w:szCs w:val="21"/>
        </w:rPr>
        <w:t>成立时间：</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50B6D8E8">
      <w:pPr>
        <w:spacing w:line="500" w:lineRule="exact"/>
        <w:rPr>
          <w:rFonts w:ascii="仿宋" w:hAnsi="仿宋" w:eastAsia="仿宋"/>
          <w:szCs w:val="21"/>
        </w:rPr>
      </w:pPr>
      <w:r>
        <w:rPr>
          <w:rFonts w:hint="eastAsia" w:ascii="仿宋" w:hAnsi="仿宋" w:eastAsia="仿宋"/>
          <w:szCs w:val="21"/>
        </w:rPr>
        <w:t>经营期限：</w:t>
      </w:r>
      <w:r>
        <w:rPr>
          <w:rFonts w:hint="eastAsia" w:ascii="仿宋" w:hAnsi="仿宋" w:eastAsia="仿宋"/>
          <w:szCs w:val="21"/>
          <w:u w:val="single"/>
        </w:rPr>
        <w:t xml:space="preserve">                                                        </w:t>
      </w:r>
    </w:p>
    <w:p w14:paraId="11AC1CF1">
      <w:pPr>
        <w:spacing w:line="500" w:lineRule="exact"/>
        <w:rPr>
          <w:rFonts w:ascii="仿宋" w:hAnsi="仿宋" w:eastAsia="仿宋"/>
          <w:szCs w:val="21"/>
        </w:rPr>
      </w:pPr>
      <w:r>
        <w:rPr>
          <w:rFonts w:hint="eastAsia" w:ascii="仿宋" w:hAnsi="仿宋" w:eastAsia="仿宋"/>
          <w:szCs w:val="21"/>
        </w:rPr>
        <w:t>姓    名：</w:t>
      </w:r>
      <w:r>
        <w:rPr>
          <w:rFonts w:hint="eastAsia" w:ascii="仿宋" w:hAnsi="仿宋" w:eastAsia="仿宋"/>
          <w:szCs w:val="21"/>
          <w:u w:val="single"/>
        </w:rPr>
        <w:t xml:space="preserve">                          </w:t>
      </w:r>
      <w:r>
        <w:rPr>
          <w:rFonts w:hint="eastAsia" w:ascii="仿宋" w:hAnsi="仿宋" w:eastAsia="仿宋"/>
          <w:szCs w:val="21"/>
        </w:rPr>
        <w:t>性        别：</w:t>
      </w:r>
      <w:r>
        <w:rPr>
          <w:rFonts w:hint="eastAsia" w:ascii="仿宋" w:hAnsi="仿宋" w:eastAsia="仿宋"/>
          <w:szCs w:val="21"/>
          <w:u w:val="single"/>
        </w:rPr>
        <w:t xml:space="preserve">                </w:t>
      </w:r>
    </w:p>
    <w:p w14:paraId="12DF092B">
      <w:pPr>
        <w:spacing w:line="500" w:lineRule="exact"/>
        <w:rPr>
          <w:rFonts w:ascii="仿宋" w:hAnsi="仿宋" w:eastAsia="仿宋"/>
          <w:szCs w:val="21"/>
        </w:rPr>
      </w:pPr>
      <w:r>
        <w:rPr>
          <w:rFonts w:hint="eastAsia" w:ascii="仿宋" w:hAnsi="仿宋" w:eastAsia="仿宋"/>
          <w:szCs w:val="21"/>
        </w:rPr>
        <w:t>年    龄：</w:t>
      </w:r>
      <w:r>
        <w:rPr>
          <w:rFonts w:hint="eastAsia" w:ascii="仿宋" w:hAnsi="仿宋" w:eastAsia="仿宋"/>
          <w:szCs w:val="21"/>
          <w:u w:val="single"/>
        </w:rPr>
        <w:t xml:space="preserve">                          </w:t>
      </w:r>
      <w:r>
        <w:rPr>
          <w:rFonts w:hint="eastAsia" w:ascii="仿宋" w:hAnsi="仿宋" w:eastAsia="仿宋"/>
          <w:szCs w:val="21"/>
        </w:rPr>
        <w:t>职        务：</w:t>
      </w:r>
      <w:r>
        <w:rPr>
          <w:rFonts w:hint="eastAsia" w:ascii="仿宋" w:hAnsi="仿宋" w:eastAsia="仿宋"/>
          <w:szCs w:val="21"/>
          <w:u w:val="single"/>
        </w:rPr>
        <w:t xml:space="preserve">                </w:t>
      </w:r>
    </w:p>
    <w:p w14:paraId="116F7244">
      <w:pPr>
        <w:spacing w:line="500" w:lineRule="exact"/>
        <w:rPr>
          <w:rFonts w:ascii="仿宋" w:hAnsi="仿宋" w:eastAsia="仿宋"/>
          <w:szCs w:val="21"/>
        </w:rPr>
      </w:pPr>
      <w:r>
        <w:rPr>
          <w:rFonts w:hint="eastAsia" w:ascii="仿宋" w:hAnsi="仿宋" w:eastAsia="仿宋"/>
          <w:szCs w:val="21"/>
        </w:rPr>
        <w:t>系</w:t>
      </w:r>
      <w:r>
        <w:rPr>
          <w:rFonts w:hint="eastAsia" w:ascii="仿宋" w:hAnsi="仿宋" w:eastAsia="仿宋"/>
          <w:szCs w:val="21"/>
          <w:u w:val="single"/>
        </w:rPr>
        <w:t xml:space="preserve">                                                 </w:t>
      </w:r>
      <w:r>
        <w:rPr>
          <w:rFonts w:hint="eastAsia" w:ascii="仿宋" w:hAnsi="仿宋" w:eastAsia="仿宋"/>
          <w:szCs w:val="21"/>
        </w:rPr>
        <w:t>（供应商名称）的法定代表人。</w:t>
      </w:r>
    </w:p>
    <w:p w14:paraId="7B7F64A7">
      <w:pPr>
        <w:spacing w:line="500" w:lineRule="exact"/>
        <w:rPr>
          <w:rFonts w:ascii="仿宋" w:hAnsi="仿宋" w:eastAsia="仿宋"/>
          <w:szCs w:val="21"/>
        </w:rPr>
      </w:pPr>
      <w:r>
        <w:rPr>
          <w:rFonts w:hint="eastAsia" w:ascii="仿宋" w:hAnsi="仿宋" w:eastAsia="仿宋"/>
          <w:szCs w:val="21"/>
        </w:rPr>
        <w:t>特此证明。</w:t>
      </w:r>
    </w:p>
    <w:p w14:paraId="61456595">
      <w:pPr>
        <w:spacing w:line="500" w:lineRule="exact"/>
        <w:rPr>
          <w:rFonts w:ascii="仿宋" w:hAnsi="仿宋" w:eastAsia="仿宋"/>
          <w:szCs w:val="21"/>
        </w:rPr>
      </w:pPr>
    </w:p>
    <w:p w14:paraId="3E56FC57">
      <w:pPr>
        <w:spacing w:line="500" w:lineRule="exact"/>
        <w:rPr>
          <w:rFonts w:ascii="仿宋" w:hAnsi="仿宋" w:eastAsia="仿宋"/>
          <w:szCs w:val="21"/>
        </w:rPr>
      </w:pPr>
    </w:p>
    <w:p w14:paraId="2A1B6F12">
      <w:pPr>
        <w:wordWrap w:val="0"/>
        <w:spacing w:line="480" w:lineRule="auto"/>
        <w:jc w:val="both"/>
        <w:rPr>
          <w:rFonts w:ascii="仿宋" w:hAnsi="仿宋" w:eastAsia="仿宋"/>
          <w:szCs w:val="21"/>
        </w:rPr>
      </w:pPr>
      <w:r>
        <w:rPr>
          <w:rFonts w:hint="eastAsia" w:ascii="仿宋" w:hAnsi="仿宋" w:eastAsia="仿宋"/>
          <w:szCs w:val="21"/>
        </w:rPr>
        <w:t>供应商：</w:t>
      </w:r>
      <w:r>
        <w:rPr>
          <w:rFonts w:hint="eastAsia" w:ascii="仿宋" w:hAnsi="仿宋" w:eastAsia="仿宋"/>
          <w:szCs w:val="21"/>
          <w:u w:val="single"/>
        </w:rPr>
        <w:t xml:space="preserve">                          </w:t>
      </w:r>
      <w:r>
        <w:rPr>
          <w:rFonts w:hint="eastAsia" w:ascii="仿宋" w:hAnsi="仿宋" w:eastAsia="仿宋"/>
          <w:szCs w:val="21"/>
        </w:rPr>
        <w:t>（</w:t>
      </w:r>
      <w:r>
        <w:rPr>
          <w:rFonts w:ascii="仿宋" w:hAnsi="仿宋" w:eastAsia="仿宋"/>
        </w:rPr>
        <w:t>电子签章</w:t>
      </w:r>
      <w:r>
        <w:rPr>
          <w:rFonts w:hint="eastAsia" w:ascii="仿宋" w:hAnsi="仿宋" w:eastAsia="仿宋"/>
          <w:szCs w:val="21"/>
        </w:rPr>
        <w:t>）</w:t>
      </w:r>
    </w:p>
    <w:bookmarkEnd w:id="310"/>
    <w:p w14:paraId="296C6915">
      <w:pPr>
        <w:adjustRightInd w:val="0"/>
        <w:spacing w:line="360" w:lineRule="auto"/>
        <w:rPr>
          <w:rFonts w:ascii="仿宋" w:hAnsi="仿宋" w:eastAsia="仿宋"/>
          <w:szCs w:val="21"/>
        </w:rPr>
      </w:pPr>
      <w:r>
        <w:rPr>
          <w:rFonts w:hint="eastAsia" w:ascii="仿宋" w:hAnsi="仿宋" w:eastAsia="仿宋"/>
          <w:szCs w:val="21"/>
        </w:rPr>
        <w:t>日期:</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3133B4E4">
      <w:pPr>
        <w:spacing w:line="480" w:lineRule="auto"/>
        <w:rPr>
          <w:rFonts w:ascii="仿宋" w:hAnsi="仿宋" w:eastAsia="仿宋"/>
          <w:szCs w:val="21"/>
        </w:rPr>
      </w:pPr>
    </w:p>
    <w:p w14:paraId="3A3FE7D0">
      <w:pPr>
        <w:spacing w:line="500" w:lineRule="exact"/>
        <w:rPr>
          <w:rFonts w:ascii="仿宋" w:hAnsi="仿宋" w:eastAsia="仿宋"/>
          <w:szCs w:val="21"/>
        </w:rPr>
      </w:pPr>
    </w:p>
    <w:p w14:paraId="40ACF3EC">
      <w:pPr>
        <w:pStyle w:val="61"/>
        <w:ind w:firstLine="200"/>
        <w:rPr>
          <w:rFonts w:ascii="仿宋" w:hAnsi="仿宋" w:eastAsia="仿宋"/>
        </w:rPr>
      </w:pPr>
    </w:p>
    <w:p w14:paraId="46168B03">
      <w:pPr>
        <w:pStyle w:val="61"/>
        <w:ind w:firstLine="200"/>
        <w:rPr>
          <w:rFonts w:ascii="仿宋" w:hAnsi="仿宋" w:eastAsia="仿宋"/>
        </w:rPr>
      </w:pPr>
    </w:p>
    <w:p w14:paraId="69DFC99B">
      <w:pPr>
        <w:spacing w:line="500" w:lineRule="exact"/>
        <w:rPr>
          <w:rFonts w:ascii="仿宋" w:hAnsi="仿宋" w:eastAsia="仿宋"/>
          <w:szCs w:val="21"/>
        </w:rPr>
      </w:pPr>
    </w:p>
    <w:p w14:paraId="49461F24">
      <w:pPr>
        <w:pStyle w:val="6"/>
        <w:ind w:firstLine="480"/>
        <w:rPr>
          <w:rFonts w:ascii="仿宋" w:hAnsi="仿宋" w:eastAsia="仿宋"/>
          <w:sz w:val="24"/>
          <w:szCs w:val="24"/>
        </w:rPr>
      </w:pPr>
    </w:p>
    <w:p w14:paraId="22258E22">
      <w:pPr>
        <w:pStyle w:val="6"/>
        <w:ind w:firstLine="480"/>
        <w:rPr>
          <w:rFonts w:ascii="仿宋" w:hAnsi="仿宋" w:eastAsia="仿宋"/>
          <w:sz w:val="24"/>
          <w:szCs w:val="24"/>
        </w:rPr>
      </w:pPr>
    </w:p>
    <w:bookmarkEnd w:id="311"/>
    <w:p w14:paraId="15CA70F7">
      <w:pPr>
        <w:pStyle w:val="3"/>
        <w:numPr>
          <w:ilvl w:val="0"/>
          <w:numId w:val="3"/>
        </w:numPr>
        <w:spacing w:line="416" w:lineRule="auto"/>
        <w:jc w:val="center"/>
        <w:rPr>
          <w:rFonts w:ascii="仿宋" w:hAnsi="仿宋" w:eastAsia="仿宋"/>
          <w:sz w:val="30"/>
          <w:szCs w:val="30"/>
        </w:rPr>
      </w:pPr>
      <w:bookmarkStart w:id="312" w:name="_Toc516932675"/>
      <w:r>
        <w:rPr>
          <w:rFonts w:ascii="仿宋" w:hAnsi="仿宋" w:eastAsia="仿宋"/>
          <w:b w:val="0"/>
          <w:bCs w:val="0"/>
          <w:sz w:val="24"/>
          <w:szCs w:val="24"/>
        </w:rPr>
        <w:br w:type="page"/>
      </w:r>
      <w:r>
        <w:rPr>
          <w:rFonts w:hint="eastAsia" w:ascii="仿宋" w:hAnsi="仿宋" w:eastAsia="仿宋"/>
          <w:sz w:val="30"/>
          <w:szCs w:val="30"/>
        </w:rPr>
        <w:t>法定代表人授权书</w:t>
      </w:r>
      <w:bookmarkEnd w:id="312"/>
    </w:p>
    <w:p w14:paraId="125C7991">
      <w:pPr>
        <w:spacing w:line="500" w:lineRule="exact"/>
        <w:ind w:firstLine="420" w:firstLineChars="200"/>
        <w:rPr>
          <w:rFonts w:ascii="仿宋" w:hAnsi="仿宋" w:eastAsia="仿宋"/>
          <w:szCs w:val="21"/>
        </w:rPr>
      </w:pPr>
      <w:bookmarkStart w:id="313" w:name="_Hlk81830997"/>
      <w:r>
        <w:rPr>
          <w:rFonts w:hint="eastAsia" w:ascii="仿宋" w:hAnsi="仿宋" w:eastAsia="仿宋"/>
          <w:szCs w:val="21"/>
        </w:rPr>
        <w:t xml:space="preserve">   </w:t>
      </w:r>
    </w:p>
    <w:p w14:paraId="00B06E3F">
      <w:pPr>
        <w:spacing w:line="500" w:lineRule="exact"/>
        <w:ind w:firstLine="420" w:firstLineChars="200"/>
        <w:rPr>
          <w:rFonts w:ascii="仿宋" w:hAnsi="仿宋" w:eastAsia="仿宋"/>
          <w:szCs w:val="21"/>
        </w:rPr>
      </w:pPr>
      <w:r>
        <w:rPr>
          <w:rFonts w:hint="eastAsia" w:ascii="仿宋" w:hAnsi="仿宋" w:eastAsia="仿宋"/>
          <w:szCs w:val="21"/>
        </w:rPr>
        <w:t>本人</w:t>
      </w:r>
      <w:r>
        <w:rPr>
          <w:rFonts w:hint="eastAsia" w:ascii="仿宋" w:hAnsi="仿宋" w:eastAsia="仿宋"/>
          <w:szCs w:val="21"/>
          <w:u w:val="single"/>
        </w:rPr>
        <w:t xml:space="preserve">  （法定代表人姓名）  </w:t>
      </w:r>
      <w:r>
        <w:rPr>
          <w:rFonts w:hint="eastAsia" w:ascii="仿宋" w:hAnsi="仿宋" w:eastAsia="仿宋"/>
          <w:szCs w:val="21"/>
        </w:rPr>
        <w:t>系</w:t>
      </w:r>
      <w:r>
        <w:rPr>
          <w:rFonts w:hint="eastAsia" w:ascii="仿宋" w:hAnsi="仿宋" w:eastAsia="仿宋"/>
          <w:szCs w:val="21"/>
          <w:u w:val="single"/>
        </w:rPr>
        <w:t xml:space="preserve">            （供应商名称）</w:t>
      </w:r>
      <w:r>
        <w:rPr>
          <w:rFonts w:hint="eastAsia" w:ascii="仿宋" w:hAnsi="仿宋" w:eastAsia="仿宋"/>
          <w:szCs w:val="21"/>
        </w:rPr>
        <w:t>的法定代表人，现委托</w:t>
      </w:r>
      <w:r>
        <w:rPr>
          <w:rFonts w:hint="eastAsia" w:ascii="仿宋" w:hAnsi="仿宋" w:eastAsia="仿宋"/>
          <w:szCs w:val="21"/>
          <w:u w:val="single"/>
        </w:rPr>
        <w:t xml:space="preserve">   （被授权人姓名</w:t>
      </w:r>
      <w:r>
        <w:rPr>
          <w:rFonts w:hint="eastAsia" w:ascii="仿宋" w:hAnsi="仿宋" w:eastAsia="仿宋"/>
          <w:szCs w:val="21"/>
          <w:u w:val="single"/>
          <w:lang w:eastAsia="zh-CN"/>
        </w:rPr>
        <w:t>、</w:t>
      </w:r>
      <w:r>
        <w:rPr>
          <w:rFonts w:hint="eastAsia" w:ascii="仿宋" w:hAnsi="仿宋" w:eastAsia="仿宋"/>
          <w:szCs w:val="21"/>
          <w:u w:val="single"/>
          <w:lang w:val="en-US" w:eastAsia="zh-CN"/>
        </w:rPr>
        <w:t>联系电话、邮箱</w:t>
      </w:r>
      <w:r>
        <w:rPr>
          <w:rFonts w:hint="eastAsia" w:ascii="仿宋" w:hAnsi="仿宋" w:eastAsia="仿宋"/>
          <w:szCs w:val="21"/>
          <w:u w:val="single"/>
        </w:rPr>
        <w:t>）</w:t>
      </w:r>
      <w:r>
        <w:rPr>
          <w:rFonts w:hint="eastAsia" w:ascii="仿宋" w:hAnsi="仿宋" w:eastAsia="仿宋"/>
          <w:szCs w:val="21"/>
        </w:rPr>
        <w:t>为我方代理人。代理人根据授权，以我方名义签署、澄清、说明、补正、递交、撤回、修改</w:t>
      </w:r>
      <w:r>
        <w:rPr>
          <w:rFonts w:hint="eastAsia" w:ascii="仿宋" w:hAnsi="仿宋" w:eastAsia="仿宋"/>
          <w:szCs w:val="21"/>
          <w:u w:val="single"/>
        </w:rPr>
        <w:t xml:space="preserve">                        </w:t>
      </w:r>
      <w:r>
        <w:rPr>
          <w:rFonts w:hint="eastAsia" w:ascii="仿宋" w:hAnsi="仿宋" w:eastAsia="仿宋"/>
          <w:szCs w:val="21"/>
        </w:rPr>
        <w:t>（项目名称）响应文件、签订合同和处理有关事宜，其法律后果由我方承担。</w:t>
      </w:r>
    </w:p>
    <w:p w14:paraId="0B820DB4">
      <w:pPr>
        <w:spacing w:before="156" w:beforeLines="50" w:line="600" w:lineRule="auto"/>
        <w:ind w:firstLine="420" w:firstLineChars="200"/>
        <w:rPr>
          <w:rFonts w:hint="eastAsia" w:ascii="仿宋" w:hAnsi="仿宋" w:eastAsia="仿宋"/>
          <w:szCs w:val="21"/>
          <w:u w:val="single"/>
        </w:rPr>
      </w:pPr>
      <w:r>
        <w:rPr>
          <w:rFonts w:hint="eastAsia" w:ascii="仿宋" w:hAnsi="仿宋" w:eastAsia="仿宋"/>
          <w:szCs w:val="21"/>
        </w:rPr>
        <w:t>委托期限：</w:t>
      </w:r>
      <w:r>
        <w:rPr>
          <w:rFonts w:hint="eastAsia" w:ascii="仿宋" w:hAnsi="仿宋" w:eastAsia="仿宋"/>
          <w:szCs w:val="21"/>
          <w:u w:val="single"/>
        </w:rPr>
        <w:t xml:space="preserve">                                   </w:t>
      </w:r>
    </w:p>
    <w:p w14:paraId="4EAA2140">
      <w:pPr>
        <w:pStyle w:val="12"/>
      </w:pPr>
    </w:p>
    <w:p w14:paraId="17546951">
      <w:pPr>
        <w:spacing w:after="312" w:afterLines="100" w:line="500" w:lineRule="exact"/>
        <w:ind w:firstLine="420" w:firstLineChars="200"/>
        <w:rPr>
          <w:rFonts w:ascii="仿宋" w:hAnsi="仿宋" w:eastAsia="仿宋"/>
          <w:szCs w:val="21"/>
        </w:rPr>
      </w:pPr>
      <w:r>
        <w:rPr>
          <w:rFonts w:hint="eastAsia" w:ascii="仿宋" w:hAnsi="仿宋" w:eastAsia="仿宋"/>
          <w:szCs w:val="21"/>
        </w:rPr>
        <w:t>附：法定代表人身份证及被授权人身份证（图片或扫描件）</w:t>
      </w:r>
    </w:p>
    <w:p w14:paraId="1C590CE0">
      <w:pPr>
        <w:spacing w:line="500" w:lineRule="exact"/>
        <w:rPr>
          <w:rFonts w:ascii="仿宋" w:hAnsi="仿宋" w:eastAsia="仿宋"/>
          <w:szCs w:val="21"/>
        </w:rPr>
      </w:pPr>
      <w:r>
        <w:rPr>
          <w:rFonts w:hint="eastAsia" w:ascii="仿宋" w:hAnsi="仿宋" w:eastAsia="仿宋"/>
          <w:szCs w:val="21"/>
        </w:rPr>
        <w:t xml:space="preserve">    </w:t>
      </w:r>
    </w:p>
    <w:p w14:paraId="1F4FB14D">
      <w:pPr>
        <w:spacing w:line="360" w:lineRule="auto"/>
        <w:rPr>
          <w:rFonts w:ascii="仿宋" w:hAnsi="仿宋" w:eastAsia="仿宋"/>
          <w:szCs w:val="21"/>
        </w:rPr>
      </w:pPr>
    </w:p>
    <w:p w14:paraId="4F51907B">
      <w:pPr>
        <w:adjustRightInd w:val="0"/>
        <w:spacing w:line="360" w:lineRule="auto"/>
        <w:rPr>
          <w:rFonts w:ascii="仿宋" w:hAnsi="仿宋" w:eastAsia="仿宋"/>
          <w:szCs w:val="21"/>
        </w:rPr>
      </w:pPr>
      <w:r>
        <w:rPr>
          <w:rFonts w:hint="eastAsia" w:ascii="仿宋" w:hAnsi="仿宋" w:eastAsia="仿宋"/>
          <w:szCs w:val="21"/>
        </w:rPr>
        <w:t>供应商名称（</w:t>
      </w:r>
      <w:r>
        <w:rPr>
          <w:rFonts w:ascii="仿宋" w:hAnsi="仿宋" w:eastAsia="仿宋"/>
        </w:rPr>
        <w:t>电子签章</w:t>
      </w:r>
      <w:r>
        <w:rPr>
          <w:rFonts w:hint="eastAsia" w:ascii="仿宋" w:hAnsi="仿宋" w:eastAsia="仿宋"/>
          <w:szCs w:val="21"/>
        </w:rPr>
        <w:t>）：</w:t>
      </w:r>
      <w:r>
        <w:rPr>
          <w:rFonts w:hint="eastAsia" w:ascii="仿宋" w:hAnsi="仿宋" w:eastAsia="仿宋" w:cs="仿宋"/>
          <w:color w:val="auto"/>
          <w:sz w:val="24"/>
          <w:highlight w:val="none"/>
          <w:u w:val="single"/>
          <w:lang w:val="en-US" w:eastAsia="zh-CN"/>
        </w:rPr>
        <w:t xml:space="preserve">                 </w:t>
      </w:r>
    </w:p>
    <w:p w14:paraId="145AFBAC">
      <w:pPr>
        <w:adjustRightInd w:val="0"/>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szCs w:val="21"/>
        </w:rPr>
        <w:t>法定代表人（电子签章）：</w:t>
      </w:r>
      <w:bookmarkEnd w:id="313"/>
      <w:bookmarkStart w:id="314" w:name="_Toc516932676"/>
      <w:r>
        <w:rPr>
          <w:rFonts w:hint="eastAsia" w:ascii="仿宋" w:hAnsi="仿宋" w:eastAsia="仿宋" w:cs="仿宋"/>
          <w:color w:val="auto"/>
          <w:sz w:val="24"/>
          <w:highlight w:val="none"/>
          <w:u w:val="single"/>
          <w:lang w:val="en-US" w:eastAsia="zh-CN"/>
        </w:rPr>
        <w:t xml:space="preserve">                 </w:t>
      </w:r>
    </w:p>
    <w:p w14:paraId="369DA5D4">
      <w:pPr>
        <w:adjustRightInd w:val="0"/>
        <w:spacing w:line="360" w:lineRule="auto"/>
        <w:rPr>
          <w:rFonts w:ascii="仿宋" w:hAnsi="仿宋" w:eastAsia="仿宋"/>
          <w:szCs w:val="21"/>
        </w:rPr>
      </w:pPr>
      <w:r>
        <w:rPr>
          <w:rFonts w:hint="eastAsia" w:ascii="仿宋" w:hAnsi="仿宋" w:eastAsia="仿宋"/>
          <w:szCs w:val="21"/>
        </w:rPr>
        <w:t>日期:</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03790DD8">
      <w:pPr>
        <w:pStyle w:val="3"/>
        <w:numPr>
          <w:ilvl w:val="0"/>
          <w:numId w:val="3"/>
        </w:numPr>
        <w:spacing w:line="416" w:lineRule="auto"/>
        <w:jc w:val="center"/>
        <w:rPr>
          <w:rFonts w:hint="eastAsia" w:ascii="仿宋" w:hAnsi="仿宋" w:eastAsia="仿宋"/>
          <w:sz w:val="30"/>
          <w:szCs w:val="30"/>
        </w:rPr>
      </w:pPr>
      <w:r>
        <w:rPr>
          <w:rFonts w:ascii="仿宋" w:hAnsi="仿宋" w:eastAsia="仿宋"/>
          <w:b w:val="0"/>
          <w:sz w:val="21"/>
          <w:szCs w:val="21"/>
        </w:rPr>
        <w:br w:type="page"/>
      </w:r>
      <w:bookmarkEnd w:id="314"/>
      <w:bookmarkStart w:id="315" w:name="_Toc8098"/>
      <w:bookmarkStart w:id="316" w:name="_Toc516932677"/>
      <w:bookmarkStart w:id="317" w:name="_Hlk81831121"/>
      <w:bookmarkStart w:id="318" w:name="_Hlk107391773"/>
      <w:r>
        <w:rPr>
          <w:rFonts w:hint="eastAsia" w:ascii="仿宋" w:hAnsi="仿宋" w:eastAsia="仿宋"/>
          <w:sz w:val="30"/>
          <w:szCs w:val="30"/>
        </w:rPr>
        <w:t>供应商资格证明文件</w:t>
      </w:r>
      <w:bookmarkEnd w:id="315"/>
      <w:bookmarkEnd w:id="316"/>
      <w:bookmarkEnd w:id="317"/>
    </w:p>
    <w:p w14:paraId="5614BB0F">
      <w:pPr>
        <w:pStyle w:val="61"/>
        <w:adjustRightInd w:val="0"/>
        <w:snapToGrid w:val="0"/>
        <w:spacing w:line="480" w:lineRule="auto"/>
        <w:ind w:left="420" w:firstLine="0" w:firstLineChars="0"/>
        <w:jc w:val="center"/>
        <w:rPr>
          <w:rFonts w:ascii="仿宋" w:hAnsi="仿宋" w:eastAsia="仿宋"/>
          <w:b/>
          <w:sz w:val="28"/>
          <w:szCs w:val="28"/>
        </w:rPr>
      </w:pPr>
      <w:bookmarkStart w:id="319" w:name="_Toc152045808"/>
      <w:bookmarkStart w:id="320" w:name="_Toc246996373"/>
      <w:bookmarkStart w:id="321" w:name="_Toc20072"/>
      <w:bookmarkStart w:id="322" w:name="_Toc427158275"/>
      <w:bookmarkStart w:id="323" w:name="_Toc16093"/>
      <w:bookmarkStart w:id="324" w:name="_Toc179632828"/>
      <w:bookmarkStart w:id="325" w:name="_Toc5743"/>
      <w:bookmarkStart w:id="326" w:name="_Toc152042597"/>
      <w:bookmarkStart w:id="327" w:name="_Toc144974876"/>
      <w:bookmarkStart w:id="328" w:name="_Toc246997116"/>
      <w:bookmarkStart w:id="329" w:name="_Toc247085891"/>
      <w:bookmarkStart w:id="330" w:name="_Toc12466"/>
      <w:bookmarkStart w:id="331" w:name="_Hlk81831067"/>
      <w:r>
        <w:rPr>
          <w:rFonts w:hint="eastAsia" w:ascii="仿宋" w:hAnsi="仿宋" w:eastAsia="仿宋"/>
          <w:b/>
          <w:sz w:val="28"/>
          <w:szCs w:val="28"/>
          <w:lang w:eastAsia="zh-CN"/>
        </w:rPr>
        <w:t>（</w:t>
      </w:r>
      <w:r>
        <w:rPr>
          <w:rFonts w:hint="eastAsia" w:ascii="仿宋" w:hAnsi="仿宋" w:eastAsia="仿宋"/>
          <w:b/>
          <w:sz w:val="28"/>
          <w:szCs w:val="28"/>
          <w:lang w:val="en-US" w:eastAsia="zh-CN"/>
        </w:rPr>
        <w:t>一）</w:t>
      </w:r>
      <w:r>
        <w:rPr>
          <w:rFonts w:hint="eastAsia" w:ascii="仿宋" w:hAnsi="仿宋" w:eastAsia="仿宋"/>
          <w:b/>
          <w:sz w:val="28"/>
          <w:szCs w:val="28"/>
        </w:rPr>
        <w:t>供应商基本情况表</w:t>
      </w:r>
      <w:bookmarkEnd w:id="319"/>
      <w:bookmarkEnd w:id="320"/>
      <w:bookmarkEnd w:id="321"/>
      <w:bookmarkEnd w:id="322"/>
      <w:bookmarkEnd w:id="323"/>
      <w:bookmarkEnd w:id="324"/>
      <w:bookmarkEnd w:id="325"/>
      <w:bookmarkEnd w:id="326"/>
      <w:bookmarkEnd w:id="327"/>
      <w:bookmarkEnd w:id="328"/>
      <w:bookmarkEnd w:id="329"/>
      <w:bookmarkEnd w:id="330"/>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63"/>
        <w:gridCol w:w="2977"/>
        <w:gridCol w:w="1148"/>
        <w:gridCol w:w="2239"/>
      </w:tblGrid>
      <w:tr w14:paraId="2565D7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74591300">
            <w:pPr>
              <w:topLinePunct/>
              <w:spacing w:line="440" w:lineRule="exact"/>
              <w:jc w:val="center"/>
              <w:rPr>
                <w:rFonts w:ascii="仿宋" w:hAnsi="仿宋" w:eastAsia="仿宋"/>
                <w:sz w:val="24"/>
              </w:rPr>
            </w:pPr>
            <w:r>
              <w:rPr>
                <w:rFonts w:hint="eastAsia" w:ascii="仿宋" w:hAnsi="仿宋" w:eastAsia="仿宋"/>
                <w:sz w:val="24"/>
              </w:rPr>
              <w:t>供应商名称</w:t>
            </w:r>
          </w:p>
        </w:tc>
        <w:tc>
          <w:tcPr>
            <w:tcW w:w="6364" w:type="dxa"/>
            <w:gridSpan w:val="3"/>
            <w:tcBorders>
              <w:top w:val="single" w:color="auto" w:sz="4" w:space="0"/>
              <w:left w:val="single" w:color="auto" w:sz="4" w:space="0"/>
              <w:bottom w:val="single" w:color="auto" w:sz="4" w:space="0"/>
              <w:right w:val="single" w:color="auto" w:sz="4" w:space="0"/>
            </w:tcBorders>
            <w:vAlign w:val="center"/>
          </w:tcPr>
          <w:p w14:paraId="183ADE10">
            <w:pPr>
              <w:topLinePunct/>
              <w:spacing w:line="440" w:lineRule="exact"/>
              <w:jc w:val="center"/>
              <w:rPr>
                <w:rFonts w:ascii="仿宋" w:hAnsi="仿宋" w:eastAsia="仿宋"/>
                <w:sz w:val="24"/>
              </w:rPr>
            </w:pPr>
          </w:p>
        </w:tc>
      </w:tr>
      <w:tr w14:paraId="5696A9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4"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4F05E1E9">
            <w:pPr>
              <w:topLinePunct/>
              <w:spacing w:line="440" w:lineRule="exact"/>
              <w:jc w:val="center"/>
              <w:rPr>
                <w:rFonts w:ascii="仿宋" w:hAnsi="仿宋" w:eastAsia="仿宋"/>
                <w:sz w:val="24"/>
              </w:rPr>
            </w:pPr>
            <w:r>
              <w:rPr>
                <w:rFonts w:hint="eastAsia" w:ascii="仿宋" w:hAnsi="仿宋" w:eastAsia="仿宋"/>
                <w:sz w:val="24"/>
              </w:rPr>
              <w:t>注册地址</w:t>
            </w:r>
          </w:p>
        </w:tc>
        <w:tc>
          <w:tcPr>
            <w:tcW w:w="6364" w:type="dxa"/>
            <w:gridSpan w:val="3"/>
            <w:tcBorders>
              <w:top w:val="single" w:color="auto" w:sz="4" w:space="0"/>
              <w:left w:val="single" w:color="auto" w:sz="4" w:space="0"/>
              <w:bottom w:val="single" w:color="auto" w:sz="4" w:space="0"/>
              <w:right w:val="single" w:color="auto" w:sz="4" w:space="0"/>
            </w:tcBorders>
            <w:vAlign w:val="center"/>
          </w:tcPr>
          <w:p w14:paraId="2FB890C5">
            <w:pPr>
              <w:topLinePunct/>
              <w:spacing w:line="440" w:lineRule="exact"/>
              <w:jc w:val="center"/>
              <w:rPr>
                <w:rFonts w:ascii="仿宋" w:hAnsi="仿宋" w:eastAsia="仿宋"/>
                <w:sz w:val="24"/>
              </w:rPr>
            </w:pPr>
          </w:p>
        </w:tc>
      </w:tr>
      <w:tr w14:paraId="68018C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6CEB24ED">
            <w:pPr>
              <w:topLinePunct/>
              <w:spacing w:line="440" w:lineRule="exact"/>
              <w:jc w:val="center"/>
              <w:rPr>
                <w:rFonts w:ascii="仿宋" w:hAnsi="仿宋" w:eastAsia="仿宋"/>
                <w:sz w:val="24"/>
              </w:rPr>
            </w:pPr>
            <w:r>
              <w:rPr>
                <w:rFonts w:hint="eastAsia" w:ascii="仿宋" w:hAnsi="仿宋" w:eastAsia="仿宋"/>
                <w:sz w:val="24"/>
              </w:rPr>
              <w:t>委托代理人</w:t>
            </w:r>
          </w:p>
        </w:tc>
        <w:tc>
          <w:tcPr>
            <w:tcW w:w="2977" w:type="dxa"/>
            <w:tcBorders>
              <w:top w:val="single" w:color="auto" w:sz="4" w:space="0"/>
              <w:left w:val="single" w:color="auto" w:sz="4" w:space="0"/>
              <w:bottom w:val="single" w:color="auto" w:sz="4" w:space="0"/>
              <w:right w:val="single" w:color="auto" w:sz="4" w:space="0"/>
            </w:tcBorders>
            <w:vAlign w:val="center"/>
          </w:tcPr>
          <w:p w14:paraId="13F48C64">
            <w:pPr>
              <w:topLinePunct/>
              <w:spacing w:line="440" w:lineRule="exact"/>
              <w:jc w:val="center"/>
              <w:rPr>
                <w:rFonts w:ascii="仿宋" w:hAnsi="仿宋" w:eastAsia="仿宋"/>
                <w:sz w:val="24"/>
              </w:rPr>
            </w:pPr>
          </w:p>
        </w:tc>
        <w:tc>
          <w:tcPr>
            <w:tcW w:w="1148" w:type="dxa"/>
            <w:tcBorders>
              <w:top w:val="single" w:color="auto" w:sz="4" w:space="0"/>
              <w:left w:val="single" w:color="auto" w:sz="4" w:space="0"/>
              <w:bottom w:val="single" w:color="auto" w:sz="4" w:space="0"/>
              <w:right w:val="single" w:color="auto" w:sz="4" w:space="0"/>
            </w:tcBorders>
            <w:vAlign w:val="center"/>
          </w:tcPr>
          <w:p w14:paraId="27BA8836">
            <w:pPr>
              <w:topLinePunct/>
              <w:spacing w:line="440" w:lineRule="exact"/>
              <w:jc w:val="center"/>
              <w:rPr>
                <w:rFonts w:ascii="仿宋" w:hAnsi="仿宋" w:eastAsia="仿宋"/>
                <w:sz w:val="24"/>
              </w:rPr>
            </w:pPr>
            <w:r>
              <w:rPr>
                <w:rFonts w:hint="eastAsia" w:ascii="仿宋" w:hAnsi="仿宋" w:eastAsia="仿宋"/>
                <w:sz w:val="24"/>
              </w:rPr>
              <w:t>电话</w:t>
            </w:r>
          </w:p>
        </w:tc>
        <w:tc>
          <w:tcPr>
            <w:tcW w:w="2239" w:type="dxa"/>
            <w:tcBorders>
              <w:top w:val="single" w:color="auto" w:sz="4" w:space="0"/>
              <w:left w:val="single" w:color="auto" w:sz="4" w:space="0"/>
              <w:bottom w:val="single" w:color="auto" w:sz="4" w:space="0"/>
              <w:right w:val="single" w:color="auto" w:sz="4" w:space="0"/>
            </w:tcBorders>
            <w:vAlign w:val="center"/>
          </w:tcPr>
          <w:p w14:paraId="3A0835B7">
            <w:pPr>
              <w:topLinePunct/>
              <w:spacing w:line="440" w:lineRule="exact"/>
              <w:jc w:val="center"/>
              <w:rPr>
                <w:rFonts w:ascii="仿宋" w:hAnsi="仿宋" w:eastAsia="仿宋"/>
                <w:sz w:val="24"/>
              </w:rPr>
            </w:pPr>
          </w:p>
        </w:tc>
      </w:tr>
      <w:tr w14:paraId="7F71C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1E85DCE5">
            <w:pPr>
              <w:topLinePunct/>
              <w:spacing w:line="440" w:lineRule="exact"/>
              <w:jc w:val="center"/>
              <w:rPr>
                <w:rFonts w:ascii="仿宋" w:hAnsi="仿宋" w:eastAsia="仿宋"/>
                <w:sz w:val="24"/>
              </w:rPr>
            </w:pPr>
            <w:r>
              <w:rPr>
                <w:rFonts w:hint="eastAsia" w:ascii="仿宋" w:hAnsi="仿宋" w:eastAsia="仿宋"/>
                <w:sz w:val="24"/>
              </w:rPr>
              <w:t>法定代表人</w:t>
            </w:r>
          </w:p>
        </w:tc>
        <w:tc>
          <w:tcPr>
            <w:tcW w:w="2977" w:type="dxa"/>
            <w:tcBorders>
              <w:top w:val="single" w:color="auto" w:sz="4" w:space="0"/>
              <w:left w:val="single" w:color="auto" w:sz="4" w:space="0"/>
              <w:bottom w:val="single" w:color="auto" w:sz="4" w:space="0"/>
              <w:right w:val="single" w:color="auto" w:sz="4" w:space="0"/>
            </w:tcBorders>
            <w:vAlign w:val="center"/>
          </w:tcPr>
          <w:p w14:paraId="1077F22B">
            <w:pPr>
              <w:topLinePunct/>
              <w:spacing w:line="440" w:lineRule="exact"/>
              <w:jc w:val="center"/>
              <w:rPr>
                <w:rFonts w:ascii="仿宋" w:hAnsi="仿宋" w:eastAsia="仿宋"/>
                <w:sz w:val="24"/>
              </w:rPr>
            </w:pPr>
          </w:p>
        </w:tc>
        <w:tc>
          <w:tcPr>
            <w:tcW w:w="1148" w:type="dxa"/>
            <w:tcBorders>
              <w:top w:val="single" w:color="auto" w:sz="4" w:space="0"/>
              <w:left w:val="single" w:color="auto" w:sz="4" w:space="0"/>
              <w:bottom w:val="single" w:color="auto" w:sz="4" w:space="0"/>
              <w:right w:val="single" w:color="auto" w:sz="4" w:space="0"/>
            </w:tcBorders>
            <w:vAlign w:val="center"/>
          </w:tcPr>
          <w:p w14:paraId="64921F34">
            <w:pPr>
              <w:topLinePunct/>
              <w:spacing w:line="440" w:lineRule="exact"/>
              <w:jc w:val="center"/>
              <w:rPr>
                <w:rFonts w:ascii="仿宋" w:hAnsi="仿宋" w:eastAsia="仿宋"/>
                <w:sz w:val="24"/>
              </w:rPr>
            </w:pPr>
            <w:r>
              <w:rPr>
                <w:rFonts w:hint="eastAsia" w:ascii="仿宋" w:hAnsi="仿宋" w:eastAsia="仿宋"/>
                <w:sz w:val="24"/>
              </w:rPr>
              <w:t>电话</w:t>
            </w:r>
          </w:p>
        </w:tc>
        <w:tc>
          <w:tcPr>
            <w:tcW w:w="2239" w:type="dxa"/>
            <w:tcBorders>
              <w:top w:val="single" w:color="auto" w:sz="4" w:space="0"/>
              <w:left w:val="single" w:color="auto" w:sz="4" w:space="0"/>
              <w:bottom w:val="single" w:color="auto" w:sz="4" w:space="0"/>
              <w:right w:val="single" w:color="auto" w:sz="4" w:space="0"/>
            </w:tcBorders>
            <w:vAlign w:val="center"/>
          </w:tcPr>
          <w:p w14:paraId="54C407F3">
            <w:pPr>
              <w:topLinePunct/>
              <w:spacing w:line="440" w:lineRule="exact"/>
              <w:jc w:val="center"/>
              <w:rPr>
                <w:rFonts w:ascii="仿宋" w:hAnsi="仿宋" w:eastAsia="仿宋"/>
                <w:sz w:val="24"/>
              </w:rPr>
            </w:pPr>
          </w:p>
        </w:tc>
      </w:tr>
      <w:tr w14:paraId="258D5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69" w:hRule="atLeast"/>
          <w:jc w:val="center"/>
        </w:trPr>
        <w:tc>
          <w:tcPr>
            <w:tcW w:w="2263" w:type="dxa"/>
            <w:tcBorders>
              <w:top w:val="single" w:color="auto" w:sz="4" w:space="0"/>
              <w:left w:val="single" w:color="auto" w:sz="4" w:space="0"/>
              <w:right w:val="single" w:color="auto" w:sz="4" w:space="0"/>
            </w:tcBorders>
            <w:vAlign w:val="center"/>
          </w:tcPr>
          <w:p w14:paraId="4B856AAF">
            <w:pPr>
              <w:topLinePunct/>
              <w:spacing w:line="440" w:lineRule="exact"/>
              <w:jc w:val="center"/>
              <w:rPr>
                <w:rFonts w:ascii="仿宋" w:hAnsi="仿宋" w:eastAsia="仿宋"/>
                <w:sz w:val="24"/>
              </w:rPr>
            </w:pPr>
            <w:r>
              <w:rPr>
                <w:rFonts w:hint="eastAsia" w:ascii="仿宋" w:hAnsi="仿宋" w:eastAsia="仿宋"/>
                <w:sz w:val="24"/>
              </w:rPr>
              <w:t>统一社会信用代码</w:t>
            </w:r>
          </w:p>
        </w:tc>
        <w:tc>
          <w:tcPr>
            <w:tcW w:w="6364" w:type="dxa"/>
            <w:gridSpan w:val="3"/>
            <w:tcBorders>
              <w:top w:val="single" w:color="auto" w:sz="4" w:space="0"/>
              <w:left w:val="single" w:color="auto" w:sz="4" w:space="0"/>
              <w:right w:val="single" w:color="auto" w:sz="4" w:space="0"/>
            </w:tcBorders>
            <w:vAlign w:val="center"/>
          </w:tcPr>
          <w:p w14:paraId="585A9184">
            <w:pPr>
              <w:topLinePunct/>
              <w:spacing w:line="440" w:lineRule="exact"/>
              <w:jc w:val="center"/>
              <w:rPr>
                <w:rFonts w:ascii="仿宋" w:hAnsi="仿宋" w:eastAsia="仿宋"/>
                <w:sz w:val="24"/>
              </w:rPr>
            </w:pPr>
          </w:p>
        </w:tc>
      </w:tr>
      <w:tr w14:paraId="2DFA3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64"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3B0B9CC9">
            <w:pPr>
              <w:topLinePunct/>
              <w:spacing w:line="440" w:lineRule="exact"/>
              <w:jc w:val="center"/>
              <w:rPr>
                <w:rFonts w:ascii="仿宋" w:hAnsi="仿宋" w:eastAsia="仿宋"/>
                <w:sz w:val="24"/>
              </w:rPr>
            </w:pPr>
            <w:r>
              <w:rPr>
                <w:rFonts w:hint="eastAsia" w:ascii="仿宋" w:hAnsi="仿宋" w:eastAsia="仿宋"/>
                <w:sz w:val="24"/>
              </w:rPr>
              <w:t>开户银行</w:t>
            </w:r>
          </w:p>
        </w:tc>
        <w:tc>
          <w:tcPr>
            <w:tcW w:w="6364" w:type="dxa"/>
            <w:gridSpan w:val="3"/>
            <w:tcBorders>
              <w:top w:val="single" w:color="auto" w:sz="4" w:space="0"/>
              <w:left w:val="single" w:color="auto" w:sz="4" w:space="0"/>
              <w:bottom w:val="single" w:color="auto" w:sz="4" w:space="0"/>
              <w:right w:val="single" w:color="auto" w:sz="4" w:space="0"/>
            </w:tcBorders>
            <w:vAlign w:val="center"/>
          </w:tcPr>
          <w:p w14:paraId="478AAC20">
            <w:pPr>
              <w:topLinePunct/>
              <w:spacing w:line="440" w:lineRule="exact"/>
              <w:jc w:val="center"/>
              <w:rPr>
                <w:rFonts w:ascii="仿宋" w:hAnsi="仿宋" w:eastAsia="仿宋"/>
                <w:sz w:val="24"/>
              </w:rPr>
            </w:pPr>
          </w:p>
        </w:tc>
      </w:tr>
      <w:tr w14:paraId="7D4B0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78"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72388900">
            <w:pPr>
              <w:topLinePunct/>
              <w:spacing w:line="440" w:lineRule="exact"/>
              <w:jc w:val="center"/>
              <w:rPr>
                <w:rFonts w:ascii="仿宋" w:hAnsi="仿宋" w:eastAsia="仿宋"/>
                <w:sz w:val="24"/>
              </w:rPr>
            </w:pPr>
            <w:r>
              <w:rPr>
                <w:rFonts w:hint="eastAsia" w:ascii="仿宋" w:hAnsi="仿宋" w:eastAsia="仿宋"/>
                <w:sz w:val="24"/>
              </w:rPr>
              <w:t>账号</w:t>
            </w:r>
          </w:p>
        </w:tc>
        <w:tc>
          <w:tcPr>
            <w:tcW w:w="6364" w:type="dxa"/>
            <w:gridSpan w:val="3"/>
            <w:tcBorders>
              <w:top w:val="single" w:color="auto" w:sz="4" w:space="0"/>
              <w:left w:val="single" w:color="auto" w:sz="4" w:space="0"/>
              <w:bottom w:val="single" w:color="auto" w:sz="4" w:space="0"/>
              <w:right w:val="single" w:color="auto" w:sz="4" w:space="0"/>
            </w:tcBorders>
            <w:vAlign w:val="center"/>
          </w:tcPr>
          <w:p w14:paraId="7DECB790">
            <w:pPr>
              <w:topLinePunct/>
              <w:spacing w:line="440" w:lineRule="exact"/>
              <w:jc w:val="center"/>
              <w:rPr>
                <w:rFonts w:ascii="仿宋" w:hAnsi="仿宋" w:eastAsia="仿宋"/>
                <w:sz w:val="24"/>
              </w:rPr>
            </w:pPr>
          </w:p>
        </w:tc>
      </w:tr>
      <w:tr w14:paraId="0DB5B6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97" w:hRule="atLeast"/>
          <w:jc w:val="center"/>
        </w:trPr>
        <w:tc>
          <w:tcPr>
            <w:tcW w:w="2263" w:type="dxa"/>
            <w:tcBorders>
              <w:top w:val="single" w:color="auto" w:sz="4" w:space="0"/>
              <w:left w:val="single" w:color="auto" w:sz="4" w:space="0"/>
              <w:right w:val="single" w:color="auto" w:sz="4" w:space="0"/>
            </w:tcBorders>
            <w:vAlign w:val="center"/>
          </w:tcPr>
          <w:p w14:paraId="42125E8C">
            <w:pPr>
              <w:topLinePunct/>
              <w:spacing w:line="440" w:lineRule="exact"/>
              <w:ind w:firstLine="240" w:firstLineChars="100"/>
              <w:jc w:val="center"/>
              <w:rPr>
                <w:rFonts w:ascii="仿宋" w:hAnsi="仿宋" w:eastAsia="仿宋"/>
                <w:sz w:val="24"/>
              </w:rPr>
            </w:pPr>
            <w:r>
              <w:rPr>
                <w:rFonts w:hint="eastAsia" w:ascii="仿宋" w:hAnsi="仿宋" w:eastAsia="仿宋"/>
                <w:sz w:val="24"/>
              </w:rPr>
              <w:t>经营范围</w:t>
            </w:r>
          </w:p>
        </w:tc>
        <w:tc>
          <w:tcPr>
            <w:tcW w:w="6364" w:type="dxa"/>
            <w:gridSpan w:val="3"/>
            <w:tcBorders>
              <w:top w:val="single" w:color="auto" w:sz="4" w:space="0"/>
              <w:left w:val="single" w:color="auto" w:sz="4" w:space="0"/>
              <w:right w:val="single" w:color="auto" w:sz="4" w:space="0"/>
            </w:tcBorders>
            <w:vAlign w:val="center"/>
          </w:tcPr>
          <w:p w14:paraId="55C1FA8C">
            <w:pPr>
              <w:topLinePunct/>
              <w:spacing w:line="440" w:lineRule="exact"/>
              <w:jc w:val="center"/>
              <w:rPr>
                <w:rFonts w:ascii="仿宋" w:hAnsi="仿宋" w:eastAsia="仿宋"/>
                <w:sz w:val="24"/>
              </w:rPr>
            </w:pPr>
          </w:p>
        </w:tc>
      </w:tr>
      <w:tr w14:paraId="1A2E5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9" w:hRule="atLeast"/>
          <w:jc w:val="center"/>
        </w:trPr>
        <w:tc>
          <w:tcPr>
            <w:tcW w:w="2263" w:type="dxa"/>
            <w:tcBorders>
              <w:top w:val="single" w:color="auto" w:sz="4" w:space="0"/>
              <w:left w:val="single" w:color="auto" w:sz="4" w:space="0"/>
              <w:bottom w:val="single" w:color="auto" w:sz="4" w:space="0"/>
              <w:right w:val="single" w:color="auto" w:sz="4" w:space="0"/>
            </w:tcBorders>
            <w:vAlign w:val="center"/>
          </w:tcPr>
          <w:p w14:paraId="0F38B6A4">
            <w:pPr>
              <w:topLinePunct/>
              <w:spacing w:line="440" w:lineRule="exact"/>
              <w:jc w:val="center"/>
              <w:rPr>
                <w:rFonts w:ascii="仿宋" w:hAnsi="仿宋" w:eastAsia="仿宋"/>
                <w:sz w:val="24"/>
              </w:rPr>
            </w:pPr>
            <w:r>
              <w:rPr>
                <w:rFonts w:hint="eastAsia" w:ascii="仿宋" w:hAnsi="仿宋" w:eastAsia="仿宋"/>
                <w:sz w:val="24"/>
              </w:rPr>
              <w:t>备注</w:t>
            </w:r>
          </w:p>
        </w:tc>
        <w:tc>
          <w:tcPr>
            <w:tcW w:w="6364" w:type="dxa"/>
            <w:gridSpan w:val="3"/>
            <w:tcBorders>
              <w:top w:val="single" w:color="auto" w:sz="4" w:space="0"/>
              <w:left w:val="single" w:color="auto" w:sz="4" w:space="0"/>
              <w:bottom w:val="single" w:color="auto" w:sz="4" w:space="0"/>
              <w:right w:val="single" w:color="auto" w:sz="4" w:space="0"/>
            </w:tcBorders>
            <w:vAlign w:val="center"/>
          </w:tcPr>
          <w:p w14:paraId="0DC358B2">
            <w:pPr>
              <w:topLinePunct/>
              <w:spacing w:line="440" w:lineRule="exact"/>
              <w:jc w:val="center"/>
              <w:rPr>
                <w:rFonts w:ascii="仿宋" w:hAnsi="仿宋" w:eastAsia="仿宋"/>
                <w:sz w:val="24"/>
              </w:rPr>
            </w:pPr>
          </w:p>
        </w:tc>
      </w:tr>
    </w:tbl>
    <w:p w14:paraId="7DE9FAE7">
      <w:pPr>
        <w:pStyle w:val="6"/>
        <w:rPr>
          <w:rFonts w:ascii="仿宋" w:hAnsi="仿宋" w:eastAsia="仿宋"/>
        </w:rPr>
      </w:pPr>
    </w:p>
    <w:bookmarkEnd w:id="318"/>
    <w:bookmarkEnd w:id="331"/>
    <w:p w14:paraId="144B736C">
      <w:pPr>
        <w:pStyle w:val="12"/>
        <w:spacing w:line="600" w:lineRule="auto"/>
        <w:ind w:left="0" w:leftChars="0" w:firstLine="361" w:firstLineChars="150"/>
        <w:rPr>
          <w:rFonts w:hint="eastAsia" w:ascii="仿宋" w:hAnsi="仿宋" w:eastAsia="仿宋"/>
          <w:b/>
          <w:sz w:val="24"/>
        </w:rPr>
      </w:pPr>
      <w:bookmarkStart w:id="332" w:name="_Toc427158278"/>
      <w:bookmarkStart w:id="333" w:name="_Toc246997117"/>
      <w:bookmarkStart w:id="334" w:name="_Toc25705"/>
      <w:bookmarkStart w:id="335" w:name="_Toc247085892"/>
      <w:bookmarkStart w:id="336" w:name="_Toc246996374"/>
      <w:r>
        <w:rPr>
          <w:rFonts w:hint="eastAsia" w:ascii="仿宋" w:hAnsi="仿宋" w:eastAsia="仿宋"/>
          <w:b/>
          <w:sz w:val="24"/>
        </w:rPr>
        <w:t>注：后附磋商文件中供应商资格要求中的相关证件证明及供应商认为必要的其他资料（并加盖单位公章）</w:t>
      </w:r>
    </w:p>
    <w:p w14:paraId="09C11BAA">
      <w:pPr>
        <w:pStyle w:val="61"/>
        <w:adjustRightInd w:val="0"/>
        <w:snapToGrid w:val="0"/>
        <w:spacing w:line="480" w:lineRule="auto"/>
        <w:ind w:left="420" w:firstLine="0" w:firstLineChars="0"/>
        <w:jc w:val="center"/>
        <w:rPr>
          <w:rFonts w:hint="eastAsia" w:ascii="仿宋" w:hAnsi="仿宋" w:eastAsia="仿宋" w:cs="Times New Roman"/>
          <w:b/>
          <w:sz w:val="28"/>
          <w:szCs w:val="28"/>
          <w:lang w:eastAsia="zh-CN"/>
        </w:rPr>
      </w:pPr>
      <w:r>
        <w:rPr>
          <w:rFonts w:hint="eastAsia" w:ascii="仿宋" w:hAnsi="仿宋" w:eastAsia="仿宋" w:cs="Times New Roman"/>
          <w:b/>
          <w:sz w:val="28"/>
          <w:szCs w:val="28"/>
          <w:lang w:eastAsia="zh-CN"/>
        </w:rPr>
        <w:t>（</w:t>
      </w:r>
      <w:r>
        <w:rPr>
          <w:rFonts w:hint="eastAsia" w:ascii="仿宋" w:hAnsi="仿宋" w:eastAsia="仿宋" w:cs="Times New Roman"/>
          <w:b/>
          <w:sz w:val="28"/>
          <w:szCs w:val="28"/>
          <w:lang w:val="en-US" w:eastAsia="zh-CN"/>
        </w:rPr>
        <w:t>二）联合体协议书（如有）</w:t>
      </w:r>
    </w:p>
    <w:p w14:paraId="1AB27DBE">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（所有成员单位名称）</w:t>
      </w:r>
      <w:r>
        <w:rPr>
          <w:rFonts w:hint="eastAsia" w:ascii="仿宋" w:hAnsi="仿宋" w:eastAsia="仿宋" w:cs="仿宋"/>
          <w:color w:val="auto"/>
          <w:sz w:val="24"/>
          <w:highlight w:val="none"/>
        </w:rPr>
        <w:t>自愿组成联合体，共同参加</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投标。现就联合体投标事宜订立如下协议。</w:t>
      </w:r>
    </w:p>
    <w:p w14:paraId="6622CC2C">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（某成员单位名称）</w:t>
      </w:r>
      <w:r>
        <w:rPr>
          <w:rFonts w:hint="eastAsia" w:ascii="仿宋" w:hAnsi="仿宋" w:eastAsia="仿宋" w:cs="仿宋"/>
          <w:color w:val="auto"/>
          <w:sz w:val="24"/>
          <w:highlight w:val="none"/>
        </w:rPr>
        <w:t>为</w:t>
      </w:r>
      <w:r>
        <w:rPr>
          <w:rFonts w:hint="eastAsia" w:ascii="仿宋" w:hAnsi="仿宋" w:eastAsia="仿宋" w:cs="仿宋"/>
          <w:color w:val="auto"/>
          <w:sz w:val="24"/>
          <w:highlight w:val="none"/>
          <w:u w:val="single"/>
        </w:rPr>
        <w:t>（联合体名称）</w:t>
      </w:r>
      <w:r>
        <w:rPr>
          <w:rFonts w:hint="eastAsia" w:ascii="仿宋" w:hAnsi="仿宋" w:eastAsia="仿宋" w:cs="仿宋"/>
          <w:color w:val="auto"/>
          <w:sz w:val="24"/>
          <w:highlight w:val="none"/>
        </w:rPr>
        <w:t>牵头人。</w:t>
      </w:r>
    </w:p>
    <w:p w14:paraId="7E1BE82D">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2、联合体牵头人合法代表联合体各成员负责本项目</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文件编制和合同谈判活动，代表联合体提交和接收相关的资料、信息及指示，处理与之有关的一切事务，并负责合同实施阶段的主办、组织和协调工作。</w:t>
      </w:r>
    </w:p>
    <w:p w14:paraId="0C909232">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3、联合体将严格按照</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文件的各项要求，递交</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文件，履行合同，并对外承担连带责任。</w:t>
      </w:r>
    </w:p>
    <w:p w14:paraId="042CD145">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4、联合体各成员单位内部的职责分工如下：</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36AF6B5B">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5、其他约定内容：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11CC95CC">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6、本协议书自签署之日起生效，合同履行完毕后自动失效。 </w:t>
      </w:r>
    </w:p>
    <w:p w14:paraId="4B873EAE">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7、本协议书一式</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份，联合体成员和</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人各执一份。</w:t>
      </w:r>
    </w:p>
    <w:p w14:paraId="60942ECE">
      <w:pPr>
        <w:topLinePunct/>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注：本协议书由委托代理人签字的，应附法定代表人签字的授权委托书。</w:t>
      </w:r>
    </w:p>
    <w:p w14:paraId="4C8C2152">
      <w:pPr>
        <w:topLinePunct/>
        <w:spacing w:line="360" w:lineRule="auto"/>
        <w:ind w:firstLine="480"/>
        <w:rPr>
          <w:rFonts w:hint="eastAsia" w:ascii="仿宋" w:hAnsi="仿宋" w:eastAsia="仿宋" w:cs="仿宋"/>
          <w:color w:val="auto"/>
          <w:sz w:val="24"/>
          <w:highlight w:val="none"/>
        </w:rPr>
      </w:pPr>
    </w:p>
    <w:p w14:paraId="6324E9EC">
      <w:pPr>
        <w:topLinePunct/>
        <w:spacing w:line="360" w:lineRule="auto"/>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牵头人名称：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（盖单位章）</w:t>
      </w:r>
    </w:p>
    <w:p w14:paraId="304B6BEA">
      <w:pPr>
        <w:topLinePunct/>
        <w:spacing w:line="360" w:lineRule="auto"/>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（签字或盖章）</w:t>
      </w:r>
    </w:p>
    <w:p w14:paraId="59F440E7">
      <w:pPr>
        <w:topLinePunct/>
        <w:spacing w:line="360" w:lineRule="auto"/>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联合体</w:t>
      </w:r>
      <w:r>
        <w:rPr>
          <w:rFonts w:hint="eastAsia" w:ascii="仿宋" w:hAnsi="仿宋" w:eastAsia="仿宋" w:cs="仿宋"/>
          <w:color w:val="auto"/>
          <w:sz w:val="24"/>
          <w:highlight w:val="none"/>
        </w:rPr>
        <w:t>成员名称：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（盖单位章）</w:t>
      </w:r>
    </w:p>
    <w:p w14:paraId="36AD4059">
      <w:pPr>
        <w:topLinePunct/>
        <w:spacing w:line="360" w:lineRule="auto"/>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（签字或盖章）</w:t>
      </w:r>
    </w:p>
    <w:p w14:paraId="7875CBBF">
      <w:pPr>
        <w:adjustRightInd w:val="0"/>
        <w:spacing w:line="360" w:lineRule="auto"/>
        <w:ind w:firstLine="240" w:firstLineChars="100"/>
        <w:rPr>
          <w:rFonts w:ascii="仿宋" w:hAnsi="仿宋" w:eastAsia="仿宋"/>
          <w:sz w:val="24"/>
          <w:szCs w:val="24"/>
        </w:rPr>
      </w:pPr>
      <w:r>
        <w:rPr>
          <w:rFonts w:hint="eastAsia" w:ascii="仿宋" w:hAnsi="仿宋" w:eastAsia="仿宋"/>
          <w:sz w:val="24"/>
          <w:szCs w:val="24"/>
        </w:rPr>
        <w:t>日期:</w:t>
      </w:r>
      <w:r>
        <w:rPr>
          <w:rFonts w:hint="eastAsia" w:ascii="仿宋" w:hAnsi="仿宋" w:eastAsia="仿宋"/>
          <w:sz w:val="24"/>
          <w:szCs w:val="24"/>
          <w:u w:val="single"/>
        </w:rPr>
        <w:t xml:space="preserve">  </w:t>
      </w:r>
      <w:r>
        <w:rPr>
          <w:rFonts w:hint="eastAsia" w:ascii="仿宋" w:hAnsi="仿宋" w:eastAsia="仿宋"/>
          <w:sz w:val="24"/>
          <w:szCs w:val="24"/>
        </w:rPr>
        <w:t>年</w:t>
      </w:r>
      <w:r>
        <w:rPr>
          <w:rFonts w:hint="eastAsia" w:ascii="仿宋" w:hAnsi="仿宋" w:eastAsia="仿宋"/>
          <w:sz w:val="24"/>
          <w:szCs w:val="24"/>
          <w:u w:val="single"/>
        </w:rPr>
        <w:t xml:space="preserve">  </w:t>
      </w:r>
      <w:r>
        <w:rPr>
          <w:rFonts w:hint="eastAsia" w:ascii="仿宋" w:hAnsi="仿宋" w:eastAsia="仿宋"/>
          <w:sz w:val="24"/>
          <w:szCs w:val="24"/>
        </w:rPr>
        <w:t>月</w:t>
      </w:r>
      <w:r>
        <w:rPr>
          <w:rFonts w:hint="eastAsia" w:ascii="仿宋" w:hAnsi="仿宋" w:eastAsia="仿宋"/>
          <w:sz w:val="24"/>
          <w:szCs w:val="24"/>
          <w:u w:val="single"/>
        </w:rPr>
        <w:t xml:space="preserve">  </w:t>
      </w:r>
      <w:r>
        <w:rPr>
          <w:rFonts w:hint="eastAsia" w:ascii="仿宋" w:hAnsi="仿宋" w:eastAsia="仿宋"/>
          <w:sz w:val="24"/>
          <w:szCs w:val="24"/>
        </w:rPr>
        <w:t>日</w:t>
      </w:r>
    </w:p>
    <w:p w14:paraId="2EEB2926">
      <w:pPr>
        <w:pStyle w:val="61"/>
        <w:adjustRightInd w:val="0"/>
        <w:snapToGrid w:val="0"/>
        <w:spacing w:line="480" w:lineRule="auto"/>
        <w:ind w:left="420" w:firstLine="0" w:firstLineChars="0"/>
        <w:jc w:val="center"/>
        <w:rPr>
          <w:rFonts w:hint="eastAsia" w:ascii="仿宋" w:hAnsi="仿宋" w:eastAsia="仿宋" w:cs="Times New Roman"/>
          <w:b/>
          <w:sz w:val="28"/>
          <w:szCs w:val="28"/>
          <w:lang w:val="en-US" w:eastAsia="zh-CN"/>
        </w:rPr>
      </w:pPr>
    </w:p>
    <w:p w14:paraId="32DE5144">
      <w:pPr>
        <w:pStyle w:val="61"/>
        <w:adjustRightInd w:val="0"/>
        <w:snapToGrid w:val="0"/>
        <w:spacing w:line="480" w:lineRule="auto"/>
        <w:ind w:left="420" w:firstLine="0" w:firstLineChars="0"/>
        <w:jc w:val="center"/>
        <w:rPr>
          <w:rFonts w:hint="eastAsia" w:ascii="仿宋" w:hAnsi="仿宋" w:eastAsia="仿宋" w:cs="Times New Roman"/>
          <w:b/>
          <w:sz w:val="28"/>
          <w:szCs w:val="28"/>
          <w:lang w:val="en-US" w:eastAsia="zh-CN"/>
        </w:rPr>
      </w:pPr>
    </w:p>
    <w:p w14:paraId="43D291F0">
      <w:pPr>
        <w:pStyle w:val="61"/>
        <w:adjustRightInd w:val="0"/>
        <w:snapToGrid w:val="0"/>
        <w:spacing w:line="480" w:lineRule="auto"/>
        <w:ind w:left="420" w:firstLine="0" w:firstLineChars="0"/>
        <w:jc w:val="center"/>
        <w:rPr>
          <w:rFonts w:hint="eastAsia" w:ascii="仿宋" w:hAnsi="仿宋" w:eastAsia="仿宋" w:cs="Times New Roman"/>
          <w:b/>
          <w:sz w:val="28"/>
          <w:szCs w:val="28"/>
          <w:lang w:val="en-US" w:eastAsia="zh-CN"/>
        </w:rPr>
      </w:pPr>
    </w:p>
    <w:p w14:paraId="6D4661BF">
      <w:pPr>
        <w:pStyle w:val="61"/>
        <w:adjustRightInd w:val="0"/>
        <w:snapToGrid w:val="0"/>
        <w:spacing w:line="480" w:lineRule="auto"/>
        <w:ind w:left="420" w:firstLine="0" w:firstLineChars="0"/>
        <w:jc w:val="center"/>
        <w:rPr>
          <w:rFonts w:hint="eastAsia" w:ascii="仿宋" w:hAnsi="仿宋" w:eastAsia="仿宋" w:cs="Times New Roman"/>
          <w:b/>
          <w:sz w:val="28"/>
          <w:szCs w:val="28"/>
          <w:lang w:val="en-US" w:eastAsia="zh-CN"/>
        </w:rPr>
      </w:pPr>
    </w:p>
    <w:p w14:paraId="6FC2CE59">
      <w:pPr>
        <w:pStyle w:val="61"/>
        <w:adjustRightInd w:val="0"/>
        <w:snapToGrid w:val="0"/>
        <w:spacing w:line="480" w:lineRule="auto"/>
        <w:ind w:left="0" w:leftChars="0" w:firstLine="0" w:firstLineChars="0"/>
        <w:jc w:val="both"/>
        <w:rPr>
          <w:rFonts w:hint="default" w:ascii="仿宋" w:hAnsi="仿宋" w:eastAsia="仿宋" w:cs="Times New Roman"/>
          <w:b/>
          <w:sz w:val="28"/>
          <w:szCs w:val="28"/>
          <w:lang w:val="en-US" w:eastAsia="zh-CN"/>
        </w:rPr>
      </w:pPr>
    </w:p>
    <w:p w14:paraId="2D97A152">
      <w:pPr>
        <w:pStyle w:val="3"/>
        <w:numPr>
          <w:ilvl w:val="0"/>
          <w:numId w:val="3"/>
        </w:numPr>
        <w:spacing w:line="416" w:lineRule="auto"/>
        <w:jc w:val="center"/>
        <w:rPr>
          <w:rFonts w:ascii="仿宋" w:hAnsi="仿宋" w:eastAsia="仿宋"/>
          <w:sz w:val="30"/>
          <w:szCs w:val="30"/>
        </w:rPr>
      </w:pPr>
      <w:r>
        <w:rPr>
          <w:rFonts w:ascii="仿宋" w:hAnsi="仿宋" w:eastAsia="仿宋"/>
          <w:bCs w:val="0"/>
          <w:sz w:val="21"/>
          <w:szCs w:val="21"/>
        </w:rPr>
        <w:br w:type="page"/>
      </w:r>
      <w:r>
        <w:rPr>
          <w:rFonts w:hint="eastAsia" w:ascii="仿宋" w:hAnsi="仿宋" w:eastAsia="仿宋"/>
          <w:sz w:val="30"/>
          <w:szCs w:val="30"/>
        </w:rPr>
        <w:t>服务方案</w:t>
      </w:r>
    </w:p>
    <w:p w14:paraId="2D148B46">
      <w:pPr>
        <w:tabs>
          <w:tab w:val="left" w:pos="840"/>
        </w:tabs>
        <w:autoSpaceDE w:val="0"/>
        <w:autoSpaceDN w:val="0"/>
        <w:adjustRightInd w:val="0"/>
        <w:spacing w:line="360" w:lineRule="auto"/>
        <w:jc w:val="left"/>
        <w:rPr>
          <w:rFonts w:ascii="仿宋" w:hAnsi="仿宋" w:eastAsia="仿宋"/>
          <w:sz w:val="24"/>
        </w:rPr>
      </w:pPr>
      <w:bookmarkStart w:id="337" w:name="_Hlk81831173"/>
    </w:p>
    <w:p w14:paraId="082FD706">
      <w:pPr>
        <w:tabs>
          <w:tab w:val="left" w:pos="840"/>
        </w:tabs>
        <w:autoSpaceDE w:val="0"/>
        <w:autoSpaceDN w:val="0"/>
        <w:adjustRightInd w:val="0"/>
        <w:spacing w:line="360" w:lineRule="auto"/>
        <w:jc w:val="left"/>
        <w:rPr>
          <w:rFonts w:ascii="仿宋" w:hAnsi="仿宋" w:eastAsia="仿宋"/>
          <w:sz w:val="24"/>
        </w:rPr>
      </w:pPr>
    </w:p>
    <w:p w14:paraId="2E58A572">
      <w:pPr>
        <w:tabs>
          <w:tab w:val="left" w:pos="840"/>
        </w:tabs>
        <w:autoSpaceDE w:val="0"/>
        <w:autoSpaceDN w:val="0"/>
        <w:adjustRightInd w:val="0"/>
        <w:spacing w:line="360" w:lineRule="auto"/>
        <w:jc w:val="left"/>
        <w:rPr>
          <w:rFonts w:ascii="仿宋" w:hAnsi="仿宋" w:eastAsia="仿宋"/>
          <w:sz w:val="24"/>
        </w:rPr>
      </w:pPr>
    </w:p>
    <w:p w14:paraId="19CFDCF5">
      <w:pPr>
        <w:tabs>
          <w:tab w:val="left" w:pos="840"/>
        </w:tabs>
        <w:autoSpaceDE w:val="0"/>
        <w:autoSpaceDN w:val="0"/>
        <w:adjustRightInd w:val="0"/>
        <w:spacing w:line="360" w:lineRule="auto"/>
        <w:jc w:val="left"/>
        <w:rPr>
          <w:rFonts w:ascii="仿宋" w:hAnsi="仿宋" w:eastAsia="仿宋"/>
          <w:sz w:val="24"/>
        </w:rPr>
      </w:pPr>
    </w:p>
    <w:bookmarkEnd w:id="337"/>
    <w:p w14:paraId="6718CD4C">
      <w:pPr>
        <w:spacing w:line="360" w:lineRule="auto"/>
        <w:rPr>
          <w:rFonts w:ascii="仿宋" w:hAnsi="仿宋" w:eastAsia="仿宋"/>
          <w:b/>
          <w:sz w:val="24"/>
        </w:rPr>
      </w:pPr>
    </w:p>
    <w:bookmarkEnd w:id="332"/>
    <w:bookmarkEnd w:id="333"/>
    <w:bookmarkEnd w:id="334"/>
    <w:bookmarkEnd w:id="335"/>
    <w:bookmarkEnd w:id="336"/>
    <w:p w14:paraId="3D88B7F3">
      <w:pPr>
        <w:pStyle w:val="68"/>
        <w:spacing w:line="480" w:lineRule="exact"/>
        <w:ind w:left="840"/>
        <w:jc w:val="center"/>
        <w:rPr>
          <w:rFonts w:ascii="仿宋" w:hAnsi="仿宋" w:eastAsia="仿宋"/>
          <w:szCs w:val="21"/>
        </w:rPr>
      </w:pPr>
      <w:r>
        <w:rPr>
          <w:rFonts w:ascii="仿宋" w:hAnsi="仿宋" w:eastAsia="仿宋" w:cs="黑体"/>
          <w:b/>
          <w:color w:val="auto"/>
          <w:sz w:val="28"/>
          <w:szCs w:val="28"/>
        </w:rPr>
        <w:br w:type="page"/>
      </w:r>
      <w:bookmarkStart w:id="338" w:name="_Hlk107391813"/>
      <w:bookmarkStart w:id="339" w:name="_Hlk81831481"/>
      <w:bookmarkStart w:id="340" w:name="_Hlk81831151"/>
    </w:p>
    <w:bookmarkEnd w:id="338"/>
    <w:bookmarkEnd w:id="339"/>
    <w:bookmarkEnd w:id="340"/>
    <w:p w14:paraId="112BF9FC">
      <w:pPr>
        <w:pStyle w:val="3"/>
        <w:numPr>
          <w:ilvl w:val="0"/>
          <w:numId w:val="3"/>
        </w:numPr>
        <w:spacing w:line="416" w:lineRule="auto"/>
        <w:jc w:val="center"/>
        <w:rPr>
          <w:rFonts w:ascii="仿宋" w:hAnsi="仿宋" w:eastAsia="仿宋"/>
          <w:sz w:val="30"/>
          <w:szCs w:val="30"/>
        </w:rPr>
      </w:pPr>
      <w:bookmarkStart w:id="341" w:name="_Hlk137493952"/>
      <w:r>
        <w:rPr>
          <w:rFonts w:hint="eastAsia" w:ascii="仿宋" w:hAnsi="仿宋" w:eastAsia="仿宋"/>
          <w:sz w:val="30"/>
          <w:szCs w:val="30"/>
        </w:rPr>
        <w:t>拟投入项目人员</w:t>
      </w:r>
    </w:p>
    <w:tbl>
      <w:tblPr>
        <w:tblStyle w:val="27"/>
        <w:tblW w:w="8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326"/>
        <w:gridCol w:w="1782"/>
        <w:gridCol w:w="3328"/>
        <w:gridCol w:w="1526"/>
      </w:tblGrid>
      <w:tr w14:paraId="3D337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vAlign w:val="center"/>
          </w:tcPr>
          <w:p w14:paraId="5F21E7E6">
            <w:pPr>
              <w:jc w:val="center"/>
              <w:rPr>
                <w:rFonts w:ascii="仿宋" w:hAnsi="仿宋" w:eastAsia="仿宋"/>
                <w:szCs w:val="21"/>
              </w:rPr>
            </w:pPr>
            <w:r>
              <w:rPr>
                <w:rFonts w:hint="eastAsia" w:ascii="仿宋" w:hAnsi="仿宋" w:eastAsia="仿宋"/>
                <w:szCs w:val="21"/>
              </w:rPr>
              <w:t>序号</w:t>
            </w:r>
          </w:p>
        </w:tc>
        <w:tc>
          <w:tcPr>
            <w:tcW w:w="1326" w:type="dxa"/>
            <w:vAlign w:val="center"/>
          </w:tcPr>
          <w:p w14:paraId="32CA5AF7">
            <w:pPr>
              <w:jc w:val="center"/>
              <w:rPr>
                <w:rFonts w:ascii="仿宋" w:hAnsi="仿宋" w:eastAsia="仿宋"/>
                <w:szCs w:val="21"/>
              </w:rPr>
            </w:pPr>
            <w:r>
              <w:rPr>
                <w:rFonts w:hint="eastAsia" w:ascii="仿宋" w:hAnsi="仿宋" w:eastAsia="仿宋"/>
                <w:szCs w:val="21"/>
              </w:rPr>
              <w:t>姓名</w:t>
            </w:r>
          </w:p>
        </w:tc>
        <w:tc>
          <w:tcPr>
            <w:tcW w:w="1782" w:type="dxa"/>
            <w:vAlign w:val="center"/>
          </w:tcPr>
          <w:p w14:paraId="18108B9A">
            <w:pPr>
              <w:jc w:val="center"/>
              <w:rPr>
                <w:rFonts w:ascii="仿宋" w:hAnsi="仿宋" w:eastAsia="仿宋"/>
                <w:szCs w:val="21"/>
              </w:rPr>
            </w:pPr>
            <w:r>
              <w:rPr>
                <w:rFonts w:hint="eastAsia" w:ascii="仿宋" w:hAnsi="仿宋" w:eastAsia="仿宋"/>
                <w:szCs w:val="21"/>
              </w:rPr>
              <w:t>职称</w:t>
            </w:r>
          </w:p>
        </w:tc>
        <w:tc>
          <w:tcPr>
            <w:tcW w:w="3328" w:type="dxa"/>
            <w:vAlign w:val="center"/>
          </w:tcPr>
          <w:p w14:paraId="4DC84C91">
            <w:pPr>
              <w:jc w:val="center"/>
              <w:rPr>
                <w:rFonts w:ascii="仿宋" w:hAnsi="仿宋" w:eastAsia="仿宋"/>
                <w:szCs w:val="21"/>
              </w:rPr>
            </w:pPr>
            <w:r>
              <w:rPr>
                <w:rFonts w:ascii="仿宋" w:hAnsi="仿宋" w:eastAsia="仿宋"/>
                <w:szCs w:val="21"/>
              </w:rPr>
              <w:t>拟在本项目担任职务</w:t>
            </w:r>
          </w:p>
        </w:tc>
        <w:tc>
          <w:tcPr>
            <w:tcW w:w="1526" w:type="dxa"/>
            <w:vAlign w:val="center"/>
          </w:tcPr>
          <w:p w14:paraId="182E244E">
            <w:pPr>
              <w:jc w:val="center"/>
              <w:rPr>
                <w:rFonts w:ascii="仿宋" w:hAnsi="仿宋" w:eastAsia="仿宋"/>
                <w:szCs w:val="21"/>
              </w:rPr>
            </w:pPr>
            <w:r>
              <w:rPr>
                <w:rFonts w:hint="eastAsia" w:ascii="仿宋" w:hAnsi="仿宋" w:eastAsia="仿宋"/>
                <w:szCs w:val="21"/>
              </w:rPr>
              <w:t>备注</w:t>
            </w:r>
          </w:p>
        </w:tc>
      </w:tr>
      <w:tr w14:paraId="234D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vAlign w:val="center"/>
          </w:tcPr>
          <w:p w14:paraId="7B90AC55">
            <w:pPr>
              <w:jc w:val="center"/>
              <w:rPr>
                <w:rFonts w:ascii="仿宋" w:hAnsi="仿宋" w:eastAsia="仿宋"/>
                <w:szCs w:val="21"/>
              </w:rPr>
            </w:pPr>
          </w:p>
        </w:tc>
        <w:tc>
          <w:tcPr>
            <w:tcW w:w="1326" w:type="dxa"/>
            <w:vAlign w:val="center"/>
          </w:tcPr>
          <w:p w14:paraId="78303D20">
            <w:pPr>
              <w:jc w:val="center"/>
              <w:rPr>
                <w:rFonts w:ascii="仿宋" w:hAnsi="仿宋" w:eastAsia="仿宋"/>
                <w:szCs w:val="21"/>
              </w:rPr>
            </w:pPr>
          </w:p>
        </w:tc>
        <w:tc>
          <w:tcPr>
            <w:tcW w:w="1782" w:type="dxa"/>
            <w:vAlign w:val="center"/>
          </w:tcPr>
          <w:p w14:paraId="6DA5E564">
            <w:pPr>
              <w:jc w:val="center"/>
              <w:rPr>
                <w:rFonts w:ascii="仿宋" w:hAnsi="仿宋" w:eastAsia="仿宋"/>
                <w:szCs w:val="21"/>
              </w:rPr>
            </w:pPr>
          </w:p>
        </w:tc>
        <w:tc>
          <w:tcPr>
            <w:tcW w:w="3328" w:type="dxa"/>
            <w:vAlign w:val="center"/>
          </w:tcPr>
          <w:p w14:paraId="105E1568">
            <w:pPr>
              <w:jc w:val="center"/>
              <w:rPr>
                <w:rFonts w:ascii="仿宋" w:hAnsi="仿宋" w:eastAsia="仿宋"/>
                <w:szCs w:val="21"/>
              </w:rPr>
            </w:pPr>
          </w:p>
        </w:tc>
        <w:tc>
          <w:tcPr>
            <w:tcW w:w="1526" w:type="dxa"/>
            <w:vAlign w:val="center"/>
          </w:tcPr>
          <w:p w14:paraId="0467F5CD">
            <w:pPr>
              <w:jc w:val="center"/>
              <w:rPr>
                <w:rFonts w:ascii="仿宋" w:hAnsi="仿宋" w:eastAsia="仿宋"/>
                <w:szCs w:val="21"/>
              </w:rPr>
            </w:pPr>
          </w:p>
        </w:tc>
      </w:tr>
      <w:tr w14:paraId="28C7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vAlign w:val="center"/>
          </w:tcPr>
          <w:p w14:paraId="6AF7E7DB">
            <w:pPr>
              <w:jc w:val="center"/>
              <w:rPr>
                <w:rFonts w:ascii="仿宋" w:hAnsi="仿宋" w:eastAsia="仿宋"/>
                <w:szCs w:val="21"/>
              </w:rPr>
            </w:pPr>
          </w:p>
        </w:tc>
        <w:tc>
          <w:tcPr>
            <w:tcW w:w="1326" w:type="dxa"/>
            <w:vAlign w:val="center"/>
          </w:tcPr>
          <w:p w14:paraId="43869E1E">
            <w:pPr>
              <w:jc w:val="center"/>
              <w:rPr>
                <w:rFonts w:ascii="仿宋" w:hAnsi="仿宋" w:eastAsia="仿宋"/>
                <w:szCs w:val="21"/>
              </w:rPr>
            </w:pPr>
          </w:p>
        </w:tc>
        <w:tc>
          <w:tcPr>
            <w:tcW w:w="1782" w:type="dxa"/>
            <w:vAlign w:val="center"/>
          </w:tcPr>
          <w:p w14:paraId="1E6CAB8F">
            <w:pPr>
              <w:jc w:val="center"/>
              <w:rPr>
                <w:rFonts w:ascii="仿宋" w:hAnsi="仿宋" w:eastAsia="仿宋"/>
                <w:szCs w:val="21"/>
              </w:rPr>
            </w:pPr>
          </w:p>
        </w:tc>
        <w:tc>
          <w:tcPr>
            <w:tcW w:w="3328" w:type="dxa"/>
            <w:vAlign w:val="center"/>
          </w:tcPr>
          <w:p w14:paraId="49FE4B70">
            <w:pPr>
              <w:jc w:val="center"/>
              <w:rPr>
                <w:rFonts w:ascii="仿宋" w:hAnsi="仿宋" w:eastAsia="仿宋"/>
                <w:szCs w:val="21"/>
              </w:rPr>
            </w:pPr>
          </w:p>
        </w:tc>
        <w:tc>
          <w:tcPr>
            <w:tcW w:w="1526" w:type="dxa"/>
            <w:vAlign w:val="center"/>
          </w:tcPr>
          <w:p w14:paraId="3BA0F442">
            <w:pPr>
              <w:jc w:val="center"/>
              <w:rPr>
                <w:rFonts w:ascii="仿宋" w:hAnsi="仿宋" w:eastAsia="仿宋"/>
                <w:szCs w:val="21"/>
              </w:rPr>
            </w:pPr>
          </w:p>
        </w:tc>
      </w:tr>
      <w:tr w14:paraId="138A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vAlign w:val="center"/>
          </w:tcPr>
          <w:p w14:paraId="0522B38A">
            <w:pPr>
              <w:jc w:val="center"/>
              <w:rPr>
                <w:rFonts w:ascii="仿宋" w:hAnsi="仿宋" w:eastAsia="仿宋"/>
                <w:szCs w:val="21"/>
              </w:rPr>
            </w:pPr>
          </w:p>
        </w:tc>
        <w:tc>
          <w:tcPr>
            <w:tcW w:w="1326" w:type="dxa"/>
            <w:vAlign w:val="center"/>
          </w:tcPr>
          <w:p w14:paraId="1F4E6DEE">
            <w:pPr>
              <w:jc w:val="center"/>
              <w:rPr>
                <w:rFonts w:ascii="仿宋" w:hAnsi="仿宋" w:eastAsia="仿宋"/>
                <w:szCs w:val="21"/>
              </w:rPr>
            </w:pPr>
          </w:p>
        </w:tc>
        <w:tc>
          <w:tcPr>
            <w:tcW w:w="1782" w:type="dxa"/>
            <w:vAlign w:val="center"/>
          </w:tcPr>
          <w:p w14:paraId="1EDC112A">
            <w:pPr>
              <w:jc w:val="center"/>
              <w:rPr>
                <w:rFonts w:ascii="仿宋" w:hAnsi="仿宋" w:eastAsia="仿宋"/>
                <w:szCs w:val="21"/>
              </w:rPr>
            </w:pPr>
          </w:p>
        </w:tc>
        <w:tc>
          <w:tcPr>
            <w:tcW w:w="3328" w:type="dxa"/>
            <w:vAlign w:val="center"/>
          </w:tcPr>
          <w:p w14:paraId="7B8B3998">
            <w:pPr>
              <w:jc w:val="center"/>
              <w:rPr>
                <w:rFonts w:ascii="仿宋" w:hAnsi="仿宋" w:eastAsia="仿宋"/>
                <w:szCs w:val="21"/>
              </w:rPr>
            </w:pPr>
          </w:p>
        </w:tc>
        <w:tc>
          <w:tcPr>
            <w:tcW w:w="1526" w:type="dxa"/>
            <w:vAlign w:val="center"/>
          </w:tcPr>
          <w:p w14:paraId="272D650C">
            <w:pPr>
              <w:jc w:val="center"/>
              <w:rPr>
                <w:rFonts w:ascii="仿宋" w:hAnsi="仿宋" w:eastAsia="仿宋"/>
                <w:szCs w:val="21"/>
              </w:rPr>
            </w:pPr>
          </w:p>
        </w:tc>
      </w:tr>
      <w:tr w14:paraId="1C0A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vAlign w:val="center"/>
          </w:tcPr>
          <w:p w14:paraId="382CCBA8">
            <w:pPr>
              <w:jc w:val="center"/>
              <w:rPr>
                <w:rFonts w:ascii="仿宋" w:hAnsi="仿宋" w:eastAsia="仿宋"/>
                <w:szCs w:val="21"/>
              </w:rPr>
            </w:pPr>
          </w:p>
        </w:tc>
        <w:tc>
          <w:tcPr>
            <w:tcW w:w="1326" w:type="dxa"/>
            <w:vAlign w:val="center"/>
          </w:tcPr>
          <w:p w14:paraId="298DB457">
            <w:pPr>
              <w:jc w:val="center"/>
              <w:rPr>
                <w:rFonts w:ascii="仿宋" w:hAnsi="仿宋" w:eastAsia="仿宋"/>
                <w:szCs w:val="21"/>
              </w:rPr>
            </w:pPr>
          </w:p>
        </w:tc>
        <w:tc>
          <w:tcPr>
            <w:tcW w:w="1782" w:type="dxa"/>
            <w:vAlign w:val="center"/>
          </w:tcPr>
          <w:p w14:paraId="3C4C2BF2">
            <w:pPr>
              <w:jc w:val="center"/>
              <w:rPr>
                <w:rFonts w:ascii="仿宋" w:hAnsi="仿宋" w:eastAsia="仿宋"/>
                <w:szCs w:val="21"/>
              </w:rPr>
            </w:pPr>
          </w:p>
        </w:tc>
        <w:tc>
          <w:tcPr>
            <w:tcW w:w="3328" w:type="dxa"/>
            <w:vAlign w:val="center"/>
          </w:tcPr>
          <w:p w14:paraId="513EC18C">
            <w:pPr>
              <w:jc w:val="center"/>
              <w:rPr>
                <w:rFonts w:ascii="仿宋" w:hAnsi="仿宋" w:eastAsia="仿宋"/>
                <w:szCs w:val="21"/>
              </w:rPr>
            </w:pPr>
          </w:p>
        </w:tc>
        <w:tc>
          <w:tcPr>
            <w:tcW w:w="1526" w:type="dxa"/>
            <w:vAlign w:val="center"/>
          </w:tcPr>
          <w:p w14:paraId="6F940181">
            <w:pPr>
              <w:jc w:val="center"/>
              <w:rPr>
                <w:rFonts w:ascii="仿宋" w:hAnsi="仿宋" w:eastAsia="仿宋"/>
                <w:szCs w:val="21"/>
              </w:rPr>
            </w:pPr>
          </w:p>
        </w:tc>
      </w:tr>
      <w:tr w14:paraId="41C45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vAlign w:val="center"/>
          </w:tcPr>
          <w:p w14:paraId="6204C06B">
            <w:pPr>
              <w:jc w:val="center"/>
              <w:rPr>
                <w:rFonts w:ascii="仿宋" w:hAnsi="仿宋" w:eastAsia="仿宋"/>
                <w:szCs w:val="21"/>
              </w:rPr>
            </w:pPr>
          </w:p>
        </w:tc>
        <w:tc>
          <w:tcPr>
            <w:tcW w:w="1326" w:type="dxa"/>
            <w:vAlign w:val="center"/>
          </w:tcPr>
          <w:p w14:paraId="6B56C6C0">
            <w:pPr>
              <w:jc w:val="center"/>
              <w:rPr>
                <w:rFonts w:ascii="仿宋" w:hAnsi="仿宋" w:eastAsia="仿宋"/>
                <w:szCs w:val="21"/>
              </w:rPr>
            </w:pPr>
          </w:p>
        </w:tc>
        <w:tc>
          <w:tcPr>
            <w:tcW w:w="1782" w:type="dxa"/>
            <w:vAlign w:val="center"/>
          </w:tcPr>
          <w:p w14:paraId="7B139394">
            <w:pPr>
              <w:jc w:val="center"/>
              <w:rPr>
                <w:rFonts w:ascii="仿宋" w:hAnsi="仿宋" w:eastAsia="仿宋"/>
                <w:szCs w:val="21"/>
              </w:rPr>
            </w:pPr>
          </w:p>
        </w:tc>
        <w:tc>
          <w:tcPr>
            <w:tcW w:w="3328" w:type="dxa"/>
            <w:vAlign w:val="center"/>
          </w:tcPr>
          <w:p w14:paraId="3911A142">
            <w:pPr>
              <w:jc w:val="center"/>
              <w:rPr>
                <w:rFonts w:ascii="仿宋" w:hAnsi="仿宋" w:eastAsia="仿宋"/>
                <w:szCs w:val="21"/>
              </w:rPr>
            </w:pPr>
          </w:p>
        </w:tc>
        <w:tc>
          <w:tcPr>
            <w:tcW w:w="1526" w:type="dxa"/>
            <w:vAlign w:val="center"/>
          </w:tcPr>
          <w:p w14:paraId="74642AA1">
            <w:pPr>
              <w:jc w:val="center"/>
              <w:rPr>
                <w:rFonts w:ascii="仿宋" w:hAnsi="仿宋" w:eastAsia="仿宋"/>
                <w:szCs w:val="21"/>
              </w:rPr>
            </w:pPr>
          </w:p>
        </w:tc>
      </w:tr>
      <w:tr w14:paraId="71621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9" w:type="dxa"/>
          </w:tcPr>
          <w:p w14:paraId="2378AFBD">
            <w:pPr>
              <w:jc w:val="center"/>
              <w:rPr>
                <w:rFonts w:ascii="仿宋" w:hAnsi="仿宋" w:eastAsia="仿宋"/>
                <w:szCs w:val="21"/>
              </w:rPr>
            </w:pPr>
            <w:r>
              <w:rPr>
                <w:rFonts w:hint="eastAsia" w:ascii="仿宋" w:hAnsi="仿宋" w:eastAsia="仿宋"/>
                <w:szCs w:val="21"/>
              </w:rPr>
              <w:t>……</w:t>
            </w:r>
          </w:p>
        </w:tc>
        <w:tc>
          <w:tcPr>
            <w:tcW w:w="1326" w:type="dxa"/>
          </w:tcPr>
          <w:p w14:paraId="67FABDA0">
            <w:pPr>
              <w:jc w:val="center"/>
              <w:rPr>
                <w:rFonts w:ascii="仿宋" w:hAnsi="仿宋" w:eastAsia="仿宋"/>
                <w:szCs w:val="21"/>
              </w:rPr>
            </w:pPr>
            <w:r>
              <w:rPr>
                <w:rFonts w:hint="eastAsia" w:ascii="仿宋" w:hAnsi="仿宋" w:eastAsia="仿宋"/>
                <w:szCs w:val="21"/>
              </w:rPr>
              <w:t>……</w:t>
            </w:r>
          </w:p>
        </w:tc>
        <w:tc>
          <w:tcPr>
            <w:tcW w:w="1782" w:type="dxa"/>
          </w:tcPr>
          <w:p w14:paraId="19498668">
            <w:pPr>
              <w:jc w:val="center"/>
              <w:rPr>
                <w:rFonts w:ascii="仿宋" w:hAnsi="仿宋" w:eastAsia="仿宋"/>
                <w:szCs w:val="21"/>
              </w:rPr>
            </w:pPr>
            <w:r>
              <w:rPr>
                <w:rFonts w:hint="eastAsia" w:ascii="仿宋" w:hAnsi="仿宋" w:eastAsia="仿宋"/>
                <w:szCs w:val="21"/>
              </w:rPr>
              <w:t>……</w:t>
            </w:r>
          </w:p>
        </w:tc>
        <w:tc>
          <w:tcPr>
            <w:tcW w:w="3328" w:type="dxa"/>
          </w:tcPr>
          <w:p w14:paraId="34B6111C">
            <w:pPr>
              <w:jc w:val="center"/>
              <w:rPr>
                <w:rFonts w:ascii="仿宋" w:hAnsi="仿宋" w:eastAsia="仿宋"/>
                <w:szCs w:val="21"/>
              </w:rPr>
            </w:pPr>
            <w:r>
              <w:rPr>
                <w:rFonts w:hint="eastAsia" w:ascii="仿宋" w:hAnsi="仿宋" w:eastAsia="仿宋"/>
                <w:szCs w:val="21"/>
              </w:rPr>
              <w:t>……</w:t>
            </w:r>
          </w:p>
        </w:tc>
        <w:tc>
          <w:tcPr>
            <w:tcW w:w="1526" w:type="dxa"/>
          </w:tcPr>
          <w:p w14:paraId="47BB2408">
            <w:pPr>
              <w:jc w:val="center"/>
              <w:rPr>
                <w:rFonts w:ascii="仿宋" w:hAnsi="仿宋" w:eastAsia="仿宋"/>
                <w:szCs w:val="21"/>
              </w:rPr>
            </w:pPr>
            <w:r>
              <w:rPr>
                <w:rFonts w:hint="eastAsia" w:ascii="仿宋" w:hAnsi="仿宋" w:eastAsia="仿宋"/>
                <w:szCs w:val="21"/>
              </w:rPr>
              <w:t>……</w:t>
            </w:r>
          </w:p>
        </w:tc>
      </w:tr>
    </w:tbl>
    <w:p w14:paraId="5C24B5D8">
      <w:pPr>
        <w:spacing w:line="360" w:lineRule="auto"/>
        <w:rPr>
          <w:rFonts w:ascii="仿宋" w:hAnsi="仿宋" w:eastAsia="仿宋"/>
          <w:szCs w:val="21"/>
        </w:rPr>
      </w:pPr>
    </w:p>
    <w:p w14:paraId="32972E7F">
      <w:pPr>
        <w:pStyle w:val="12"/>
        <w:spacing w:line="600" w:lineRule="auto"/>
        <w:ind w:left="0" w:leftChars="0" w:firstLine="315" w:firstLineChars="150"/>
        <w:rPr>
          <w:rFonts w:ascii="仿宋" w:hAnsi="仿宋" w:eastAsia="仿宋"/>
          <w:b/>
          <w:szCs w:val="21"/>
        </w:rPr>
      </w:pPr>
      <w:r>
        <w:rPr>
          <w:rFonts w:hint="eastAsia" w:ascii="仿宋" w:hAnsi="仿宋" w:eastAsia="仿宋"/>
          <w:szCs w:val="21"/>
        </w:rPr>
        <w:t xml:space="preserve">    </w:t>
      </w:r>
    </w:p>
    <w:bookmarkEnd w:id="341"/>
    <w:p w14:paraId="269A1B0F">
      <w:pPr>
        <w:pStyle w:val="3"/>
        <w:numPr>
          <w:ilvl w:val="0"/>
          <w:numId w:val="3"/>
        </w:numPr>
        <w:spacing w:line="416" w:lineRule="auto"/>
        <w:jc w:val="center"/>
        <w:rPr>
          <w:rFonts w:ascii="仿宋" w:hAnsi="仿宋" w:eastAsia="仿宋" w:cs="仿宋"/>
          <w:color w:val="auto"/>
        </w:rPr>
      </w:pPr>
      <w:r>
        <w:rPr>
          <w:rFonts w:ascii="仿宋" w:hAnsi="仿宋" w:eastAsia="仿宋"/>
          <w:b w:val="0"/>
          <w:szCs w:val="21"/>
        </w:rPr>
        <w:br w:type="page"/>
      </w:r>
      <w:r>
        <w:rPr>
          <w:rFonts w:hint="eastAsia" w:ascii="仿宋" w:hAnsi="仿宋" w:eastAsia="仿宋" w:cs="Times New Roman"/>
          <w:sz w:val="30"/>
          <w:szCs w:val="30"/>
        </w:rPr>
        <w:t>类似项目情况表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740"/>
        <w:gridCol w:w="994"/>
        <w:gridCol w:w="1856"/>
        <w:gridCol w:w="1178"/>
        <w:gridCol w:w="1283"/>
        <w:gridCol w:w="1198"/>
      </w:tblGrid>
      <w:tr w14:paraId="2150C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96" w:type="dxa"/>
            <w:noWrap w:val="0"/>
            <w:vAlign w:val="center"/>
          </w:tcPr>
          <w:p w14:paraId="287BB112">
            <w:pPr>
              <w:snapToGrid w:val="0"/>
              <w:spacing w:line="360" w:lineRule="auto"/>
              <w:jc w:val="center"/>
              <w:rPr>
                <w:rFonts w:ascii="仿宋" w:hAnsi="仿宋" w:eastAsia="仿宋" w:cs="仿宋"/>
                <w:color w:val="auto"/>
                <w:sz w:val="24"/>
              </w:rPr>
            </w:pPr>
            <w:r>
              <w:rPr>
                <w:rFonts w:hint="eastAsia" w:ascii="仿宋" w:hAnsi="仿宋" w:eastAsia="仿宋" w:cs="仿宋"/>
                <w:color w:val="auto"/>
                <w:sz w:val="24"/>
              </w:rPr>
              <w:t>序号</w:t>
            </w:r>
          </w:p>
        </w:tc>
        <w:tc>
          <w:tcPr>
            <w:tcW w:w="1740" w:type="dxa"/>
            <w:noWrap w:val="0"/>
            <w:vAlign w:val="center"/>
          </w:tcPr>
          <w:p w14:paraId="5D13AA5C">
            <w:pPr>
              <w:snapToGrid w:val="0"/>
              <w:spacing w:line="360" w:lineRule="auto"/>
              <w:jc w:val="center"/>
              <w:rPr>
                <w:rFonts w:ascii="仿宋" w:hAnsi="仿宋" w:eastAsia="仿宋" w:cs="仿宋"/>
                <w:color w:val="auto"/>
                <w:sz w:val="24"/>
              </w:rPr>
            </w:pPr>
            <w:r>
              <w:rPr>
                <w:rFonts w:hint="eastAsia" w:ascii="仿宋" w:hAnsi="仿宋" w:eastAsia="仿宋" w:cs="仿宋"/>
                <w:color w:val="auto"/>
                <w:sz w:val="24"/>
              </w:rPr>
              <w:t>项目名称</w:t>
            </w:r>
          </w:p>
        </w:tc>
        <w:tc>
          <w:tcPr>
            <w:tcW w:w="994" w:type="dxa"/>
            <w:noWrap w:val="0"/>
            <w:vAlign w:val="center"/>
          </w:tcPr>
          <w:p w14:paraId="59DFE22A">
            <w:pPr>
              <w:snapToGrid w:val="0"/>
              <w:spacing w:line="360" w:lineRule="auto"/>
              <w:jc w:val="center"/>
              <w:rPr>
                <w:rFonts w:ascii="仿宋" w:hAnsi="仿宋" w:eastAsia="仿宋" w:cs="仿宋"/>
                <w:color w:val="auto"/>
                <w:sz w:val="24"/>
              </w:rPr>
            </w:pPr>
            <w:r>
              <w:rPr>
                <w:rFonts w:hint="eastAsia" w:ascii="仿宋" w:hAnsi="仿宋" w:eastAsia="仿宋" w:cs="仿宋"/>
                <w:color w:val="auto"/>
                <w:sz w:val="24"/>
              </w:rPr>
              <w:t>所在地</w:t>
            </w:r>
          </w:p>
        </w:tc>
        <w:tc>
          <w:tcPr>
            <w:tcW w:w="1856" w:type="dxa"/>
            <w:noWrap w:val="0"/>
            <w:vAlign w:val="center"/>
          </w:tcPr>
          <w:p w14:paraId="01AC1160">
            <w:pPr>
              <w:snapToGrid w:val="0"/>
              <w:spacing w:line="360" w:lineRule="auto"/>
              <w:jc w:val="center"/>
              <w:rPr>
                <w:rFonts w:ascii="仿宋" w:hAnsi="仿宋" w:eastAsia="仿宋" w:cs="仿宋"/>
                <w:color w:val="auto"/>
                <w:sz w:val="24"/>
              </w:rPr>
            </w:pPr>
            <w:r>
              <w:rPr>
                <w:rFonts w:hint="eastAsia" w:ascii="仿宋" w:hAnsi="仿宋" w:eastAsia="仿宋" w:cs="仿宋"/>
                <w:color w:val="auto"/>
                <w:sz w:val="24"/>
              </w:rPr>
              <w:t>主要工作内容</w:t>
            </w:r>
          </w:p>
        </w:tc>
        <w:tc>
          <w:tcPr>
            <w:tcW w:w="1178" w:type="dxa"/>
            <w:noWrap w:val="0"/>
            <w:vAlign w:val="center"/>
          </w:tcPr>
          <w:p w14:paraId="41266A46">
            <w:pPr>
              <w:snapToGrid w:val="0"/>
              <w:spacing w:line="360" w:lineRule="auto"/>
              <w:jc w:val="center"/>
              <w:rPr>
                <w:rFonts w:ascii="仿宋" w:hAnsi="仿宋" w:eastAsia="仿宋" w:cs="仿宋"/>
                <w:color w:val="auto"/>
                <w:sz w:val="24"/>
              </w:rPr>
            </w:pPr>
            <w:r>
              <w:rPr>
                <w:rFonts w:hint="eastAsia" w:ascii="仿宋" w:hAnsi="仿宋" w:eastAsia="仿宋" w:cs="仿宋"/>
                <w:color w:val="auto"/>
                <w:sz w:val="24"/>
              </w:rPr>
              <w:t>合同签订日期</w:t>
            </w:r>
          </w:p>
        </w:tc>
        <w:tc>
          <w:tcPr>
            <w:tcW w:w="1283" w:type="dxa"/>
            <w:noWrap w:val="0"/>
            <w:vAlign w:val="center"/>
          </w:tcPr>
          <w:p w14:paraId="6801268A">
            <w:pPr>
              <w:snapToGrid w:val="0"/>
              <w:spacing w:line="360" w:lineRule="auto"/>
              <w:jc w:val="center"/>
              <w:rPr>
                <w:rFonts w:hint="eastAsia" w:ascii="仿宋" w:hAnsi="仿宋" w:eastAsia="仿宋" w:cs="仿宋"/>
                <w:color w:val="auto"/>
                <w:sz w:val="24"/>
                <w:lang w:eastAsia="zh-CN"/>
              </w:rPr>
            </w:pPr>
            <w:r>
              <w:rPr>
                <w:rFonts w:hint="eastAsia" w:ascii="仿宋" w:hAnsi="仿宋" w:eastAsia="仿宋" w:cs="仿宋"/>
                <w:color w:val="auto"/>
                <w:sz w:val="24"/>
              </w:rPr>
              <w:t>服务</w:t>
            </w:r>
            <w:r>
              <w:rPr>
                <w:rFonts w:hint="eastAsia" w:ascii="仿宋" w:hAnsi="仿宋" w:eastAsia="仿宋" w:cs="仿宋"/>
                <w:color w:val="auto"/>
                <w:sz w:val="24"/>
                <w:lang w:val="en-US" w:eastAsia="zh-CN"/>
              </w:rPr>
              <w:t>期限</w:t>
            </w:r>
          </w:p>
        </w:tc>
        <w:tc>
          <w:tcPr>
            <w:tcW w:w="1198" w:type="dxa"/>
            <w:noWrap w:val="0"/>
            <w:vAlign w:val="center"/>
          </w:tcPr>
          <w:p w14:paraId="3495F2CF">
            <w:pPr>
              <w:snapToGrid w:val="0"/>
              <w:spacing w:line="360" w:lineRule="auto"/>
              <w:jc w:val="center"/>
              <w:rPr>
                <w:rFonts w:ascii="仿宋" w:hAnsi="仿宋" w:eastAsia="仿宋" w:cs="仿宋"/>
                <w:color w:val="auto"/>
                <w:sz w:val="24"/>
              </w:rPr>
            </w:pPr>
            <w:r>
              <w:rPr>
                <w:rFonts w:hint="eastAsia" w:ascii="仿宋" w:hAnsi="仿宋" w:eastAsia="仿宋" w:cs="仿宋"/>
                <w:color w:val="auto"/>
                <w:sz w:val="24"/>
              </w:rPr>
              <w:t>合同价</w:t>
            </w:r>
          </w:p>
        </w:tc>
      </w:tr>
      <w:tr w14:paraId="5EA3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796" w:type="dxa"/>
            <w:noWrap w:val="0"/>
            <w:vAlign w:val="center"/>
          </w:tcPr>
          <w:p w14:paraId="35B40DFC">
            <w:pPr>
              <w:snapToGrid w:val="0"/>
              <w:spacing w:line="360" w:lineRule="auto"/>
              <w:jc w:val="center"/>
              <w:rPr>
                <w:rFonts w:ascii="仿宋" w:hAnsi="仿宋" w:eastAsia="仿宋" w:cs="仿宋"/>
                <w:color w:val="auto"/>
                <w:sz w:val="24"/>
              </w:rPr>
            </w:pPr>
          </w:p>
        </w:tc>
        <w:tc>
          <w:tcPr>
            <w:tcW w:w="1740" w:type="dxa"/>
            <w:noWrap w:val="0"/>
            <w:vAlign w:val="center"/>
          </w:tcPr>
          <w:p w14:paraId="7D5F0393">
            <w:pPr>
              <w:snapToGrid w:val="0"/>
              <w:spacing w:line="360" w:lineRule="auto"/>
              <w:jc w:val="center"/>
              <w:rPr>
                <w:rFonts w:ascii="仿宋" w:hAnsi="仿宋" w:eastAsia="仿宋" w:cs="仿宋"/>
                <w:color w:val="auto"/>
                <w:sz w:val="24"/>
              </w:rPr>
            </w:pPr>
          </w:p>
        </w:tc>
        <w:tc>
          <w:tcPr>
            <w:tcW w:w="994" w:type="dxa"/>
            <w:noWrap w:val="0"/>
            <w:vAlign w:val="center"/>
          </w:tcPr>
          <w:p w14:paraId="3ED0C6F0">
            <w:pPr>
              <w:snapToGrid w:val="0"/>
              <w:spacing w:line="360" w:lineRule="auto"/>
              <w:jc w:val="center"/>
              <w:rPr>
                <w:rFonts w:ascii="仿宋" w:hAnsi="仿宋" w:eastAsia="仿宋" w:cs="仿宋"/>
                <w:color w:val="auto"/>
                <w:sz w:val="24"/>
              </w:rPr>
            </w:pPr>
          </w:p>
        </w:tc>
        <w:tc>
          <w:tcPr>
            <w:tcW w:w="1856" w:type="dxa"/>
            <w:noWrap w:val="0"/>
            <w:vAlign w:val="center"/>
          </w:tcPr>
          <w:p w14:paraId="7667CDC0">
            <w:pPr>
              <w:snapToGrid w:val="0"/>
              <w:spacing w:line="360" w:lineRule="auto"/>
              <w:jc w:val="center"/>
              <w:rPr>
                <w:rFonts w:ascii="仿宋" w:hAnsi="仿宋" w:eastAsia="仿宋" w:cs="仿宋"/>
                <w:color w:val="auto"/>
                <w:sz w:val="24"/>
              </w:rPr>
            </w:pPr>
          </w:p>
        </w:tc>
        <w:tc>
          <w:tcPr>
            <w:tcW w:w="1178" w:type="dxa"/>
            <w:noWrap w:val="0"/>
            <w:vAlign w:val="center"/>
          </w:tcPr>
          <w:p w14:paraId="5138A698">
            <w:pPr>
              <w:snapToGrid w:val="0"/>
              <w:spacing w:line="360" w:lineRule="auto"/>
              <w:jc w:val="center"/>
              <w:rPr>
                <w:rFonts w:ascii="仿宋" w:hAnsi="仿宋" w:eastAsia="仿宋" w:cs="仿宋"/>
                <w:color w:val="auto"/>
                <w:sz w:val="24"/>
              </w:rPr>
            </w:pPr>
          </w:p>
        </w:tc>
        <w:tc>
          <w:tcPr>
            <w:tcW w:w="1283" w:type="dxa"/>
            <w:noWrap w:val="0"/>
            <w:vAlign w:val="center"/>
          </w:tcPr>
          <w:p w14:paraId="03C57F53">
            <w:pPr>
              <w:snapToGrid w:val="0"/>
              <w:spacing w:line="360" w:lineRule="auto"/>
              <w:jc w:val="center"/>
              <w:rPr>
                <w:rFonts w:ascii="仿宋" w:hAnsi="仿宋" w:eastAsia="仿宋" w:cs="仿宋"/>
                <w:color w:val="auto"/>
                <w:sz w:val="24"/>
              </w:rPr>
            </w:pPr>
          </w:p>
        </w:tc>
        <w:tc>
          <w:tcPr>
            <w:tcW w:w="1198" w:type="dxa"/>
            <w:noWrap w:val="0"/>
            <w:vAlign w:val="center"/>
          </w:tcPr>
          <w:p w14:paraId="2A2AD429">
            <w:pPr>
              <w:snapToGrid w:val="0"/>
              <w:spacing w:line="360" w:lineRule="auto"/>
              <w:jc w:val="center"/>
              <w:rPr>
                <w:rFonts w:ascii="仿宋" w:hAnsi="仿宋" w:eastAsia="仿宋" w:cs="仿宋"/>
                <w:color w:val="auto"/>
                <w:sz w:val="24"/>
              </w:rPr>
            </w:pPr>
          </w:p>
        </w:tc>
      </w:tr>
      <w:tr w14:paraId="7F48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796" w:type="dxa"/>
            <w:noWrap w:val="0"/>
            <w:vAlign w:val="center"/>
          </w:tcPr>
          <w:p w14:paraId="2BE1B099">
            <w:pPr>
              <w:snapToGrid w:val="0"/>
              <w:spacing w:line="360" w:lineRule="auto"/>
              <w:jc w:val="center"/>
              <w:rPr>
                <w:rFonts w:ascii="仿宋" w:hAnsi="仿宋" w:eastAsia="仿宋" w:cs="仿宋"/>
                <w:color w:val="auto"/>
                <w:sz w:val="24"/>
              </w:rPr>
            </w:pPr>
          </w:p>
        </w:tc>
        <w:tc>
          <w:tcPr>
            <w:tcW w:w="1740" w:type="dxa"/>
            <w:noWrap w:val="0"/>
            <w:vAlign w:val="center"/>
          </w:tcPr>
          <w:p w14:paraId="21298C02">
            <w:pPr>
              <w:snapToGrid w:val="0"/>
              <w:spacing w:line="360" w:lineRule="auto"/>
              <w:jc w:val="center"/>
              <w:rPr>
                <w:rFonts w:ascii="仿宋" w:hAnsi="仿宋" w:eastAsia="仿宋" w:cs="仿宋"/>
                <w:color w:val="auto"/>
                <w:sz w:val="24"/>
              </w:rPr>
            </w:pPr>
          </w:p>
        </w:tc>
        <w:tc>
          <w:tcPr>
            <w:tcW w:w="994" w:type="dxa"/>
            <w:noWrap w:val="0"/>
            <w:vAlign w:val="center"/>
          </w:tcPr>
          <w:p w14:paraId="06D68589">
            <w:pPr>
              <w:snapToGrid w:val="0"/>
              <w:spacing w:line="360" w:lineRule="auto"/>
              <w:jc w:val="center"/>
              <w:rPr>
                <w:rFonts w:ascii="仿宋" w:hAnsi="仿宋" w:eastAsia="仿宋" w:cs="仿宋"/>
                <w:color w:val="auto"/>
                <w:sz w:val="24"/>
              </w:rPr>
            </w:pPr>
          </w:p>
        </w:tc>
        <w:tc>
          <w:tcPr>
            <w:tcW w:w="1856" w:type="dxa"/>
            <w:noWrap w:val="0"/>
            <w:vAlign w:val="center"/>
          </w:tcPr>
          <w:p w14:paraId="60BA89F8">
            <w:pPr>
              <w:snapToGrid w:val="0"/>
              <w:spacing w:line="360" w:lineRule="auto"/>
              <w:jc w:val="center"/>
              <w:rPr>
                <w:rFonts w:ascii="仿宋" w:hAnsi="仿宋" w:eastAsia="仿宋" w:cs="仿宋"/>
                <w:color w:val="auto"/>
                <w:sz w:val="24"/>
              </w:rPr>
            </w:pPr>
          </w:p>
        </w:tc>
        <w:tc>
          <w:tcPr>
            <w:tcW w:w="1178" w:type="dxa"/>
            <w:noWrap w:val="0"/>
            <w:vAlign w:val="center"/>
          </w:tcPr>
          <w:p w14:paraId="4D3A667F">
            <w:pPr>
              <w:snapToGrid w:val="0"/>
              <w:spacing w:line="360" w:lineRule="auto"/>
              <w:jc w:val="center"/>
              <w:rPr>
                <w:rFonts w:ascii="仿宋" w:hAnsi="仿宋" w:eastAsia="仿宋" w:cs="仿宋"/>
                <w:color w:val="auto"/>
                <w:sz w:val="24"/>
              </w:rPr>
            </w:pPr>
          </w:p>
        </w:tc>
        <w:tc>
          <w:tcPr>
            <w:tcW w:w="1283" w:type="dxa"/>
            <w:noWrap w:val="0"/>
            <w:vAlign w:val="center"/>
          </w:tcPr>
          <w:p w14:paraId="62F5EF07">
            <w:pPr>
              <w:snapToGrid w:val="0"/>
              <w:spacing w:line="360" w:lineRule="auto"/>
              <w:jc w:val="center"/>
              <w:rPr>
                <w:rFonts w:ascii="仿宋" w:hAnsi="仿宋" w:eastAsia="仿宋" w:cs="仿宋"/>
                <w:color w:val="auto"/>
                <w:sz w:val="24"/>
              </w:rPr>
            </w:pPr>
          </w:p>
        </w:tc>
        <w:tc>
          <w:tcPr>
            <w:tcW w:w="1198" w:type="dxa"/>
            <w:noWrap w:val="0"/>
            <w:vAlign w:val="center"/>
          </w:tcPr>
          <w:p w14:paraId="0EA2788D">
            <w:pPr>
              <w:snapToGrid w:val="0"/>
              <w:spacing w:line="360" w:lineRule="auto"/>
              <w:jc w:val="center"/>
              <w:rPr>
                <w:rFonts w:ascii="仿宋" w:hAnsi="仿宋" w:eastAsia="仿宋" w:cs="仿宋"/>
                <w:color w:val="auto"/>
                <w:sz w:val="24"/>
              </w:rPr>
            </w:pPr>
          </w:p>
        </w:tc>
      </w:tr>
      <w:tr w14:paraId="0D2F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796" w:type="dxa"/>
            <w:noWrap w:val="0"/>
            <w:vAlign w:val="center"/>
          </w:tcPr>
          <w:p w14:paraId="1F069922">
            <w:pPr>
              <w:snapToGrid w:val="0"/>
              <w:spacing w:line="360" w:lineRule="auto"/>
              <w:jc w:val="center"/>
              <w:rPr>
                <w:rFonts w:ascii="仿宋" w:hAnsi="仿宋" w:eastAsia="仿宋" w:cs="仿宋"/>
                <w:color w:val="auto"/>
                <w:sz w:val="24"/>
              </w:rPr>
            </w:pPr>
          </w:p>
        </w:tc>
        <w:tc>
          <w:tcPr>
            <w:tcW w:w="1740" w:type="dxa"/>
            <w:noWrap w:val="0"/>
            <w:vAlign w:val="center"/>
          </w:tcPr>
          <w:p w14:paraId="09012E4F">
            <w:pPr>
              <w:snapToGrid w:val="0"/>
              <w:spacing w:line="360" w:lineRule="auto"/>
              <w:jc w:val="center"/>
              <w:rPr>
                <w:rFonts w:ascii="仿宋" w:hAnsi="仿宋" w:eastAsia="仿宋" w:cs="仿宋"/>
                <w:color w:val="auto"/>
                <w:sz w:val="24"/>
              </w:rPr>
            </w:pPr>
          </w:p>
        </w:tc>
        <w:tc>
          <w:tcPr>
            <w:tcW w:w="994" w:type="dxa"/>
            <w:noWrap w:val="0"/>
            <w:vAlign w:val="center"/>
          </w:tcPr>
          <w:p w14:paraId="748E32F3">
            <w:pPr>
              <w:snapToGrid w:val="0"/>
              <w:spacing w:line="360" w:lineRule="auto"/>
              <w:jc w:val="center"/>
              <w:rPr>
                <w:rFonts w:ascii="仿宋" w:hAnsi="仿宋" w:eastAsia="仿宋" w:cs="仿宋"/>
                <w:color w:val="auto"/>
                <w:sz w:val="24"/>
              </w:rPr>
            </w:pPr>
          </w:p>
        </w:tc>
        <w:tc>
          <w:tcPr>
            <w:tcW w:w="1856" w:type="dxa"/>
            <w:noWrap w:val="0"/>
            <w:vAlign w:val="center"/>
          </w:tcPr>
          <w:p w14:paraId="02B5EB94">
            <w:pPr>
              <w:snapToGrid w:val="0"/>
              <w:spacing w:line="360" w:lineRule="auto"/>
              <w:jc w:val="center"/>
              <w:rPr>
                <w:rFonts w:ascii="仿宋" w:hAnsi="仿宋" w:eastAsia="仿宋" w:cs="仿宋"/>
                <w:color w:val="auto"/>
                <w:sz w:val="24"/>
              </w:rPr>
            </w:pPr>
          </w:p>
        </w:tc>
        <w:tc>
          <w:tcPr>
            <w:tcW w:w="1178" w:type="dxa"/>
            <w:noWrap w:val="0"/>
            <w:vAlign w:val="center"/>
          </w:tcPr>
          <w:p w14:paraId="23C1A945">
            <w:pPr>
              <w:snapToGrid w:val="0"/>
              <w:spacing w:line="360" w:lineRule="auto"/>
              <w:jc w:val="center"/>
              <w:rPr>
                <w:rFonts w:ascii="仿宋" w:hAnsi="仿宋" w:eastAsia="仿宋" w:cs="仿宋"/>
                <w:color w:val="auto"/>
                <w:sz w:val="24"/>
              </w:rPr>
            </w:pPr>
          </w:p>
        </w:tc>
        <w:tc>
          <w:tcPr>
            <w:tcW w:w="1283" w:type="dxa"/>
            <w:noWrap w:val="0"/>
            <w:vAlign w:val="center"/>
          </w:tcPr>
          <w:p w14:paraId="53D3E08F">
            <w:pPr>
              <w:snapToGrid w:val="0"/>
              <w:spacing w:line="360" w:lineRule="auto"/>
              <w:jc w:val="center"/>
              <w:rPr>
                <w:rFonts w:ascii="仿宋" w:hAnsi="仿宋" w:eastAsia="仿宋" w:cs="仿宋"/>
                <w:color w:val="auto"/>
                <w:sz w:val="24"/>
              </w:rPr>
            </w:pPr>
          </w:p>
        </w:tc>
        <w:tc>
          <w:tcPr>
            <w:tcW w:w="1198" w:type="dxa"/>
            <w:noWrap w:val="0"/>
            <w:vAlign w:val="center"/>
          </w:tcPr>
          <w:p w14:paraId="58372F17">
            <w:pPr>
              <w:snapToGrid w:val="0"/>
              <w:spacing w:line="360" w:lineRule="auto"/>
              <w:jc w:val="center"/>
              <w:rPr>
                <w:rFonts w:ascii="仿宋" w:hAnsi="仿宋" w:eastAsia="仿宋" w:cs="仿宋"/>
                <w:color w:val="auto"/>
                <w:sz w:val="24"/>
              </w:rPr>
            </w:pPr>
          </w:p>
        </w:tc>
      </w:tr>
    </w:tbl>
    <w:p w14:paraId="1BA7FD3E">
      <w:pPr>
        <w:autoSpaceDE w:val="0"/>
        <w:autoSpaceDN w:val="0"/>
        <w:adjustRightInd w:val="0"/>
        <w:snapToGrid w:val="0"/>
        <w:spacing w:line="360" w:lineRule="auto"/>
        <w:ind w:firstLine="105" w:firstLineChars="50"/>
        <w:jc w:val="left"/>
        <w:rPr>
          <w:rFonts w:ascii="仿宋" w:hAnsi="仿宋" w:eastAsia="仿宋" w:cs="仿宋"/>
          <w:color w:val="auto"/>
        </w:rPr>
      </w:pPr>
    </w:p>
    <w:p w14:paraId="6ABAF7A3">
      <w:pPr>
        <w:autoSpaceDE w:val="0"/>
        <w:autoSpaceDN w:val="0"/>
        <w:adjustRightInd w:val="0"/>
        <w:snapToGrid w:val="0"/>
        <w:spacing w:line="360" w:lineRule="auto"/>
        <w:ind w:firstLine="105" w:firstLineChars="50"/>
        <w:jc w:val="left"/>
        <w:rPr>
          <w:rFonts w:ascii="仿宋" w:hAnsi="仿宋" w:eastAsia="仿宋" w:cs="仿宋"/>
          <w:color w:val="auto"/>
          <w:kern w:val="0"/>
        </w:rPr>
      </w:pPr>
      <w:r>
        <w:rPr>
          <w:rFonts w:hint="eastAsia" w:ascii="仿宋" w:hAnsi="仿宋" w:eastAsia="仿宋" w:cs="仿宋"/>
          <w:color w:val="auto"/>
        </w:rPr>
        <w:t>注</w:t>
      </w:r>
      <w:r>
        <w:rPr>
          <w:rFonts w:hint="eastAsia" w:ascii="仿宋" w:hAnsi="仿宋" w:eastAsia="仿宋" w:cs="仿宋"/>
          <w:color w:val="auto"/>
          <w:kern w:val="0"/>
        </w:rPr>
        <w:t>：1.后附类似项目的相关证明材料。</w:t>
      </w:r>
    </w:p>
    <w:p w14:paraId="328B248B">
      <w:pPr>
        <w:autoSpaceDE w:val="0"/>
        <w:autoSpaceDN w:val="0"/>
        <w:adjustRightInd w:val="0"/>
        <w:snapToGrid w:val="0"/>
        <w:spacing w:line="360" w:lineRule="auto"/>
        <w:ind w:firstLine="525" w:firstLineChars="250"/>
        <w:jc w:val="left"/>
        <w:rPr>
          <w:rFonts w:ascii="仿宋" w:hAnsi="仿宋" w:eastAsia="仿宋" w:cs="仿宋"/>
          <w:color w:val="auto"/>
          <w:kern w:val="0"/>
        </w:rPr>
      </w:pPr>
      <w:r>
        <w:rPr>
          <w:rFonts w:hint="eastAsia" w:ascii="仿宋" w:hAnsi="仿宋" w:eastAsia="仿宋" w:cs="仿宋"/>
          <w:color w:val="auto"/>
          <w:kern w:val="0"/>
        </w:rPr>
        <w:t>2.服务合同应附</w:t>
      </w:r>
      <w:r>
        <w:rPr>
          <w:rFonts w:hint="eastAsia" w:ascii="仿宋" w:hAnsi="仿宋" w:eastAsia="仿宋" w:cs="仿宋"/>
          <w:color w:val="auto"/>
        </w:rPr>
        <w:t>关键页（至少包括签订日期、项目名称、双方签章页）扫描件，</w:t>
      </w:r>
      <w:r>
        <w:rPr>
          <w:rFonts w:hint="eastAsia" w:ascii="仿宋" w:hAnsi="仿宋" w:eastAsia="仿宋" w:cs="仿宋"/>
          <w:color w:val="auto"/>
          <w:kern w:val="0"/>
        </w:rPr>
        <w:t>并标明序号。</w:t>
      </w:r>
    </w:p>
    <w:p w14:paraId="7BF4AB67">
      <w:pPr>
        <w:pStyle w:val="3"/>
        <w:numPr>
          <w:ilvl w:val="0"/>
          <w:numId w:val="3"/>
        </w:numPr>
        <w:spacing w:line="416" w:lineRule="auto"/>
        <w:jc w:val="center"/>
        <w:rPr>
          <w:rFonts w:ascii="仿宋" w:hAnsi="仿宋" w:eastAsia="仿宋"/>
          <w:sz w:val="30"/>
          <w:szCs w:val="30"/>
        </w:rPr>
      </w:pPr>
      <w:r>
        <w:rPr>
          <w:rFonts w:ascii="仿宋" w:hAnsi="仿宋" w:eastAsia="仿宋"/>
          <w:bCs w:val="0"/>
          <w:sz w:val="21"/>
          <w:szCs w:val="21"/>
        </w:rPr>
        <w:br w:type="page"/>
      </w:r>
      <w:r>
        <w:rPr>
          <w:rFonts w:hint="eastAsia" w:ascii="仿宋" w:hAnsi="仿宋" w:eastAsia="仿宋"/>
          <w:sz w:val="30"/>
          <w:szCs w:val="30"/>
        </w:rPr>
        <w:t>反商业贿赂承诺书</w:t>
      </w:r>
    </w:p>
    <w:p w14:paraId="7460822E">
      <w:pPr>
        <w:spacing w:line="360" w:lineRule="auto"/>
        <w:rPr>
          <w:rFonts w:ascii="仿宋" w:hAnsi="仿宋" w:eastAsia="仿宋"/>
          <w:szCs w:val="21"/>
        </w:rPr>
      </w:pPr>
      <w:bookmarkStart w:id="342" w:name="_Hlk107391841"/>
      <w:r>
        <w:rPr>
          <w:rFonts w:hint="eastAsia" w:ascii="仿宋" w:hAnsi="仿宋" w:eastAsia="仿宋"/>
          <w:szCs w:val="21"/>
        </w:rPr>
        <w:t>我公司承诺：</w:t>
      </w:r>
    </w:p>
    <w:p w14:paraId="356F10FA">
      <w:pPr>
        <w:spacing w:line="360" w:lineRule="auto"/>
        <w:ind w:firstLine="420" w:firstLineChars="200"/>
        <w:rPr>
          <w:rFonts w:ascii="仿宋" w:hAnsi="仿宋" w:eastAsia="仿宋"/>
          <w:szCs w:val="21"/>
        </w:rPr>
      </w:pPr>
      <w:r>
        <w:rPr>
          <w:rFonts w:hint="eastAsia" w:ascii="仿宋" w:hAnsi="仿宋" w:eastAsia="仿宋"/>
          <w:szCs w:val="21"/>
        </w:rPr>
        <w:t>在</w:t>
      </w:r>
      <w:r>
        <w:rPr>
          <w:rFonts w:hint="eastAsia" w:ascii="仿宋" w:hAnsi="仿宋" w:eastAsia="仿宋"/>
          <w:szCs w:val="21"/>
          <w:u w:val="single"/>
        </w:rPr>
        <w:t xml:space="preserve">   （项目名称）   </w:t>
      </w:r>
      <w:r>
        <w:rPr>
          <w:rFonts w:hint="eastAsia" w:ascii="仿宋" w:hAnsi="仿宋" w:eastAsia="仿宋"/>
          <w:szCs w:val="21"/>
        </w:rPr>
        <w:t>投标活动中，我公司保证做到：</w:t>
      </w:r>
    </w:p>
    <w:p w14:paraId="00EB20D0">
      <w:pPr>
        <w:spacing w:line="360" w:lineRule="auto"/>
        <w:rPr>
          <w:rFonts w:ascii="仿宋" w:hAnsi="仿宋" w:eastAsia="仿宋"/>
          <w:szCs w:val="21"/>
        </w:rPr>
      </w:pPr>
      <w:r>
        <w:rPr>
          <w:rFonts w:hint="eastAsia" w:ascii="仿宋" w:hAnsi="仿宋" w:eastAsia="仿宋"/>
          <w:szCs w:val="21"/>
        </w:rPr>
        <w:t>1. 公平竞争参加本次采购活动。</w:t>
      </w:r>
    </w:p>
    <w:p w14:paraId="575684CE">
      <w:pPr>
        <w:spacing w:line="360" w:lineRule="auto"/>
        <w:rPr>
          <w:rFonts w:ascii="仿宋" w:hAnsi="仿宋" w:eastAsia="仿宋"/>
          <w:szCs w:val="21"/>
        </w:rPr>
      </w:pPr>
      <w:r>
        <w:rPr>
          <w:rFonts w:hint="eastAsia" w:ascii="仿宋" w:hAnsi="仿宋" w:eastAsia="仿宋"/>
          <w:szCs w:val="21"/>
        </w:rPr>
        <w:t>2. 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2D31CA59">
      <w:pPr>
        <w:spacing w:line="360" w:lineRule="auto"/>
        <w:rPr>
          <w:rFonts w:ascii="仿宋" w:hAnsi="仿宋" w:eastAsia="仿宋"/>
          <w:szCs w:val="21"/>
        </w:rPr>
      </w:pPr>
      <w:r>
        <w:rPr>
          <w:rFonts w:hint="eastAsia" w:ascii="仿宋" w:hAnsi="仿宋" w:eastAsia="仿宋"/>
          <w:szCs w:val="21"/>
        </w:rPr>
        <w:t>3. 若出现上述行为，我公司及参与投标的工作人员愿意接受按照国家法律法规等有关规定给予的处罚。</w:t>
      </w:r>
    </w:p>
    <w:p w14:paraId="6A2C92C5">
      <w:pPr>
        <w:spacing w:line="360" w:lineRule="auto"/>
        <w:rPr>
          <w:rFonts w:ascii="仿宋" w:hAnsi="仿宋" w:eastAsia="仿宋"/>
          <w:szCs w:val="21"/>
        </w:rPr>
      </w:pPr>
    </w:p>
    <w:p w14:paraId="4B07729F">
      <w:pPr>
        <w:spacing w:line="360" w:lineRule="auto"/>
        <w:rPr>
          <w:rFonts w:ascii="仿宋" w:hAnsi="仿宋" w:eastAsia="仿宋"/>
          <w:szCs w:val="21"/>
        </w:rPr>
      </w:pPr>
    </w:p>
    <w:p w14:paraId="77C51C8B">
      <w:pPr>
        <w:spacing w:line="360" w:lineRule="auto"/>
        <w:rPr>
          <w:rFonts w:ascii="仿宋" w:hAnsi="仿宋" w:eastAsia="仿宋"/>
          <w:szCs w:val="21"/>
        </w:rPr>
      </w:pPr>
    </w:p>
    <w:p w14:paraId="4E114874">
      <w:pPr>
        <w:adjustRightInd w:val="0"/>
        <w:spacing w:line="360" w:lineRule="auto"/>
        <w:rPr>
          <w:rFonts w:hint="eastAsia" w:ascii="仿宋" w:hAnsi="仿宋" w:eastAsia="仿宋"/>
          <w:szCs w:val="21"/>
          <w:u w:val="single"/>
          <w:lang w:val="en-US" w:eastAsia="zh-CN"/>
        </w:rPr>
      </w:pPr>
      <w:r>
        <w:rPr>
          <w:rFonts w:hint="eastAsia" w:ascii="仿宋" w:hAnsi="仿宋" w:eastAsia="仿宋"/>
          <w:szCs w:val="21"/>
        </w:rPr>
        <w:t>供应商名称（</w:t>
      </w:r>
      <w:r>
        <w:rPr>
          <w:rFonts w:ascii="仿宋" w:hAnsi="仿宋" w:eastAsia="仿宋"/>
        </w:rPr>
        <w:t>电子签章</w:t>
      </w:r>
      <w:r>
        <w:rPr>
          <w:rFonts w:hint="eastAsia" w:ascii="仿宋" w:hAnsi="仿宋" w:eastAsia="仿宋"/>
          <w:szCs w:val="21"/>
        </w:rPr>
        <w:t>）：</w:t>
      </w:r>
      <w:r>
        <w:rPr>
          <w:rFonts w:hint="eastAsia" w:ascii="仿宋" w:hAnsi="仿宋" w:eastAsia="仿宋"/>
          <w:szCs w:val="21"/>
          <w:u w:val="single"/>
          <w:lang w:val="en-US" w:eastAsia="zh-CN"/>
        </w:rPr>
        <w:t xml:space="preserve">         </w:t>
      </w:r>
    </w:p>
    <w:p w14:paraId="6E0E1392">
      <w:pPr>
        <w:adjustRightInd w:val="0"/>
        <w:spacing w:line="360" w:lineRule="auto"/>
        <w:rPr>
          <w:rFonts w:ascii="仿宋" w:hAnsi="仿宋" w:eastAsia="仿宋"/>
          <w:szCs w:val="21"/>
        </w:rPr>
      </w:pPr>
      <w:r>
        <w:rPr>
          <w:rFonts w:hint="eastAsia" w:ascii="仿宋" w:hAnsi="仿宋" w:eastAsia="仿宋"/>
          <w:szCs w:val="21"/>
        </w:rPr>
        <w:t>法定代表人或其委托代理人（电子签章）：</w:t>
      </w:r>
      <w:r>
        <w:rPr>
          <w:rFonts w:hint="eastAsia" w:ascii="仿宋" w:hAnsi="仿宋" w:eastAsia="仿宋"/>
          <w:szCs w:val="21"/>
          <w:u w:val="single"/>
          <w:lang w:val="en-US" w:eastAsia="zh-CN"/>
        </w:rPr>
        <w:t xml:space="preserve">         </w:t>
      </w:r>
    </w:p>
    <w:bookmarkEnd w:id="342"/>
    <w:p w14:paraId="0F33161E">
      <w:pPr>
        <w:adjustRightInd w:val="0"/>
        <w:spacing w:line="360" w:lineRule="auto"/>
        <w:rPr>
          <w:rFonts w:ascii="仿宋" w:hAnsi="仿宋" w:eastAsia="仿宋"/>
          <w:szCs w:val="21"/>
        </w:rPr>
      </w:pPr>
      <w:r>
        <w:rPr>
          <w:rFonts w:hint="eastAsia" w:ascii="仿宋" w:hAnsi="仿宋" w:eastAsia="仿宋"/>
          <w:szCs w:val="21"/>
        </w:rPr>
        <w:t>日期:</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39A6D248">
      <w:pPr>
        <w:spacing w:line="360" w:lineRule="auto"/>
        <w:ind w:left="2430" w:hanging="2429" w:hangingChars="1157"/>
        <w:rPr>
          <w:rFonts w:ascii="仿宋" w:hAnsi="仿宋" w:eastAsia="仿宋"/>
          <w:szCs w:val="21"/>
        </w:rPr>
      </w:pPr>
    </w:p>
    <w:p w14:paraId="4B36E624">
      <w:pPr>
        <w:rPr>
          <w:rFonts w:ascii="仿宋" w:hAnsi="仿宋" w:eastAsia="仿宋"/>
        </w:rPr>
      </w:pPr>
      <w:r>
        <w:rPr>
          <w:rFonts w:ascii="仿宋" w:hAnsi="仿宋" w:eastAsia="仿宋"/>
        </w:rPr>
        <w:br w:type="page"/>
      </w:r>
    </w:p>
    <w:p w14:paraId="1427D443">
      <w:pPr>
        <w:pStyle w:val="3"/>
        <w:numPr>
          <w:ilvl w:val="0"/>
          <w:numId w:val="3"/>
        </w:numPr>
        <w:spacing w:line="416" w:lineRule="auto"/>
        <w:jc w:val="center"/>
        <w:rPr>
          <w:rFonts w:ascii="仿宋" w:hAnsi="仿宋" w:eastAsia="仿宋"/>
          <w:sz w:val="30"/>
          <w:szCs w:val="30"/>
        </w:rPr>
      </w:pPr>
      <w:bookmarkStart w:id="343" w:name="_Hlk81831547"/>
      <w:bookmarkStart w:id="344" w:name="_Hlk64733109"/>
      <w:r>
        <w:rPr>
          <w:rFonts w:hint="eastAsia" w:ascii="仿宋" w:hAnsi="仿宋" w:eastAsia="仿宋"/>
          <w:sz w:val="30"/>
          <w:szCs w:val="30"/>
        </w:rPr>
        <w:t>供应商认为有必要提交的其他资料</w:t>
      </w:r>
    </w:p>
    <w:bookmarkEnd w:id="343"/>
    <w:p w14:paraId="5706D85E">
      <w:pPr>
        <w:spacing w:line="360" w:lineRule="auto"/>
        <w:rPr>
          <w:rFonts w:ascii="仿宋" w:hAnsi="仿宋" w:eastAsia="仿宋"/>
          <w:sz w:val="24"/>
        </w:rPr>
      </w:pPr>
      <w:bookmarkStart w:id="345" w:name="_Hlk107391855"/>
      <w:bookmarkStart w:id="346" w:name="_Hlk81831564"/>
      <w:r>
        <w:rPr>
          <w:rFonts w:hint="eastAsia" w:ascii="仿宋" w:hAnsi="仿宋" w:eastAsia="仿宋"/>
          <w:sz w:val="24"/>
        </w:rPr>
        <w:t>备注：供应商应当仔细阅读磋商文件，提供供应商认为有必要提交的其他资料，以充分证明其响应文件符合磋商文件规定，并为评标打分提供充分依据。</w:t>
      </w:r>
    </w:p>
    <w:bookmarkEnd w:id="344"/>
    <w:bookmarkEnd w:id="345"/>
    <w:p w14:paraId="3CA779AC">
      <w:pPr>
        <w:pStyle w:val="8"/>
        <w:rPr>
          <w:rFonts w:ascii="仿宋" w:hAnsi="仿宋" w:eastAsia="仿宋"/>
          <w:sz w:val="36"/>
          <w:szCs w:val="36"/>
        </w:rPr>
      </w:pPr>
      <w:r>
        <w:rPr>
          <w:rFonts w:ascii="仿宋" w:hAnsi="仿宋" w:eastAsia="仿宋" w:cs="仿宋"/>
        </w:rPr>
        <w:br w:type="page"/>
      </w:r>
      <w:bookmarkStart w:id="347" w:name="_Toc61520654"/>
      <w:bookmarkStart w:id="348" w:name="_Toc62811864"/>
      <w:bookmarkStart w:id="349" w:name="_Hlk107391876"/>
      <w:r>
        <w:rPr>
          <w:rFonts w:hint="eastAsia" w:ascii="仿宋" w:hAnsi="仿宋" w:eastAsia="仿宋"/>
          <w:sz w:val="36"/>
          <w:szCs w:val="36"/>
        </w:rPr>
        <w:t>附件</w:t>
      </w:r>
      <w:bookmarkEnd w:id="347"/>
      <w:bookmarkEnd w:id="348"/>
      <w:r>
        <w:rPr>
          <w:rFonts w:hint="eastAsia" w:ascii="仿宋" w:hAnsi="仿宋" w:eastAsia="仿宋"/>
          <w:sz w:val="36"/>
          <w:szCs w:val="36"/>
        </w:rPr>
        <w:t>：</w:t>
      </w:r>
    </w:p>
    <w:p w14:paraId="7FF3880F">
      <w:pPr>
        <w:pStyle w:val="8"/>
        <w:jc w:val="center"/>
        <w:rPr>
          <w:rFonts w:ascii="仿宋" w:hAnsi="仿宋" w:eastAsia="仿宋" w:cs="仿宋"/>
          <w:b/>
          <w:bCs/>
          <w:sz w:val="38"/>
          <w:szCs w:val="34"/>
        </w:rPr>
      </w:pPr>
      <w:bookmarkStart w:id="350" w:name="_Toc62811865"/>
      <w:bookmarkStart w:id="351" w:name="_Toc61520655"/>
      <w:r>
        <w:rPr>
          <w:rFonts w:hint="eastAsia" w:ascii="仿宋" w:hAnsi="仿宋" w:eastAsia="仿宋" w:cs="仿宋"/>
          <w:b/>
          <w:bCs/>
          <w:sz w:val="38"/>
          <w:szCs w:val="34"/>
        </w:rPr>
        <w:t>中小企业声明函</w:t>
      </w:r>
      <w:bookmarkEnd w:id="350"/>
      <w:bookmarkEnd w:id="351"/>
    </w:p>
    <w:p w14:paraId="3CB799B7">
      <w:pPr>
        <w:spacing w:line="360" w:lineRule="auto"/>
        <w:ind w:firstLine="480" w:firstLineChars="200"/>
        <w:rPr>
          <w:rFonts w:ascii="仿宋" w:hAnsi="仿宋" w:eastAsia="仿宋"/>
          <w:sz w:val="24"/>
        </w:rPr>
      </w:pPr>
      <w:r>
        <w:rPr>
          <w:rFonts w:hint="eastAsia" w:ascii="仿宋" w:hAnsi="仿宋" w:eastAsia="仿宋"/>
          <w:sz w:val="24"/>
        </w:rPr>
        <w:t>本公司（联合体）郑重声明，根据《政府采购促进中小企业发展管理办法》（财库﹝2020﹞46 号）的规定，本公司（联合体）参加</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（单位名称）的</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（项目名称）采购活动，服务全部由符合政策要求的中小企业承接。相关企业（含联合体中的中小企业、签订分包意向协议的中小企业）的具体情况如下：</w:t>
      </w:r>
    </w:p>
    <w:p w14:paraId="6A90DB78">
      <w:pPr>
        <w:spacing w:line="360" w:lineRule="auto"/>
        <w:ind w:firstLine="480" w:firstLineChars="200"/>
        <w:rPr>
          <w:rFonts w:ascii="仿宋" w:hAnsi="仿宋" w:eastAsia="仿宋"/>
          <w:sz w:val="24"/>
        </w:rPr>
      </w:pPr>
      <w:r>
        <w:rPr>
          <w:rFonts w:hint="eastAsia" w:ascii="仿宋" w:hAnsi="仿宋" w:eastAsia="仿宋"/>
          <w:sz w:val="24"/>
        </w:rPr>
        <w:t>1.</w:t>
      </w:r>
      <w:r>
        <w:rPr>
          <w:rFonts w:hint="eastAsia" w:ascii="仿宋" w:hAnsi="仿宋" w:eastAsia="仿宋"/>
          <w:sz w:val="24"/>
          <w:u w:val="single"/>
        </w:rPr>
        <w:t xml:space="preserve">          </w:t>
      </w:r>
      <w:r>
        <w:rPr>
          <w:rFonts w:hint="eastAsia" w:ascii="仿宋" w:hAnsi="仿宋" w:eastAsia="仿宋"/>
          <w:sz w:val="24"/>
        </w:rPr>
        <w:t>（标的名称），属于（</w:t>
      </w:r>
      <w:r>
        <w:rPr>
          <w:rFonts w:hint="eastAsia" w:ascii="仿宋" w:hAnsi="仿宋" w:eastAsia="仿宋"/>
          <w:sz w:val="24"/>
          <w:u w:val="single"/>
        </w:rPr>
        <w:t>采购文件中明确的所属行业</w:t>
      </w:r>
      <w:r>
        <w:rPr>
          <w:rFonts w:hint="eastAsia" w:ascii="仿宋" w:hAnsi="仿宋" w:eastAsia="仿宋"/>
          <w:sz w:val="24"/>
        </w:rPr>
        <w:t>）；承建（承接）企业为</w:t>
      </w:r>
      <w:r>
        <w:rPr>
          <w:rFonts w:hint="eastAsia" w:ascii="仿宋" w:hAnsi="仿宋" w:eastAsia="仿宋"/>
          <w:sz w:val="24"/>
          <w:u w:val="single"/>
        </w:rPr>
        <w:t xml:space="preserve">              </w:t>
      </w:r>
      <w:r>
        <w:rPr>
          <w:rFonts w:hint="eastAsia" w:ascii="仿宋" w:hAnsi="仿宋" w:eastAsia="仿宋"/>
          <w:sz w:val="24"/>
        </w:rPr>
        <w:t>（企业名称），从业人员</w:t>
      </w:r>
      <w:r>
        <w:rPr>
          <w:rFonts w:hint="eastAsia" w:ascii="仿宋" w:hAnsi="仿宋" w:eastAsia="仿宋"/>
          <w:sz w:val="24"/>
          <w:u w:val="single"/>
        </w:rPr>
        <w:t xml:space="preserve">     </w:t>
      </w:r>
      <w:r>
        <w:rPr>
          <w:rFonts w:hint="eastAsia" w:ascii="仿宋" w:hAnsi="仿宋" w:eastAsia="仿宋"/>
          <w:sz w:val="24"/>
        </w:rPr>
        <w:t>人，营业收入为</w:t>
      </w:r>
      <w:r>
        <w:rPr>
          <w:rFonts w:hint="eastAsia" w:ascii="仿宋" w:hAnsi="仿宋" w:eastAsia="仿宋"/>
          <w:sz w:val="24"/>
          <w:u w:val="single"/>
        </w:rPr>
        <w:t xml:space="preserve">     </w:t>
      </w:r>
      <w:r>
        <w:rPr>
          <w:rFonts w:hint="eastAsia" w:ascii="仿宋" w:hAnsi="仿宋" w:eastAsia="仿宋"/>
          <w:sz w:val="24"/>
        </w:rPr>
        <w:t>万元，资产总额为</w:t>
      </w:r>
      <w:r>
        <w:rPr>
          <w:rFonts w:hint="eastAsia" w:ascii="仿宋" w:hAnsi="仿宋" w:eastAsia="仿宋"/>
          <w:sz w:val="24"/>
          <w:u w:val="single"/>
        </w:rPr>
        <w:t xml:space="preserve">       </w:t>
      </w:r>
      <w:r>
        <w:rPr>
          <w:rFonts w:hint="eastAsia" w:ascii="仿宋" w:hAnsi="仿宋" w:eastAsia="仿宋"/>
          <w:sz w:val="24"/>
        </w:rPr>
        <w:t>万元，属于（</w:t>
      </w:r>
      <w:r>
        <w:rPr>
          <w:rFonts w:hint="eastAsia" w:ascii="仿宋" w:hAnsi="仿宋" w:eastAsia="仿宋"/>
          <w:sz w:val="24"/>
          <w:u w:val="single"/>
        </w:rPr>
        <w:t>中型企业、小型企业、微型企业</w:t>
      </w:r>
      <w:r>
        <w:rPr>
          <w:rFonts w:hint="eastAsia" w:ascii="仿宋" w:hAnsi="仿宋" w:eastAsia="仿宋"/>
          <w:sz w:val="24"/>
        </w:rPr>
        <w:t xml:space="preserve">）； </w:t>
      </w:r>
    </w:p>
    <w:p w14:paraId="52406A34">
      <w:pPr>
        <w:spacing w:line="360" w:lineRule="auto"/>
        <w:ind w:firstLine="480" w:firstLineChars="200"/>
        <w:rPr>
          <w:rFonts w:ascii="仿宋" w:hAnsi="仿宋" w:eastAsia="仿宋"/>
          <w:sz w:val="24"/>
        </w:rPr>
      </w:pPr>
      <w:r>
        <w:rPr>
          <w:rFonts w:hint="eastAsia" w:ascii="仿宋" w:hAnsi="仿宋" w:eastAsia="仿宋"/>
          <w:sz w:val="24"/>
        </w:rPr>
        <w:t>2.</w:t>
      </w:r>
      <w:r>
        <w:rPr>
          <w:rFonts w:hint="eastAsia" w:ascii="仿宋" w:hAnsi="仿宋" w:eastAsia="仿宋"/>
          <w:sz w:val="24"/>
          <w:u w:val="single"/>
        </w:rPr>
        <w:t xml:space="preserve">           </w:t>
      </w:r>
      <w:r>
        <w:rPr>
          <w:rFonts w:hint="eastAsia" w:ascii="仿宋" w:hAnsi="仿宋" w:eastAsia="仿宋"/>
          <w:sz w:val="24"/>
        </w:rPr>
        <w:t>（标的名称） ，属于（</w:t>
      </w:r>
      <w:r>
        <w:rPr>
          <w:rFonts w:hint="eastAsia" w:ascii="仿宋" w:hAnsi="仿宋" w:eastAsia="仿宋"/>
          <w:sz w:val="24"/>
          <w:u w:val="single"/>
        </w:rPr>
        <w:t>采购文件中明确的所属行业</w:t>
      </w:r>
      <w:r>
        <w:rPr>
          <w:rFonts w:hint="eastAsia" w:ascii="仿宋" w:hAnsi="仿宋" w:eastAsia="仿宋"/>
          <w:sz w:val="24"/>
        </w:rPr>
        <w:t>）；承建（承接）企业为（企业名称），从业人员</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人，营业收入为</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万元，资产总额为</w:t>
      </w:r>
      <w:r>
        <w:rPr>
          <w:rFonts w:hint="eastAsia" w:ascii="仿宋" w:hAnsi="仿宋" w:eastAsia="仿宋"/>
          <w:sz w:val="24"/>
          <w:u w:val="single"/>
        </w:rPr>
        <w:t xml:space="preserve">      </w:t>
      </w:r>
      <w:r>
        <w:rPr>
          <w:rFonts w:hint="eastAsia" w:ascii="仿宋" w:hAnsi="仿宋" w:eastAsia="仿宋"/>
          <w:sz w:val="24"/>
        </w:rPr>
        <w:t>万元，属于</w:t>
      </w:r>
      <w:r>
        <w:rPr>
          <w:rFonts w:hint="eastAsia" w:ascii="仿宋" w:hAnsi="仿宋" w:eastAsia="仿宋"/>
          <w:sz w:val="24"/>
          <w:u w:val="single"/>
        </w:rPr>
        <w:t>（中型企业、小型企业、微型企业）</w:t>
      </w:r>
      <w:r>
        <w:rPr>
          <w:rFonts w:hint="eastAsia" w:ascii="仿宋" w:hAnsi="仿宋" w:eastAsia="仿宋"/>
          <w:sz w:val="24"/>
        </w:rPr>
        <w:t xml:space="preserve">； </w:t>
      </w:r>
    </w:p>
    <w:p w14:paraId="0C371E0B">
      <w:pPr>
        <w:spacing w:line="360" w:lineRule="auto"/>
        <w:ind w:firstLine="480" w:firstLineChars="200"/>
        <w:rPr>
          <w:rFonts w:ascii="仿宋" w:hAnsi="仿宋" w:eastAsia="仿宋"/>
          <w:sz w:val="24"/>
        </w:rPr>
      </w:pPr>
      <w:r>
        <w:rPr>
          <w:rFonts w:hint="eastAsia" w:ascii="仿宋" w:hAnsi="仿宋" w:eastAsia="仿宋"/>
          <w:sz w:val="24"/>
        </w:rPr>
        <w:t>……</w:t>
      </w:r>
    </w:p>
    <w:p w14:paraId="3988349C">
      <w:pPr>
        <w:spacing w:line="360" w:lineRule="auto"/>
        <w:ind w:firstLine="480" w:firstLineChars="200"/>
        <w:rPr>
          <w:rFonts w:ascii="仿宋" w:hAnsi="仿宋" w:eastAsia="仿宋"/>
          <w:sz w:val="24"/>
        </w:rPr>
      </w:pPr>
      <w:r>
        <w:rPr>
          <w:rFonts w:hint="eastAsia" w:ascii="仿宋" w:hAnsi="仿宋" w:eastAsia="仿宋"/>
          <w:sz w:val="24"/>
        </w:rPr>
        <w:t>以上企业，不属于大企业的分支机构，不存在控股股东为大企业的情形，也不存在与大企业的负责人为同一人的情形。</w:t>
      </w:r>
    </w:p>
    <w:p w14:paraId="39570962">
      <w:pPr>
        <w:spacing w:line="360" w:lineRule="auto"/>
        <w:ind w:firstLine="480" w:firstLineChars="200"/>
        <w:rPr>
          <w:rFonts w:ascii="仿宋" w:hAnsi="仿宋" w:eastAsia="仿宋"/>
          <w:sz w:val="24"/>
        </w:rPr>
      </w:pPr>
      <w:r>
        <w:rPr>
          <w:rFonts w:hint="eastAsia" w:ascii="仿宋" w:hAnsi="仿宋" w:eastAsia="仿宋"/>
          <w:sz w:val="24"/>
        </w:rPr>
        <w:t xml:space="preserve">本企业对上述声明内容的真实性负责。如有虚假，将依法承担相应责任。 </w:t>
      </w:r>
    </w:p>
    <w:p w14:paraId="5B0FBDBB">
      <w:pPr>
        <w:spacing w:line="360" w:lineRule="auto"/>
        <w:ind w:firstLine="480" w:firstLineChars="200"/>
        <w:rPr>
          <w:rFonts w:ascii="仿宋" w:hAnsi="仿宋" w:eastAsia="仿宋"/>
          <w:sz w:val="24"/>
        </w:rPr>
      </w:pPr>
    </w:p>
    <w:p w14:paraId="05EE9391">
      <w:pPr>
        <w:spacing w:line="360" w:lineRule="auto"/>
        <w:ind w:right="960" w:firstLine="480" w:firstLineChars="200"/>
        <w:rPr>
          <w:rFonts w:ascii="仿宋" w:hAnsi="仿宋" w:eastAsia="仿宋"/>
          <w:sz w:val="24"/>
        </w:rPr>
      </w:pPr>
      <w:r>
        <w:rPr>
          <w:rFonts w:hint="eastAsia" w:ascii="仿宋" w:hAnsi="仿宋" w:eastAsia="仿宋"/>
          <w:sz w:val="24"/>
        </w:rPr>
        <w:t>企业名称（企业电子签章）：</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p>
    <w:p w14:paraId="2C9FD2FB">
      <w:pPr>
        <w:spacing w:line="360" w:lineRule="auto"/>
        <w:ind w:right="960" w:firstLine="480" w:firstLineChars="200"/>
        <w:rPr>
          <w:rFonts w:ascii="仿宋" w:hAnsi="仿宋" w:eastAsia="仿宋"/>
          <w:sz w:val="24"/>
        </w:rPr>
      </w:pPr>
      <w:r>
        <w:rPr>
          <w:rFonts w:hint="eastAsia" w:ascii="仿宋" w:hAnsi="仿宋" w:eastAsia="仿宋"/>
          <w:sz w:val="24"/>
        </w:rPr>
        <w:t>日 期：</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p>
    <w:p w14:paraId="0A6DAE98">
      <w:pPr>
        <w:rPr>
          <w:rFonts w:ascii="仿宋" w:hAnsi="仿宋" w:eastAsia="仿宋"/>
          <w:b/>
          <w:sz w:val="24"/>
        </w:rPr>
      </w:pPr>
    </w:p>
    <w:p w14:paraId="2CCFB4AB">
      <w:pPr>
        <w:pStyle w:val="8"/>
        <w:jc w:val="center"/>
        <w:rPr>
          <w:rFonts w:ascii="仿宋" w:hAnsi="仿宋" w:eastAsia="仿宋" w:cs="仿宋"/>
          <w:b/>
          <w:bCs/>
          <w:sz w:val="38"/>
          <w:szCs w:val="34"/>
        </w:rPr>
      </w:pPr>
      <w:r>
        <w:rPr>
          <w:rFonts w:ascii="仿宋" w:hAnsi="仿宋" w:eastAsia="仿宋" w:cs="仿宋"/>
          <w:b/>
          <w:bCs/>
          <w:sz w:val="38"/>
          <w:szCs w:val="34"/>
        </w:rPr>
        <w:br w:type="page"/>
      </w:r>
      <w:r>
        <w:rPr>
          <w:rFonts w:hint="eastAsia" w:ascii="仿宋" w:hAnsi="仿宋" w:eastAsia="仿宋" w:cs="仿宋"/>
          <w:b/>
          <w:bCs/>
          <w:sz w:val="38"/>
          <w:szCs w:val="34"/>
        </w:rPr>
        <w:t>残疾人福利企业声明函</w:t>
      </w:r>
    </w:p>
    <w:p w14:paraId="3752C77C">
      <w:pPr>
        <w:pStyle w:val="6"/>
        <w:spacing w:line="360" w:lineRule="auto"/>
        <w:ind w:firstLine="482"/>
        <w:jc w:val="center"/>
        <w:rPr>
          <w:rFonts w:ascii="仿宋" w:hAnsi="仿宋" w:eastAsia="仿宋" w:cs="宋体"/>
          <w:b/>
          <w:sz w:val="24"/>
          <w:szCs w:val="24"/>
        </w:rPr>
      </w:pPr>
    </w:p>
    <w:p w14:paraId="7DBB9ED5">
      <w:pPr>
        <w:pStyle w:val="6"/>
        <w:spacing w:line="360" w:lineRule="auto"/>
        <w:ind w:firstLine="480"/>
        <w:rPr>
          <w:rFonts w:ascii="仿宋" w:hAnsi="仿宋" w:eastAsia="仿宋"/>
          <w:sz w:val="24"/>
        </w:rPr>
      </w:pPr>
      <w:r>
        <w:rPr>
          <w:rFonts w:hint="eastAsia" w:ascii="仿宋" w:hAnsi="仿宋" w:eastAsia="仿宋"/>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单位的</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项目采购活动提供本单位制造的货物（由本单位承担工程/提供服务），或者提供其他残疾人福利性单位制造的货物（不包括使用非残疾人福利性单位注册商标的货物）。</w:t>
      </w:r>
    </w:p>
    <w:p w14:paraId="21C959D3">
      <w:pPr>
        <w:pStyle w:val="6"/>
        <w:spacing w:line="360" w:lineRule="auto"/>
        <w:ind w:firstLine="480"/>
        <w:rPr>
          <w:rFonts w:ascii="仿宋" w:hAnsi="仿宋" w:eastAsia="仿宋"/>
          <w:sz w:val="24"/>
        </w:rPr>
      </w:pPr>
      <w:r>
        <w:rPr>
          <w:rFonts w:hint="eastAsia" w:ascii="仿宋" w:hAnsi="仿宋" w:eastAsia="仿宋"/>
          <w:sz w:val="24"/>
        </w:rPr>
        <w:t>本单位对上述声明的真实性负责。如有虚假，将依法承担相应责任。</w:t>
      </w:r>
    </w:p>
    <w:p w14:paraId="4487C4A6">
      <w:pPr>
        <w:pStyle w:val="6"/>
        <w:spacing w:line="360" w:lineRule="auto"/>
        <w:ind w:firstLine="480"/>
        <w:rPr>
          <w:rFonts w:ascii="仿宋" w:hAnsi="仿宋" w:eastAsia="仿宋" w:cs="宋体"/>
          <w:sz w:val="24"/>
          <w:szCs w:val="24"/>
        </w:rPr>
      </w:pPr>
    </w:p>
    <w:p w14:paraId="278FFBB5">
      <w:pPr>
        <w:pStyle w:val="6"/>
        <w:spacing w:line="360" w:lineRule="auto"/>
        <w:ind w:firstLine="480"/>
        <w:rPr>
          <w:rFonts w:ascii="仿宋" w:hAnsi="仿宋" w:eastAsia="仿宋" w:cs="宋体"/>
          <w:sz w:val="24"/>
          <w:szCs w:val="24"/>
        </w:rPr>
      </w:pPr>
    </w:p>
    <w:p w14:paraId="59B81BB4">
      <w:pPr>
        <w:pStyle w:val="6"/>
        <w:spacing w:line="360" w:lineRule="auto"/>
        <w:ind w:firstLine="480"/>
        <w:rPr>
          <w:rFonts w:ascii="仿宋" w:hAnsi="仿宋" w:eastAsia="仿宋" w:cs="宋体"/>
          <w:sz w:val="24"/>
          <w:szCs w:val="24"/>
        </w:rPr>
      </w:pPr>
    </w:p>
    <w:p w14:paraId="070BB723">
      <w:pPr>
        <w:spacing w:line="360" w:lineRule="auto"/>
        <w:ind w:right="960" w:firstLine="480" w:firstLineChars="200"/>
        <w:rPr>
          <w:rFonts w:ascii="仿宋" w:hAnsi="仿宋" w:eastAsia="仿宋"/>
          <w:sz w:val="24"/>
        </w:rPr>
      </w:pPr>
      <w:r>
        <w:rPr>
          <w:rFonts w:hint="eastAsia" w:ascii="仿宋" w:hAnsi="仿宋" w:eastAsia="仿宋"/>
          <w:sz w:val="24"/>
        </w:rPr>
        <w:t>企业名称（企业电子签章）：</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p>
    <w:p w14:paraId="677D7F05">
      <w:pPr>
        <w:spacing w:line="360" w:lineRule="auto"/>
        <w:ind w:right="960" w:firstLine="480" w:firstLineChars="200"/>
        <w:rPr>
          <w:rFonts w:ascii="仿宋" w:hAnsi="仿宋" w:eastAsia="仿宋"/>
          <w:sz w:val="24"/>
        </w:rPr>
      </w:pPr>
      <w:r>
        <w:rPr>
          <w:rFonts w:hint="eastAsia" w:ascii="仿宋" w:hAnsi="仿宋" w:eastAsia="仿宋"/>
          <w:sz w:val="24"/>
        </w:rPr>
        <w:t>日 期：</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p>
    <w:p w14:paraId="547EE3B1">
      <w:pPr>
        <w:pStyle w:val="6"/>
        <w:spacing w:line="360" w:lineRule="auto"/>
        <w:ind w:firstLine="480"/>
        <w:rPr>
          <w:rFonts w:ascii="仿宋" w:hAnsi="仿宋" w:eastAsia="仿宋" w:cs="宋体"/>
          <w:sz w:val="24"/>
          <w:szCs w:val="24"/>
        </w:rPr>
      </w:pPr>
    </w:p>
    <w:p w14:paraId="22F1E754">
      <w:pPr>
        <w:pStyle w:val="6"/>
        <w:spacing w:line="360" w:lineRule="auto"/>
        <w:ind w:firstLine="480"/>
        <w:jc w:val="center"/>
        <w:rPr>
          <w:rFonts w:ascii="仿宋" w:hAnsi="仿宋" w:eastAsia="仿宋" w:cs="宋体"/>
          <w:sz w:val="24"/>
          <w:szCs w:val="24"/>
        </w:rPr>
      </w:pPr>
      <w:bookmarkStart w:id="352" w:name="_Toc3182"/>
      <w:bookmarkStart w:id="353" w:name="_Toc2782_WPSOffice_Level2"/>
      <w:bookmarkStart w:id="354" w:name="_Toc26211_WPSOffice_Level2"/>
      <w:bookmarkStart w:id="355" w:name="_Toc10315"/>
      <w:bookmarkStart w:id="356" w:name="_Toc794_WPSOffice_Level2"/>
      <w:bookmarkStart w:id="357" w:name="_Toc22007"/>
      <w:r>
        <w:rPr>
          <w:rFonts w:hint="eastAsia" w:ascii="仿宋" w:hAnsi="仿宋" w:eastAsia="仿宋" w:cs="宋体"/>
          <w:sz w:val="24"/>
          <w:szCs w:val="24"/>
        </w:rPr>
        <w:t>（属于残疾人福利企业的填写，不属于的无需提供此项内容）</w:t>
      </w:r>
      <w:bookmarkEnd w:id="352"/>
      <w:bookmarkEnd w:id="353"/>
      <w:bookmarkEnd w:id="354"/>
      <w:bookmarkEnd w:id="355"/>
      <w:bookmarkEnd w:id="356"/>
      <w:bookmarkEnd w:id="357"/>
    </w:p>
    <w:p w14:paraId="354435D1">
      <w:pPr>
        <w:pStyle w:val="6"/>
        <w:spacing w:line="360" w:lineRule="auto"/>
        <w:ind w:firstLine="480"/>
        <w:rPr>
          <w:rFonts w:ascii="仿宋" w:hAnsi="仿宋" w:eastAsia="仿宋" w:cs="宋体"/>
          <w:sz w:val="24"/>
          <w:szCs w:val="24"/>
        </w:rPr>
      </w:pPr>
    </w:p>
    <w:p w14:paraId="14D16487">
      <w:pPr>
        <w:rPr>
          <w:rFonts w:ascii="仿宋" w:hAnsi="仿宋" w:eastAsia="仿宋" w:cs="仿宋"/>
          <w:sz w:val="24"/>
          <w:szCs w:val="24"/>
        </w:rPr>
      </w:pPr>
    </w:p>
    <w:bookmarkEnd w:id="346"/>
    <w:bookmarkEnd w:id="349"/>
    <w:p w14:paraId="400A3B1A">
      <w:pPr>
        <w:pStyle w:val="6"/>
        <w:spacing w:line="360" w:lineRule="auto"/>
        <w:ind w:firstLine="723"/>
        <w:jc w:val="center"/>
        <w:rPr>
          <w:rFonts w:ascii="仿宋" w:hAnsi="仿宋" w:eastAsia="仿宋" w:cs="宋体"/>
          <w:b/>
          <w:sz w:val="36"/>
          <w:szCs w:val="36"/>
          <w:lang w:val="zh-CN"/>
        </w:rPr>
      </w:pPr>
      <w:r>
        <w:rPr>
          <w:rFonts w:hint="eastAsia" w:ascii="仿宋" w:hAnsi="仿宋" w:eastAsia="仿宋" w:cs="宋体"/>
          <w:b/>
          <w:sz w:val="36"/>
          <w:szCs w:val="36"/>
          <w:lang w:val="zh-CN"/>
        </w:rPr>
        <w:t>监狱企业证明</w:t>
      </w:r>
    </w:p>
    <w:p w14:paraId="638A26CA">
      <w:pPr>
        <w:pStyle w:val="6"/>
        <w:spacing w:line="360" w:lineRule="auto"/>
        <w:ind w:firstLine="480"/>
        <w:jc w:val="left"/>
        <w:rPr>
          <w:rFonts w:ascii="仿宋" w:hAnsi="仿宋" w:eastAsia="仿宋" w:cs="宋体"/>
          <w:bCs/>
          <w:sz w:val="24"/>
          <w:szCs w:val="24"/>
          <w:lang w:val="zh-CN"/>
        </w:rPr>
      </w:pPr>
      <w:r>
        <w:rPr>
          <w:rFonts w:hint="eastAsia" w:ascii="仿宋" w:hAnsi="仿宋" w:eastAsia="仿宋" w:cs="宋体"/>
          <w:bCs/>
          <w:sz w:val="24"/>
          <w:szCs w:val="24"/>
          <w:lang w:val="zh-CN"/>
        </w:rPr>
        <w:t xml:space="preserve">提供由省级以上监狱管理局、戒毒管理局（含新疆生产建设兵团）出具的属于监狱企业的证明文件。 </w:t>
      </w:r>
    </w:p>
    <w:p w14:paraId="45FF0520">
      <w:pPr>
        <w:pStyle w:val="6"/>
        <w:spacing w:line="360" w:lineRule="auto"/>
        <w:ind w:firstLine="482"/>
        <w:jc w:val="left"/>
        <w:rPr>
          <w:rFonts w:ascii="仿宋" w:hAnsi="仿宋" w:eastAsia="仿宋" w:cs="宋体"/>
          <w:b/>
          <w:sz w:val="24"/>
          <w:szCs w:val="24"/>
          <w:lang w:val="zh-CN"/>
        </w:rPr>
      </w:pPr>
      <w:r>
        <w:rPr>
          <w:rFonts w:hint="eastAsia" w:ascii="仿宋" w:hAnsi="仿宋" w:eastAsia="仿宋" w:cs="宋体"/>
          <w:b/>
          <w:sz w:val="24"/>
          <w:szCs w:val="24"/>
          <w:lang w:val="zh-CN"/>
        </w:rPr>
        <w:t xml:space="preserve"> </w:t>
      </w:r>
    </w:p>
    <w:p w14:paraId="63746C1F">
      <w:pPr>
        <w:pStyle w:val="6"/>
        <w:spacing w:line="360" w:lineRule="auto"/>
        <w:ind w:firstLine="480"/>
        <w:jc w:val="center"/>
        <w:rPr>
          <w:rFonts w:ascii="仿宋" w:hAnsi="仿宋" w:eastAsia="仿宋" w:cs="宋体"/>
          <w:bCs/>
          <w:sz w:val="24"/>
          <w:szCs w:val="24"/>
          <w:lang w:val="zh-CN"/>
        </w:rPr>
      </w:pPr>
      <w:r>
        <w:rPr>
          <w:rFonts w:hint="eastAsia" w:ascii="仿宋" w:hAnsi="仿宋" w:eastAsia="仿宋" w:cs="宋体"/>
          <w:bCs/>
          <w:sz w:val="24"/>
          <w:szCs w:val="24"/>
          <w:lang w:val="zh-CN"/>
        </w:rPr>
        <w:t>（符合条件的监狱企业请提供本函，不符合的不提供本函）</w:t>
      </w:r>
    </w:p>
    <w:p w14:paraId="0464D6C1">
      <w:pPr>
        <w:autoSpaceDE w:val="0"/>
        <w:autoSpaceDN w:val="0"/>
        <w:adjustRightInd w:val="0"/>
        <w:snapToGrid w:val="0"/>
        <w:spacing w:line="360" w:lineRule="auto"/>
        <w:jc w:val="center"/>
        <w:rPr>
          <w:rFonts w:ascii="宋体" w:hAnsi="宋体" w:cs="仿宋"/>
          <w:b/>
          <w:bCs/>
          <w:kern w:val="0"/>
          <w:sz w:val="28"/>
          <w:szCs w:val="28"/>
        </w:rPr>
      </w:pPr>
    </w:p>
    <w:p w14:paraId="2B8F5666">
      <w:pPr>
        <w:autoSpaceDE w:val="0"/>
        <w:autoSpaceDN w:val="0"/>
        <w:adjustRightInd w:val="0"/>
        <w:snapToGrid w:val="0"/>
        <w:spacing w:line="360" w:lineRule="auto"/>
        <w:jc w:val="center"/>
        <w:rPr>
          <w:rFonts w:ascii="宋体" w:hAnsi="宋体" w:cs="仿宋"/>
          <w:b/>
          <w:bCs/>
          <w:kern w:val="0"/>
          <w:sz w:val="28"/>
          <w:szCs w:val="28"/>
        </w:rPr>
      </w:pPr>
    </w:p>
    <w:p w14:paraId="34F247F2">
      <w:pPr>
        <w:autoSpaceDE w:val="0"/>
        <w:autoSpaceDN w:val="0"/>
        <w:adjustRightInd w:val="0"/>
        <w:snapToGrid w:val="0"/>
        <w:spacing w:line="360" w:lineRule="auto"/>
        <w:jc w:val="center"/>
        <w:rPr>
          <w:rFonts w:ascii="宋体" w:hAnsi="宋体" w:cs="仿宋"/>
          <w:b/>
          <w:bCs/>
          <w:kern w:val="0"/>
          <w:sz w:val="28"/>
          <w:szCs w:val="28"/>
        </w:rPr>
      </w:pPr>
    </w:p>
    <w:p w14:paraId="4DBECDEE">
      <w:pPr>
        <w:autoSpaceDE w:val="0"/>
        <w:autoSpaceDN w:val="0"/>
        <w:adjustRightInd w:val="0"/>
        <w:snapToGrid w:val="0"/>
        <w:spacing w:line="360" w:lineRule="auto"/>
        <w:jc w:val="center"/>
        <w:rPr>
          <w:rFonts w:ascii="宋体" w:hAnsi="宋体" w:cs="仿宋"/>
          <w:b/>
          <w:bCs/>
          <w:kern w:val="0"/>
          <w:sz w:val="28"/>
          <w:szCs w:val="28"/>
        </w:rPr>
      </w:pPr>
    </w:p>
    <w:p w14:paraId="2BEEF416">
      <w:pPr>
        <w:pStyle w:val="8"/>
        <w:jc w:val="center"/>
        <w:rPr>
          <w:rFonts w:ascii="宋体" w:hAnsi="宋体" w:cs="宋体"/>
          <w:b/>
        </w:rPr>
      </w:pPr>
    </w:p>
    <w:p w14:paraId="3CC932E2"/>
    <w:sectPr>
      <w:headerReference r:id="rId5" w:type="default"/>
      <w:footerReference r:id="rId6" w:type="default"/>
      <w:pgSz w:w="11906" w:h="16838"/>
      <w:pgMar w:top="1440" w:right="1536" w:bottom="1440" w:left="1536" w:header="1049" w:footer="992" w:gutter="0"/>
      <w:pgBorders>
        <w:top w:val="thinThickSmallGap" w:color="auto" w:sz="24" w:space="1"/>
        <w:bottom w:val="thickThinSmallGap" w:color="auto" w:sz="24" w:space="1"/>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FEE64">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114A2">
    <w:pPr>
      <w:pStyle w:val="18"/>
      <w:tabs>
        <w:tab w:val="center" w:pos="4417"/>
        <w:tab w:val="clear" w:pos="4153"/>
      </w:tabs>
      <w:ind w:right="360"/>
      <w:rPr>
        <w:rFonts w:ascii="仿宋" w:hAnsi="仿宋" w:eastAsia="仿宋" w:cs="仿宋"/>
        <w:b/>
        <w:bCs/>
        <w:sz w:val="21"/>
        <w:szCs w:val="21"/>
      </w:rPr>
    </w:pPr>
    <w:r>
      <w:rPr>
        <w:rFonts w:ascii="仿宋" w:hAnsi="仿宋" w:eastAsia="仿宋" w:cs="仿宋"/>
        <w:b/>
        <w:bCs/>
        <w:sz w:val="21"/>
        <w:szCs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3510"/>
              <wp:effectExtent l="0" t="0" r="0" b="0"/>
              <wp:wrapNone/>
              <wp:docPr id="1334643174" name="文本框4"/>
              <wp:cNvGraphicFramePr/>
              <a:graphic xmlns:a="http://schemas.openxmlformats.org/drawingml/2006/main">
                <a:graphicData uri="http://schemas.microsoft.com/office/word/2010/wordprocessingShape">
                  <wps:wsp>
                    <wps:cNvSpPr txBox="1">
                      <a:spLocks noChangeArrowheads="1"/>
                    </wps:cNvSpPr>
                    <wps:spPr bwMode="auto">
                      <a:xfrm>
                        <a:off x="0" y="0"/>
                        <a:ext cx="229235" cy="143510"/>
                      </a:xfrm>
                      <a:prstGeom prst="rect">
                        <a:avLst/>
                      </a:prstGeom>
                      <a:noFill/>
                      <a:ln>
                        <a:noFill/>
                      </a:ln>
                    </wps:spPr>
                    <wps:txbx>
                      <w:txbxContent>
                        <w:p w14:paraId="2EA88D3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3</w:t>
                          </w:r>
                          <w:r>
                            <w:rPr>
                              <w:rFonts w:hint="eastAsia"/>
                              <w:sz w:val="18"/>
                            </w:rPr>
                            <w:fldChar w:fldCharType="end"/>
                          </w:r>
                        </w:p>
                      </w:txbxContent>
                    </wps:txbx>
                    <wps:bodyPr rot="0" vert="horz" wrap="square" lIns="0" tIns="0" rIns="0" bIns="0" anchor="t" anchorCtr="0" upright="1">
                      <a:noAutofit/>
                    </wps:bodyPr>
                  </wps:wsp>
                </a:graphicData>
              </a:graphic>
            </wp:anchor>
          </w:drawing>
        </mc:Choice>
        <mc:Fallback>
          <w:pict>
            <v:shape id="文本框4" o:spid="_x0000_s1026" o:spt="202" type="#_x0000_t202" style="position:absolute;left:0pt;margin-top:0pt;height:11.3pt;width:18.05pt;mso-position-horizontal:center;mso-position-horizontal-relative:margin;z-index:251660288;mso-width-relative:page;mso-height-relative:page;" filled="f" stroked="f" coordsize="21600,21600" o:gfxdata="UEsDBAoAAAAAAIdO4kAAAAAAAAAAAAAAAAAEAAAAZHJzL1BLAwQUAAAACACHTuJA0y38S9MAAAAD&#10;AQAADwAAAGRycy9kb3ducmV2LnhtbE2PT0vEMBDF74LfIYzgzU1aoWhtuojoSRC79eBx2sy2YZtJ&#10;bbJ//PZGL+5l4PEe7/2mWp/cJA60BOtZQ7ZSIIh7bywPGj7al5s7ECEiG5w8k4ZvCrCuLy8qLI0/&#10;ckOHTRxEKuFQooYxxrmUMvQjOQwrPxMnb+sXhzHJZZBmwWMqd5PMlSqkQ8tpYcSZnkbqd5u90/D4&#10;yc2z/Xrr3pttY9v2XvFrsdP6+ipTDyAineJ/GH7xEzrUianzezZBTBrSI/HvJu+2yEB0GvK8AFlX&#10;8py9/gFQSwMEFAAAAAgAh07iQBC0ZcoVAgAADAQAAA4AAABkcnMvZTJvRG9jLnhtbK1Ty47TMBTd&#10;I/EPlvc0TdsZIGo6GqYahDQ8pIEPcB2nsYh9zbXbpHwA8wes2LDnu/odXDttGYbNLNhEN/a9x+cc&#10;H88vetOyrUKvwZY8H405U1ZCpe265J8+Xj97wZkPwlaiBatKvlOeXyyePpl3rlATaKCtFDICsb7o&#10;XMmbEFyRZV42ygg/AqcsbdaARgT6xXVWoegI3bTZZDw+zzrAyiFI5T2tLodNfkDExwBCXWupliA3&#10;RtkwoKJqRSBJvtHO80ViW9dKhvd17VVgbclJaUhfOoTqVfxmi7ko1ihco+WBgngMhQeajNCWDj1B&#10;LUUQbIP6HyijJYKHOowkmGwQkhwhFfn4gTe3jXAqaSGrvTuZ7v8frHy3/YBMV5SE6XR2Ppvmz2ec&#10;WWHo5vff7/Y/fu1/fptFmzrnC+q+ddQf+lfQ00iS7N0NyM+eWbhqhF2rS0ToGiUqopnHyeze6IDj&#10;I8iqewsVHSM2ARJQX6OJHpIrjNDpinanK1J9YJIWJ5OXk+kZZ5K28tn0LE9XmIniOOzQh9cKDItF&#10;yZESkMDF9saHSEYUx5Z4loVr3bYpBa39a4Ea40oiH/kOzEO/6g9mrKDakQyEIVT0pKhoAL9y1lGg&#10;Su6/bAQqzto3lqyI6TsWeCxWx0JYSaMlD5wN5VUYUrpxqNcNIQ9mW7gku2qdpERfBxYHnhSSpPAQ&#10;6JjC+/+p688jXv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0y38S9MAAAADAQAADwAAAAAAAAAB&#10;ACAAAAAiAAAAZHJzL2Rvd25yZXYueG1sUEsBAhQAFAAAAAgAh07iQBC0ZcoVAgAADAQAAA4AAAAA&#10;AAAAAQAgAAAAIgEAAGRycy9lMm9Eb2MueG1sUEsFBgAAAAAGAAYAWQEAAKkFAAAAAA==&#10;">
              <v:fill on="f" focussize="0,0"/>
              <v:stroke on="f"/>
              <v:imagedata o:title=""/>
              <o:lock v:ext="edit" aspectratio="f"/>
              <v:textbox inset="0mm,0mm,0mm,0mm">
                <w:txbxContent>
                  <w:p w14:paraId="2EA88D3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3</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477C7">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5F0F7">
    <w:pPr>
      <w:pStyle w:val="19"/>
      <w:pBdr>
        <w:bottom w:val="none" w:color="auto" w:sz="0" w:space="1"/>
      </w:pBdr>
      <w:jc w:val="right"/>
      <w:rPr>
        <w:rFonts w:ascii="仿宋" w:hAnsi="仿宋" w:eastAsia="仿宋"/>
        <w:b/>
        <w:bCs/>
        <w:sz w:val="21"/>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4"/>
      <w:numFmt w:val="chineseCounting"/>
      <w:suff w:val="space"/>
      <w:lvlText w:val="第%1章"/>
      <w:lvlJc w:val="left"/>
    </w:lvl>
  </w:abstractNum>
  <w:abstractNum w:abstractNumId="1">
    <w:nsid w:val="360F0DB3"/>
    <w:multiLevelType w:val="multilevel"/>
    <w:tmpl w:val="360F0DB3"/>
    <w:lvl w:ilvl="0" w:tentative="0">
      <w:start w:val="1"/>
      <w:numFmt w:val="chineseCountingThousand"/>
      <w:suff w:val="space"/>
      <w:lvlText w:val="第%1章"/>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77E0E1F"/>
    <w:multiLevelType w:val="multilevel"/>
    <w:tmpl w:val="677E0E1F"/>
    <w:lvl w:ilvl="0" w:tentative="0">
      <w:start w:val="1"/>
      <w:numFmt w:val="chineseCountingThousand"/>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CA6"/>
    <w:rsid w:val="000333C5"/>
    <w:rsid w:val="00034A4D"/>
    <w:rsid w:val="00063050"/>
    <w:rsid w:val="00066CA6"/>
    <w:rsid w:val="000D7847"/>
    <w:rsid w:val="000E7490"/>
    <w:rsid w:val="001A1A3C"/>
    <w:rsid w:val="001F26BD"/>
    <w:rsid w:val="0021509C"/>
    <w:rsid w:val="0025505C"/>
    <w:rsid w:val="00263753"/>
    <w:rsid w:val="003601E2"/>
    <w:rsid w:val="003B1A75"/>
    <w:rsid w:val="00405725"/>
    <w:rsid w:val="00442156"/>
    <w:rsid w:val="004B54A3"/>
    <w:rsid w:val="004D1C23"/>
    <w:rsid w:val="0051589E"/>
    <w:rsid w:val="00596A2F"/>
    <w:rsid w:val="00676832"/>
    <w:rsid w:val="006C2AF6"/>
    <w:rsid w:val="006C4CC8"/>
    <w:rsid w:val="006D4C22"/>
    <w:rsid w:val="007A32A0"/>
    <w:rsid w:val="007E3741"/>
    <w:rsid w:val="00861A49"/>
    <w:rsid w:val="008A1484"/>
    <w:rsid w:val="008E07B4"/>
    <w:rsid w:val="0098323F"/>
    <w:rsid w:val="009B2B07"/>
    <w:rsid w:val="009C0921"/>
    <w:rsid w:val="009C6BAE"/>
    <w:rsid w:val="009D5624"/>
    <w:rsid w:val="009F3BA5"/>
    <w:rsid w:val="00A334F7"/>
    <w:rsid w:val="00A714D0"/>
    <w:rsid w:val="00C12CAD"/>
    <w:rsid w:val="00C23E53"/>
    <w:rsid w:val="00CC4B63"/>
    <w:rsid w:val="00CE2197"/>
    <w:rsid w:val="00D163F5"/>
    <w:rsid w:val="00D360BD"/>
    <w:rsid w:val="00D733D9"/>
    <w:rsid w:val="00DB1167"/>
    <w:rsid w:val="00E44614"/>
    <w:rsid w:val="00EB5661"/>
    <w:rsid w:val="00F9399E"/>
    <w:rsid w:val="00FE3E1E"/>
    <w:rsid w:val="019448A4"/>
    <w:rsid w:val="01D759E7"/>
    <w:rsid w:val="028A378F"/>
    <w:rsid w:val="02E9371F"/>
    <w:rsid w:val="03FD0F74"/>
    <w:rsid w:val="06F34F15"/>
    <w:rsid w:val="0932487E"/>
    <w:rsid w:val="0ADB2CF4"/>
    <w:rsid w:val="0BB938EB"/>
    <w:rsid w:val="0D1D02EC"/>
    <w:rsid w:val="0E292189"/>
    <w:rsid w:val="0F3A448D"/>
    <w:rsid w:val="0F637AD6"/>
    <w:rsid w:val="11627941"/>
    <w:rsid w:val="11AE602A"/>
    <w:rsid w:val="122247E0"/>
    <w:rsid w:val="12CF35A1"/>
    <w:rsid w:val="13BE4A65"/>
    <w:rsid w:val="14465543"/>
    <w:rsid w:val="15A23BF4"/>
    <w:rsid w:val="17057A40"/>
    <w:rsid w:val="17693981"/>
    <w:rsid w:val="17844790"/>
    <w:rsid w:val="18D23988"/>
    <w:rsid w:val="19ED0C30"/>
    <w:rsid w:val="1B3F107D"/>
    <w:rsid w:val="2110133D"/>
    <w:rsid w:val="218477E9"/>
    <w:rsid w:val="24191BAC"/>
    <w:rsid w:val="25F26F73"/>
    <w:rsid w:val="274B77B6"/>
    <w:rsid w:val="27956CC4"/>
    <w:rsid w:val="27BE279D"/>
    <w:rsid w:val="28DB3421"/>
    <w:rsid w:val="2C0F0388"/>
    <w:rsid w:val="2C29268F"/>
    <w:rsid w:val="2CA84CD4"/>
    <w:rsid w:val="2D8E2FC5"/>
    <w:rsid w:val="2DA84860"/>
    <w:rsid w:val="2DB03DBE"/>
    <w:rsid w:val="2F5D255C"/>
    <w:rsid w:val="30044B3B"/>
    <w:rsid w:val="304765B2"/>
    <w:rsid w:val="327C5C13"/>
    <w:rsid w:val="33AA2F31"/>
    <w:rsid w:val="34180F25"/>
    <w:rsid w:val="3491429F"/>
    <w:rsid w:val="35EF63D1"/>
    <w:rsid w:val="37164F30"/>
    <w:rsid w:val="37AF4C53"/>
    <w:rsid w:val="38877E93"/>
    <w:rsid w:val="3AF61300"/>
    <w:rsid w:val="3BA530AA"/>
    <w:rsid w:val="3BB07701"/>
    <w:rsid w:val="3BFC3E75"/>
    <w:rsid w:val="3EE2327A"/>
    <w:rsid w:val="3FAC6431"/>
    <w:rsid w:val="3FFB6410"/>
    <w:rsid w:val="40FF07E3"/>
    <w:rsid w:val="41557FD3"/>
    <w:rsid w:val="4223600B"/>
    <w:rsid w:val="43710408"/>
    <w:rsid w:val="44116588"/>
    <w:rsid w:val="44700FD6"/>
    <w:rsid w:val="49614B82"/>
    <w:rsid w:val="4A360531"/>
    <w:rsid w:val="4AD66A58"/>
    <w:rsid w:val="50990EA9"/>
    <w:rsid w:val="517A22A5"/>
    <w:rsid w:val="51A0502D"/>
    <w:rsid w:val="522609CE"/>
    <w:rsid w:val="55592260"/>
    <w:rsid w:val="55B26CFB"/>
    <w:rsid w:val="565D3B8A"/>
    <w:rsid w:val="56866705"/>
    <w:rsid w:val="56EB73E7"/>
    <w:rsid w:val="58675193"/>
    <w:rsid w:val="58CB1075"/>
    <w:rsid w:val="5ABF0F42"/>
    <w:rsid w:val="5B991BA7"/>
    <w:rsid w:val="5C395EBC"/>
    <w:rsid w:val="5C3B496D"/>
    <w:rsid w:val="5C4D05EB"/>
    <w:rsid w:val="5C591810"/>
    <w:rsid w:val="5CBF251D"/>
    <w:rsid w:val="5FD852C8"/>
    <w:rsid w:val="622630BF"/>
    <w:rsid w:val="62A332FF"/>
    <w:rsid w:val="639740F1"/>
    <w:rsid w:val="64BA03AB"/>
    <w:rsid w:val="65F20792"/>
    <w:rsid w:val="66E448AB"/>
    <w:rsid w:val="67B61E9E"/>
    <w:rsid w:val="67CF1A58"/>
    <w:rsid w:val="68152BA5"/>
    <w:rsid w:val="6A1709C7"/>
    <w:rsid w:val="6D3C6797"/>
    <w:rsid w:val="6E104455"/>
    <w:rsid w:val="6E4504C3"/>
    <w:rsid w:val="70AF5A5A"/>
    <w:rsid w:val="73100DEB"/>
    <w:rsid w:val="73EC4A73"/>
    <w:rsid w:val="751678CE"/>
    <w:rsid w:val="75D339A9"/>
    <w:rsid w:val="780A371A"/>
    <w:rsid w:val="79F503F9"/>
    <w:rsid w:val="7A305FBB"/>
    <w:rsid w:val="7AB93A8E"/>
    <w:rsid w:val="7D474AC8"/>
    <w:rsid w:val="7DAA52E4"/>
    <w:rsid w:val="7DF764EE"/>
    <w:rsid w:val="7E1626C8"/>
    <w:rsid w:val="7E235535"/>
    <w:rsid w:val="7E914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iPriority="99" w:semiHidden="0"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iPriority="99" w:semiHidden="0" w:name="Body Text 2"/>
    <w:lsdException w:uiPriority="99"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3"/>
    <w:qFormat/>
    <w:uiPriority w:val="0"/>
    <w:pPr>
      <w:keepNext/>
      <w:keepLines/>
      <w:spacing w:before="340" w:after="330" w:line="576" w:lineRule="auto"/>
      <w:jc w:val="center"/>
      <w:outlineLvl w:val="0"/>
    </w:pPr>
    <w:rPr>
      <w:b/>
      <w:bCs/>
      <w:kern w:val="44"/>
      <w:sz w:val="44"/>
      <w:szCs w:val="44"/>
    </w:rPr>
  </w:style>
  <w:style w:type="paragraph" w:styleId="3">
    <w:name w:val="heading 2"/>
    <w:basedOn w:val="1"/>
    <w:next w:val="1"/>
    <w:link w:val="34"/>
    <w:qFormat/>
    <w:uiPriority w:val="0"/>
    <w:pPr>
      <w:keepNext/>
      <w:keepLines/>
      <w:spacing w:before="260" w:after="260" w:line="413" w:lineRule="auto"/>
      <w:outlineLvl w:val="1"/>
    </w:pPr>
    <w:rPr>
      <w:rFonts w:ascii="Arial" w:hAnsi="Arial" w:eastAsia="黑体"/>
      <w:b/>
      <w:bCs/>
      <w:kern w:val="0"/>
      <w:sz w:val="32"/>
      <w:szCs w:val="32"/>
    </w:rPr>
  </w:style>
  <w:style w:type="paragraph" w:styleId="4">
    <w:name w:val="heading 3"/>
    <w:basedOn w:val="1"/>
    <w:next w:val="1"/>
    <w:link w:val="35"/>
    <w:qFormat/>
    <w:uiPriority w:val="0"/>
    <w:pPr>
      <w:outlineLvl w:val="2"/>
    </w:pPr>
    <w:rPr>
      <w:rFonts w:ascii="宋体" w:hAnsi="宋体" w:eastAsia="仿宋_GB2312"/>
      <w:color w:val="000000"/>
      <w:szCs w:val="28"/>
    </w:rPr>
  </w:style>
  <w:style w:type="paragraph" w:styleId="5">
    <w:name w:val="heading 4"/>
    <w:basedOn w:val="1"/>
    <w:next w:val="1"/>
    <w:link w:val="36"/>
    <w:qFormat/>
    <w:uiPriority w:val="0"/>
    <w:pPr>
      <w:keepNext/>
      <w:keepLines/>
      <w:spacing w:before="280" w:after="290" w:line="372" w:lineRule="auto"/>
      <w:outlineLvl w:val="3"/>
    </w:pPr>
    <w:rPr>
      <w:rFonts w:ascii="Arial" w:hAnsi="Arial" w:eastAsia="黑体"/>
      <w:b/>
      <w:bCs/>
      <w:sz w:val="28"/>
      <w:szCs w:val="28"/>
    </w:rPr>
  </w:style>
  <w:style w:type="character" w:default="1" w:styleId="28">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Document Map"/>
    <w:basedOn w:val="1"/>
    <w:link w:val="37"/>
    <w:qFormat/>
    <w:uiPriority w:val="0"/>
    <w:rPr>
      <w:rFonts w:ascii="宋体" w:hAnsi="Calibri"/>
      <w:kern w:val="0"/>
      <w:sz w:val="18"/>
      <w:szCs w:val="18"/>
    </w:rPr>
  </w:style>
  <w:style w:type="paragraph" w:styleId="8">
    <w:name w:val="toa heading"/>
    <w:basedOn w:val="1"/>
    <w:next w:val="1"/>
    <w:qFormat/>
    <w:uiPriority w:val="0"/>
    <w:pPr>
      <w:spacing w:before="120"/>
    </w:pPr>
    <w:rPr>
      <w:rFonts w:ascii="Arial" w:hAnsi="Arial" w:cs="Arial"/>
      <w:sz w:val="24"/>
    </w:rPr>
  </w:style>
  <w:style w:type="paragraph" w:styleId="9">
    <w:name w:val="annotation text"/>
    <w:basedOn w:val="1"/>
    <w:link w:val="38"/>
    <w:qFormat/>
    <w:uiPriority w:val="0"/>
    <w:pPr>
      <w:jc w:val="left"/>
    </w:pPr>
    <w:rPr>
      <w:szCs w:val="24"/>
    </w:rPr>
  </w:style>
  <w:style w:type="paragraph" w:styleId="10">
    <w:name w:val="Body Text"/>
    <w:basedOn w:val="1"/>
    <w:link w:val="39"/>
    <w:qFormat/>
    <w:uiPriority w:val="0"/>
    <w:pPr>
      <w:spacing w:after="120"/>
    </w:pPr>
    <w:rPr>
      <w:kern w:val="0"/>
      <w:sz w:val="20"/>
    </w:rPr>
  </w:style>
  <w:style w:type="paragraph" w:styleId="11">
    <w:name w:val="Body Text Indent"/>
    <w:basedOn w:val="1"/>
    <w:next w:val="1"/>
    <w:link w:val="40"/>
    <w:qFormat/>
    <w:uiPriority w:val="0"/>
    <w:pPr>
      <w:spacing w:after="120"/>
      <w:ind w:left="420" w:leftChars="200"/>
    </w:pPr>
    <w:rPr>
      <w:kern w:val="0"/>
      <w:sz w:val="20"/>
    </w:rPr>
  </w:style>
  <w:style w:type="paragraph" w:styleId="12">
    <w:name w:val="List 2"/>
    <w:basedOn w:val="1"/>
    <w:unhideWhenUsed/>
    <w:qFormat/>
    <w:uiPriority w:val="99"/>
    <w:pPr>
      <w:ind w:left="100" w:leftChars="200" w:hanging="200" w:hangingChars="200"/>
      <w:contextualSpacing/>
    </w:pPr>
  </w:style>
  <w:style w:type="paragraph" w:styleId="13">
    <w:name w:val="List Continue"/>
    <w:basedOn w:val="1"/>
    <w:unhideWhenUsed/>
    <w:qFormat/>
    <w:uiPriority w:val="99"/>
    <w:pPr>
      <w:spacing w:after="120"/>
      <w:ind w:left="420" w:leftChars="200"/>
      <w:contextualSpacing/>
    </w:pPr>
    <w:rPr>
      <w:szCs w:val="24"/>
    </w:rPr>
  </w:style>
  <w:style w:type="paragraph" w:styleId="14">
    <w:name w:val="Plain Text"/>
    <w:basedOn w:val="1"/>
    <w:link w:val="41"/>
    <w:qFormat/>
    <w:uiPriority w:val="0"/>
    <w:rPr>
      <w:rFonts w:ascii="宋体" w:hAnsi="Courier New"/>
      <w:kern w:val="0"/>
      <w:sz w:val="20"/>
      <w:szCs w:val="21"/>
    </w:rPr>
  </w:style>
  <w:style w:type="paragraph" w:styleId="15">
    <w:name w:val="Date"/>
    <w:basedOn w:val="1"/>
    <w:next w:val="1"/>
    <w:link w:val="42"/>
    <w:qFormat/>
    <w:uiPriority w:val="0"/>
    <w:pPr>
      <w:ind w:left="100" w:leftChars="2500"/>
    </w:pPr>
    <w:rPr>
      <w:rFonts w:ascii="Calibri" w:hAnsi="Calibri"/>
      <w:kern w:val="0"/>
      <w:sz w:val="32"/>
    </w:rPr>
  </w:style>
  <w:style w:type="paragraph" w:styleId="16">
    <w:name w:val="Body Text Indent 2"/>
    <w:basedOn w:val="1"/>
    <w:link w:val="43"/>
    <w:qFormat/>
    <w:uiPriority w:val="99"/>
    <w:pPr>
      <w:ind w:firstLine="570"/>
    </w:pPr>
    <w:rPr>
      <w:kern w:val="0"/>
      <w:sz w:val="32"/>
    </w:rPr>
  </w:style>
  <w:style w:type="paragraph" w:styleId="17">
    <w:name w:val="Balloon Text"/>
    <w:basedOn w:val="1"/>
    <w:link w:val="44"/>
    <w:qFormat/>
    <w:uiPriority w:val="0"/>
    <w:rPr>
      <w:rFonts w:ascii="Calibri" w:hAnsi="Calibri"/>
      <w:kern w:val="0"/>
      <w:sz w:val="18"/>
      <w:szCs w:val="18"/>
    </w:rPr>
  </w:style>
  <w:style w:type="paragraph" w:styleId="18">
    <w:name w:val="footer"/>
    <w:basedOn w:val="1"/>
    <w:link w:val="45"/>
    <w:qFormat/>
    <w:uiPriority w:val="0"/>
    <w:pPr>
      <w:tabs>
        <w:tab w:val="center" w:pos="4153"/>
        <w:tab w:val="right" w:pos="8306"/>
      </w:tabs>
      <w:snapToGrid w:val="0"/>
      <w:jc w:val="left"/>
    </w:pPr>
    <w:rPr>
      <w:sz w:val="18"/>
    </w:rPr>
  </w:style>
  <w:style w:type="paragraph" w:styleId="19">
    <w:name w:val="header"/>
    <w:basedOn w:val="1"/>
    <w:link w:val="4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Body Text Indent 3"/>
    <w:basedOn w:val="1"/>
    <w:link w:val="47"/>
    <w:qFormat/>
    <w:uiPriority w:val="0"/>
    <w:pPr>
      <w:spacing w:after="120"/>
      <w:ind w:left="420" w:leftChars="200"/>
    </w:pPr>
    <w:rPr>
      <w:rFonts w:ascii="Calibri" w:hAnsi="Calibri"/>
      <w:kern w:val="0"/>
      <w:sz w:val="16"/>
      <w:szCs w:val="16"/>
    </w:rPr>
  </w:style>
  <w:style w:type="paragraph" w:styleId="21">
    <w:name w:val="table of figures"/>
    <w:basedOn w:val="1"/>
    <w:next w:val="1"/>
    <w:qFormat/>
    <w:uiPriority w:val="0"/>
    <w:pPr>
      <w:spacing w:before="100"/>
      <w:jc w:val="left"/>
    </w:pPr>
    <w:rPr>
      <w:rFonts w:ascii="宋体" w:hAnsi="Calibri"/>
      <w:sz w:val="24"/>
      <w:szCs w:val="24"/>
    </w:rPr>
  </w:style>
  <w:style w:type="paragraph" w:styleId="22">
    <w:name w:val="Body Text 2"/>
    <w:basedOn w:val="1"/>
    <w:next w:val="10"/>
    <w:unhideWhenUsed/>
    <w:qFormat/>
    <w:uiPriority w:val="99"/>
    <w:pPr>
      <w:spacing w:line="360" w:lineRule="auto"/>
    </w:pPr>
    <w:rPr>
      <w:rFonts w:ascii="宋体" w:hAnsi="宋体" w:cs="宋体"/>
      <w:sz w:val="24"/>
      <w:szCs w:val="24"/>
    </w:rPr>
  </w:style>
  <w:style w:type="paragraph" w:styleId="2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4">
    <w:name w:val="Normal (Web)"/>
    <w:basedOn w:val="1"/>
    <w:qFormat/>
    <w:uiPriority w:val="99"/>
    <w:pPr>
      <w:spacing w:before="100" w:beforeAutospacing="1" w:after="100" w:afterAutospacing="1"/>
      <w:jc w:val="left"/>
    </w:pPr>
    <w:rPr>
      <w:kern w:val="0"/>
      <w:sz w:val="24"/>
    </w:rPr>
  </w:style>
  <w:style w:type="paragraph" w:styleId="25">
    <w:name w:val="Body Text First Indent"/>
    <w:basedOn w:val="10"/>
    <w:link w:val="48"/>
    <w:unhideWhenUsed/>
    <w:qFormat/>
    <w:uiPriority w:val="99"/>
    <w:pPr>
      <w:ind w:firstLine="420" w:firstLineChars="100"/>
    </w:pPr>
  </w:style>
  <w:style w:type="paragraph" w:styleId="26">
    <w:name w:val="Body Text First Indent 2"/>
    <w:basedOn w:val="11"/>
    <w:next w:val="6"/>
    <w:link w:val="49"/>
    <w:unhideWhenUsed/>
    <w:qFormat/>
    <w:uiPriority w:val="99"/>
    <w:pPr>
      <w:ind w:firstLine="420" w:firstLineChars="200"/>
    </w:pPr>
  </w:style>
  <w:style w:type="character" w:styleId="29">
    <w:name w:val="Strong"/>
    <w:basedOn w:val="28"/>
    <w:qFormat/>
    <w:uiPriority w:val="22"/>
    <w:rPr>
      <w:b/>
    </w:rPr>
  </w:style>
  <w:style w:type="character" w:styleId="30">
    <w:name w:val="page number"/>
    <w:qFormat/>
    <w:uiPriority w:val="0"/>
  </w:style>
  <w:style w:type="character" w:styleId="31">
    <w:name w:val="FollowedHyperlink"/>
    <w:basedOn w:val="28"/>
    <w:semiHidden/>
    <w:unhideWhenUsed/>
    <w:qFormat/>
    <w:uiPriority w:val="99"/>
    <w:rPr>
      <w:color w:val="800080"/>
      <w:u w:val="none"/>
    </w:rPr>
  </w:style>
  <w:style w:type="character" w:styleId="32">
    <w:name w:val="Hyperlink"/>
    <w:qFormat/>
    <w:uiPriority w:val="0"/>
    <w:rPr>
      <w:color w:val="0000FF"/>
      <w:u w:val="single"/>
    </w:rPr>
  </w:style>
  <w:style w:type="character" w:customStyle="1" w:styleId="33">
    <w:name w:val="标题 1 字符1"/>
    <w:link w:val="2"/>
    <w:qFormat/>
    <w:uiPriority w:val="9"/>
    <w:rPr>
      <w:rFonts w:ascii="Times New Roman" w:hAnsi="Times New Roman" w:eastAsia="宋体" w:cs="Times New Roman"/>
      <w:b/>
      <w:bCs/>
      <w:kern w:val="44"/>
      <w:sz w:val="44"/>
      <w:szCs w:val="44"/>
    </w:rPr>
  </w:style>
  <w:style w:type="character" w:customStyle="1" w:styleId="34">
    <w:name w:val="标题 2 字符1"/>
    <w:link w:val="3"/>
    <w:semiHidden/>
    <w:qFormat/>
    <w:uiPriority w:val="9"/>
    <w:rPr>
      <w:rFonts w:ascii="Cambria" w:hAnsi="Cambria" w:eastAsia="宋体" w:cs="Times New Roman"/>
      <w:b/>
      <w:bCs/>
      <w:sz w:val="32"/>
      <w:szCs w:val="32"/>
    </w:rPr>
  </w:style>
  <w:style w:type="character" w:customStyle="1" w:styleId="35">
    <w:name w:val="标题 3 字符"/>
    <w:link w:val="4"/>
    <w:qFormat/>
    <w:uiPriority w:val="0"/>
    <w:rPr>
      <w:rFonts w:ascii="宋体" w:hAnsi="宋体" w:eastAsia="仿宋_GB2312" w:cs="Times New Roman"/>
      <w:color w:val="000000"/>
      <w:szCs w:val="28"/>
    </w:rPr>
  </w:style>
  <w:style w:type="character" w:customStyle="1" w:styleId="36">
    <w:name w:val="标题 4 字符"/>
    <w:link w:val="5"/>
    <w:qFormat/>
    <w:uiPriority w:val="0"/>
    <w:rPr>
      <w:rFonts w:ascii="Arial" w:hAnsi="Arial" w:eastAsia="黑体" w:cs="Times New Roman"/>
      <w:b/>
      <w:bCs/>
      <w:sz w:val="28"/>
      <w:szCs w:val="28"/>
    </w:rPr>
  </w:style>
  <w:style w:type="character" w:customStyle="1" w:styleId="37">
    <w:name w:val="文档结构图 字符1"/>
    <w:link w:val="7"/>
    <w:semiHidden/>
    <w:qFormat/>
    <w:uiPriority w:val="99"/>
    <w:rPr>
      <w:rFonts w:ascii="宋体" w:hAnsi="Times New Roman" w:eastAsia="宋体" w:cs="Times New Roman"/>
      <w:sz w:val="18"/>
      <w:szCs w:val="18"/>
    </w:rPr>
  </w:style>
  <w:style w:type="character" w:customStyle="1" w:styleId="38">
    <w:name w:val="批注文字 字符"/>
    <w:link w:val="9"/>
    <w:qFormat/>
    <w:uiPriority w:val="0"/>
    <w:rPr>
      <w:rFonts w:ascii="Times New Roman" w:hAnsi="Times New Roman" w:eastAsia="宋体" w:cs="Times New Roman"/>
      <w:szCs w:val="24"/>
    </w:rPr>
  </w:style>
  <w:style w:type="character" w:customStyle="1" w:styleId="39">
    <w:name w:val="正文文本 字符1"/>
    <w:link w:val="10"/>
    <w:semiHidden/>
    <w:qFormat/>
    <w:uiPriority w:val="99"/>
    <w:rPr>
      <w:rFonts w:ascii="Times New Roman" w:hAnsi="Times New Roman" w:eastAsia="宋体" w:cs="Times New Roman"/>
      <w:szCs w:val="20"/>
    </w:rPr>
  </w:style>
  <w:style w:type="character" w:customStyle="1" w:styleId="40">
    <w:name w:val="正文文本缩进 字符1"/>
    <w:link w:val="11"/>
    <w:semiHidden/>
    <w:qFormat/>
    <w:uiPriority w:val="99"/>
    <w:rPr>
      <w:rFonts w:ascii="Times New Roman" w:hAnsi="Times New Roman" w:eastAsia="宋体" w:cs="Times New Roman"/>
      <w:szCs w:val="20"/>
    </w:rPr>
  </w:style>
  <w:style w:type="character" w:customStyle="1" w:styleId="41">
    <w:name w:val="纯文本 字符2"/>
    <w:link w:val="14"/>
    <w:semiHidden/>
    <w:qFormat/>
    <w:uiPriority w:val="99"/>
    <w:rPr>
      <w:rFonts w:ascii="宋体" w:hAnsi="Courier New" w:eastAsia="宋体" w:cs="Courier New"/>
      <w:szCs w:val="21"/>
    </w:rPr>
  </w:style>
  <w:style w:type="character" w:customStyle="1" w:styleId="42">
    <w:name w:val="日期 字符1"/>
    <w:link w:val="15"/>
    <w:semiHidden/>
    <w:qFormat/>
    <w:uiPriority w:val="99"/>
    <w:rPr>
      <w:rFonts w:ascii="Times New Roman" w:hAnsi="Times New Roman" w:eastAsia="宋体" w:cs="Times New Roman"/>
      <w:szCs w:val="20"/>
    </w:rPr>
  </w:style>
  <w:style w:type="character" w:customStyle="1" w:styleId="43">
    <w:name w:val="正文文本缩进 2 字符"/>
    <w:link w:val="16"/>
    <w:qFormat/>
    <w:uiPriority w:val="0"/>
    <w:rPr>
      <w:rFonts w:ascii="Times New Roman" w:hAnsi="Times New Roman" w:eastAsia="宋体" w:cs="Times New Roman"/>
      <w:kern w:val="0"/>
      <w:sz w:val="32"/>
      <w:szCs w:val="20"/>
    </w:rPr>
  </w:style>
  <w:style w:type="character" w:customStyle="1" w:styleId="44">
    <w:name w:val="批注框文本 字符1"/>
    <w:link w:val="17"/>
    <w:semiHidden/>
    <w:qFormat/>
    <w:uiPriority w:val="99"/>
    <w:rPr>
      <w:rFonts w:ascii="Times New Roman" w:hAnsi="Times New Roman" w:eastAsia="宋体" w:cs="Times New Roman"/>
      <w:sz w:val="18"/>
      <w:szCs w:val="18"/>
    </w:rPr>
  </w:style>
  <w:style w:type="character" w:customStyle="1" w:styleId="45">
    <w:name w:val="页脚 字符"/>
    <w:link w:val="18"/>
    <w:qFormat/>
    <w:uiPriority w:val="0"/>
    <w:rPr>
      <w:rFonts w:ascii="Times New Roman" w:hAnsi="Times New Roman" w:eastAsia="宋体" w:cs="Times New Roman"/>
      <w:sz w:val="18"/>
      <w:szCs w:val="20"/>
    </w:rPr>
  </w:style>
  <w:style w:type="character" w:customStyle="1" w:styleId="46">
    <w:name w:val="页眉 字符"/>
    <w:link w:val="19"/>
    <w:qFormat/>
    <w:uiPriority w:val="0"/>
    <w:rPr>
      <w:rFonts w:ascii="Times New Roman" w:hAnsi="Times New Roman" w:eastAsia="宋体" w:cs="Times New Roman"/>
      <w:sz w:val="18"/>
      <w:szCs w:val="20"/>
    </w:rPr>
  </w:style>
  <w:style w:type="character" w:customStyle="1" w:styleId="47">
    <w:name w:val="正文文本缩进 3 字符2"/>
    <w:link w:val="20"/>
    <w:semiHidden/>
    <w:qFormat/>
    <w:uiPriority w:val="99"/>
    <w:rPr>
      <w:rFonts w:ascii="Times New Roman" w:hAnsi="Times New Roman" w:eastAsia="宋体" w:cs="Times New Roman"/>
      <w:sz w:val="16"/>
      <w:szCs w:val="16"/>
    </w:rPr>
  </w:style>
  <w:style w:type="character" w:customStyle="1" w:styleId="48">
    <w:name w:val="正文文本首行缩进 字符1"/>
    <w:link w:val="25"/>
    <w:semiHidden/>
    <w:qFormat/>
    <w:uiPriority w:val="99"/>
    <w:rPr>
      <w:rFonts w:ascii="Times New Roman" w:hAnsi="Times New Roman" w:eastAsia="宋体" w:cs="Times New Roman"/>
      <w:szCs w:val="20"/>
    </w:rPr>
  </w:style>
  <w:style w:type="character" w:customStyle="1" w:styleId="49">
    <w:name w:val="正文文本首行缩进 2 字符1"/>
    <w:link w:val="26"/>
    <w:semiHidden/>
    <w:qFormat/>
    <w:uiPriority w:val="99"/>
    <w:rPr>
      <w:rFonts w:ascii="Times New Roman" w:hAnsi="Times New Roman" w:eastAsia="宋体" w:cs="Times New Roman"/>
      <w:szCs w:val="20"/>
    </w:rPr>
  </w:style>
  <w:style w:type="character" w:customStyle="1" w:styleId="50">
    <w:name w:val="标题 1 字符"/>
    <w:qFormat/>
    <w:uiPriority w:val="0"/>
    <w:rPr>
      <w:rFonts w:ascii="Times New Roman" w:hAnsi="Times New Roman" w:eastAsia="宋体" w:cs="Times New Roman"/>
      <w:b/>
      <w:bCs/>
      <w:kern w:val="44"/>
      <w:sz w:val="44"/>
      <w:szCs w:val="44"/>
    </w:rPr>
  </w:style>
  <w:style w:type="character" w:customStyle="1" w:styleId="51">
    <w:name w:val="标题 2 字符"/>
    <w:qFormat/>
    <w:uiPriority w:val="0"/>
    <w:rPr>
      <w:rFonts w:ascii="Arial" w:hAnsi="Arial" w:eastAsia="黑体" w:cs="Times New Roman"/>
      <w:b/>
      <w:bCs/>
      <w:sz w:val="32"/>
      <w:szCs w:val="32"/>
    </w:rPr>
  </w:style>
  <w:style w:type="character" w:customStyle="1" w:styleId="52">
    <w:name w:val="文档结构图 字符"/>
    <w:qFormat/>
    <w:uiPriority w:val="0"/>
    <w:rPr>
      <w:rFonts w:ascii="宋体"/>
      <w:sz w:val="18"/>
      <w:szCs w:val="18"/>
    </w:rPr>
  </w:style>
  <w:style w:type="character" w:customStyle="1" w:styleId="53">
    <w:name w:val="正文文本 字符"/>
    <w:qFormat/>
    <w:uiPriority w:val="0"/>
    <w:rPr>
      <w:rFonts w:ascii="Times New Roman" w:hAnsi="Times New Roman" w:eastAsia="宋体" w:cs="Times New Roman"/>
      <w:szCs w:val="20"/>
    </w:rPr>
  </w:style>
  <w:style w:type="character" w:customStyle="1" w:styleId="54">
    <w:name w:val="正文文本缩进 字符"/>
    <w:qFormat/>
    <w:uiPriority w:val="0"/>
    <w:rPr>
      <w:rFonts w:ascii="Times New Roman" w:hAnsi="Times New Roman" w:eastAsia="宋体" w:cs="Times New Roman"/>
      <w:szCs w:val="20"/>
    </w:rPr>
  </w:style>
  <w:style w:type="character" w:customStyle="1" w:styleId="55">
    <w:name w:val="纯文本 字符"/>
    <w:qFormat/>
    <w:uiPriority w:val="0"/>
    <w:rPr>
      <w:rFonts w:ascii="宋体" w:hAnsi="Courier New" w:cs="Courier New"/>
      <w:szCs w:val="21"/>
    </w:rPr>
  </w:style>
  <w:style w:type="character" w:customStyle="1" w:styleId="56">
    <w:name w:val="日期 字符"/>
    <w:qFormat/>
    <w:uiPriority w:val="0"/>
    <w:rPr>
      <w:rFonts w:ascii="Calibri" w:hAnsi="Calibri" w:eastAsia="宋体" w:cs="Times New Roman"/>
      <w:sz w:val="32"/>
    </w:rPr>
  </w:style>
  <w:style w:type="character" w:customStyle="1" w:styleId="57">
    <w:name w:val="批注框文本 字符"/>
    <w:qFormat/>
    <w:uiPriority w:val="0"/>
    <w:rPr>
      <w:sz w:val="18"/>
      <w:szCs w:val="18"/>
    </w:rPr>
  </w:style>
  <w:style w:type="character" w:customStyle="1" w:styleId="58">
    <w:name w:val="正文文本缩进 3 字符"/>
    <w:qFormat/>
    <w:uiPriority w:val="0"/>
    <w:rPr>
      <w:sz w:val="16"/>
      <w:szCs w:val="16"/>
    </w:rPr>
  </w:style>
  <w:style w:type="character" w:customStyle="1" w:styleId="59">
    <w:name w:val="标题 2 Char Char"/>
    <w:qFormat/>
    <w:uiPriority w:val="0"/>
    <w:rPr>
      <w:rFonts w:ascii="Arial" w:hAnsi="Arial" w:eastAsia="黑体"/>
      <w:b/>
      <w:kern w:val="2"/>
      <w:sz w:val="32"/>
      <w:lang w:val="en-US" w:eastAsia="zh-CN"/>
    </w:rPr>
  </w:style>
  <w:style w:type="paragraph" w:customStyle="1" w:styleId="60">
    <w:name w:val="样式 标题 1 + (西文) 宋体 (中文) 黑体 无下划线"/>
    <w:basedOn w:val="2"/>
    <w:next w:val="1"/>
    <w:qFormat/>
    <w:uiPriority w:val="0"/>
    <w:pPr>
      <w:ind w:firstLine="883" w:firstLineChars="200"/>
    </w:pPr>
    <w:rPr>
      <w:rFonts w:ascii="宋体" w:hAnsi="宋体" w:eastAsia="黑体" w:cs="宋体"/>
      <w:kern w:val="2"/>
      <w:szCs w:val="20"/>
    </w:rPr>
  </w:style>
  <w:style w:type="paragraph" w:customStyle="1" w:styleId="61">
    <w:name w:val="目录 31"/>
    <w:basedOn w:val="10"/>
    <w:next w:val="25"/>
    <w:link w:val="62"/>
    <w:qFormat/>
    <w:uiPriority w:val="0"/>
    <w:pPr>
      <w:ind w:firstLine="420" w:firstLineChars="100"/>
    </w:pPr>
    <w:rPr>
      <w:rFonts w:ascii="Calibri" w:hAnsi="Calibri"/>
      <w:szCs w:val="22"/>
    </w:rPr>
  </w:style>
  <w:style w:type="character" w:customStyle="1" w:styleId="62">
    <w:name w:val="正文文本首行缩进 字符"/>
    <w:link w:val="61"/>
    <w:qFormat/>
    <w:uiPriority w:val="0"/>
  </w:style>
  <w:style w:type="paragraph" w:customStyle="1" w:styleId="63">
    <w:name w:val="p0"/>
    <w:basedOn w:val="1"/>
    <w:qFormat/>
    <w:uiPriority w:val="0"/>
    <w:pPr>
      <w:widowControl/>
    </w:pPr>
    <w:rPr>
      <w:kern w:val="0"/>
      <w:szCs w:val="21"/>
    </w:rPr>
  </w:style>
  <w:style w:type="paragraph" w:customStyle="1" w:styleId="64">
    <w:name w:val="节标题"/>
    <w:basedOn w:val="1"/>
    <w:next w:val="1"/>
    <w:qFormat/>
    <w:uiPriority w:val="0"/>
    <w:pPr>
      <w:widowControl/>
      <w:spacing w:line="578" w:lineRule="atLeast"/>
      <w:jc w:val="center"/>
      <w:textAlignment w:val="baseline"/>
    </w:pPr>
    <w:rPr>
      <w:color w:val="000000"/>
      <w:kern w:val="0"/>
      <w:sz w:val="28"/>
      <w:u w:color="000000"/>
    </w:rPr>
  </w:style>
  <w:style w:type="paragraph" w:customStyle="1" w:styleId="65">
    <w:name w:val="Char Char Char"/>
    <w:basedOn w:val="1"/>
    <w:qFormat/>
    <w:uiPriority w:val="0"/>
  </w:style>
  <w:style w:type="paragraph" w:customStyle="1" w:styleId="66">
    <w:name w:val="p16"/>
    <w:basedOn w:val="1"/>
    <w:qFormat/>
    <w:uiPriority w:val="0"/>
    <w:pPr>
      <w:widowControl/>
      <w:spacing w:before="100" w:beforeAutospacing="1" w:after="100" w:afterAutospacing="1"/>
      <w:jc w:val="left"/>
    </w:pPr>
    <w:rPr>
      <w:rFonts w:ascii="宋体" w:hAnsi="宋体" w:cs="宋体"/>
      <w:kern w:val="0"/>
      <w:sz w:val="24"/>
    </w:rPr>
  </w:style>
  <w:style w:type="paragraph" w:customStyle="1" w:styleId="67">
    <w:name w:val="Char Char Char Char Char Char Char Char Char"/>
    <w:basedOn w:val="1"/>
    <w:qFormat/>
    <w:uiPriority w:val="0"/>
  </w:style>
  <w:style w:type="paragraph" w:customStyle="1" w:styleId="68">
    <w:name w:val="Default"/>
    <w:qFormat/>
    <w:uiPriority w:val="0"/>
    <w:pPr>
      <w:autoSpaceDE w:val="0"/>
      <w:autoSpaceDN w:val="0"/>
      <w:adjustRightInd w:val="0"/>
    </w:pPr>
    <w:rPr>
      <w:rFonts w:ascii="宋体" w:hAnsi="Times New Roman" w:eastAsia="微软雅黑" w:cs="宋体"/>
      <w:color w:val="000000"/>
      <w:sz w:val="24"/>
      <w:szCs w:val="24"/>
      <w:lang w:val="en-US" w:eastAsia="zh-CN" w:bidi="ar-SA"/>
    </w:rPr>
  </w:style>
  <w:style w:type="paragraph" w:customStyle="1" w:styleId="69">
    <w:name w:val="Table Paragraph"/>
    <w:basedOn w:val="1"/>
    <w:unhideWhenUsed/>
    <w:qFormat/>
    <w:uiPriority w:val="1"/>
    <w:rPr>
      <w:sz w:val="24"/>
    </w:rPr>
  </w:style>
  <w:style w:type="paragraph" w:customStyle="1" w:styleId="70">
    <w:name w:val="样式 标题 3 + (中文) 黑体 小四 非加粗 段前: 7.8 磅 段后: 0 磅 行距: 固定值 20 磅"/>
    <w:basedOn w:val="4"/>
    <w:qFormat/>
    <w:uiPriority w:val="0"/>
    <w:pPr>
      <w:keepNext/>
      <w:keepLines/>
      <w:spacing w:line="400" w:lineRule="exact"/>
    </w:pPr>
    <w:rPr>
      <w:rFonts w:ascii="Times New Roman" w:hAnsi="Times New Roman" w:eastAsia="黑体" w:cs="宋体"/>
      <w:color w:val="auto"/>
      <w:sz w:val="24"/>
      <w:szCs w:val="20"/>
    </w:rPr>
  </w:style>
  <w:style w:type="paragraph" w:customStyle="1" w:styleId="71">
    <w:name w:val="WPS Plain"/>
    <w:qFormat/>
    <w:uiPriority w:val="0"/>
    <w:rPr>
      <w:rFonts w:ascii="Times New Roman" w:hAnsi="Times New Roman" w:eastAsia="宋体" w:cs="Times New Roman"/>
      <w:lang w:val="en-US" w:eastAsia="zh-CN" w:bidi="ar-SA"/>
    </w:rPr>
  </w:style>
  <w:style w:type="paragraph" w:customStyle="1" w:styleId="7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73">
    <w:name w:val="WPSOffice手动目录 1"/>
    <w:qFormat/>
    <w:uiPriority w:val="0"/>
    <w:rPr>
      <w:rFonts w:ascii="Times New Roman" w:hAnsi="Times New Roman" w:eastAsia="宋体" w:cs="Times New Roman"/>
      <w:lang w:val="en-US" w:eastAsia="zh-CN" w:bidi="ar-SA"/>
    </w:rPr>
  </w:style>
  <w:style w:type="paragraph" w:customStyle="1" w:styleId="74">
    <w:name w:val="Char1 Char Char Char Char Char Char Char Char Char"/>
    <w:basedOn w:val="1"/>
    <w:qFormat/>
    <w:uiPriority w:val="0"/>
    <w:rPr>
      <w:szCs w:val="24"/>
    </w:rPr>
  </w:style>
  <w:style w:type="character" w:customStyle="1" w:styleId="75">
    <w:name w:val="正文文本首行缩进 2 字符"/>
    <w:qFormat/>
    <w:uiPriority w:val="0"/>
    <w:rPr>
      <w:kern w:val="2"/>
      <w:sz w:val="21"/>
      <w:szCs w:val="24"/>
    </w:rPr>
  </w:style>
  <w:style w:type="character" w:customStyle="1" w:styleId="76">
    <w:name w:val="纯文本 字符1"/>
    <w:qFormat/>
    <w:uiPriority w:val="0"/>
    <w:rPr>
      <w:rFonts w:ascii="宋体" w:hAnsi="Courier New" w:cs="Courier New"/>
      <w:kern w:val="2"/>
      <w:sz w:val="21"/>
      <w:szCs w:val="21"/>
    </w:rPr>
  </w:style>
  <w:style w:type="character" w:customStyle="1" w:styleId="77">
    <w:name w:val="正文文本缩进 3 字符1"/>
    <w:qFormat/>
    <w:uiPriority w:val="0"/>
    <w:rPr>
      <w:kern w:val="2"/>
      <w:sz w:val="16"/>
      <w:szCs w:val="16"/>
    </w:rPr>
  </w:style>
  <w:style w:type="paragraph" w:customStyle="1" w:styleId="78">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F5496"/>
      <w:kern w:val="0"/>
      <w:sz w:val="32"/>
      <w:szCs w:val="32"/>
    </w:rPr>
  </w:style>
  <w:style w:type="character" w:customStyle="1" w:styleId="79">
    <w:name w:val="未处理的提及1"/>
    <w:unhideWhenUsed/>
    <w:qFormat/>
    <w:uiPriority w:val="99"/>
    <w:rPr>
      <w:color w:val="605E5C"/>
      <w:shd w:val="clear" w:color="auto" w:fill="E1DFDD"/>
    </w:rPr>
  </w:style>
  <w:style w:type="paragraph" w:customStyle="1" w:styleId="80">
    <w:name w:val="Null"/>
    <w:qFormat/>
    <w:uiPriority w:val="0"/>
    <w:pPr>
      <w:textAlignment w:val="baseline"/>
    </w:pPr>
    <w:rPr>
      <w:rFonts w:ascii="Times New Roman" w:hAnsi="Times New Roman" w:eastAsia="Times New Roman" w:cs="Times New Roman"/>
      <w:color w:val="000000"/>
      <w:sz w:val="24"/>
      <w:szCs w:val="24"/>
      <w:lang w:val="zh-CN" w:eastAsia="zh-CN" w:bidi="zh-CN"/>
    </w:rPr>
  </w:style>
  <w:style w:type="paragraph" w:customStyle="1" w:styleId="81">
    <w:name w:val="列表段落1"/>
    <w:basedOn w:val="1"/>
    <w:qFormat/>
    <w:uiPriority w:val="0"/>
    <w:pPr>
      <w:widowControl/>
      <w:kinsoku w:val="0"/>
      <w:autoSpaceDE w:val="0"/>
      <w:autoSpaceDN w:val="0"/>
      <w:adjustRightInd w:val="0"/>
      <w:snapToGrid w:val="0"/>
      <w:spacing w:before="3"/>
      <w:ind w:left="120" w:right="260" w:firstLine="640"/>
      <w:jc w:val="left"/>
      <w:textAlignment w:val="baseline"/>
    </w:pPr>
    <w:rPr>
      <w:rFonts w:ascii="仿宋_GB2312" w:hAnsi="仿宋_GB2312" w:eastAsia="仿宋_GB2312" w:cs="仿宋_GB2312"/>
      <w:snapToGrid w:val="0"/>
      <w:color w:val="000000"/>
      <w:kern w:val="0"/>
      <w:szCs w:val="21"/>
      <w:lang w:val="zh-CN" w:bidi="zh-CN"/>
    </w:rPr>
  </w:style>
  <w:style w:type="paragraph" w:styleId="82">
    <w:name w:val="List Paragraph"/>
    <w:basedOn w:val="1"/>
    <w:qFormat/>
    <w:uiPriority w:val="34"/>
    <w:pPr>
      <w:ind w:firstLine="420" w:firstLineChars="200"/>
    </w:pPr>
  </w:style>
  <w:style w:type="character" w:customStyle="1" w:styleId="83">
    <w:name w:val="ul_li_a_1"/>
    <w:basedOn w:val="28"/>
    <w:qFormat/>
    <w:uiPriority w:val="0"/>
    <w:rPr>
      <w:b/>
      <w:bCs/>
      <w:color w:val="FFFFFF"/>
    </w:rPr>
  </w:style>
  <w:style w:type="character" w:customStyle="1" w:styleId="84">
    <w:name w:val="a_p_1"/>
    <w:basedOn w:val="28"/>
    <w:qFormat/>
    <w:uiPriority w:val="0"/>
    <w:rPr>
      <w:sz w:val="27"/>
      <w:szCs w:val="27"/>
    </w:rPr>
  </w:style>
  <w:style w:type="character" w:customStyle="1" w:styleId="85">
    <w:name w:val="a_p_3"/>
    <w:basedOn w:val="28"/>
    <w:qFormat/>
    <w:uiPriority w:val="0"/>
    <w:rPr>
      <w:sz w:val="27"/>
      <w:szCs w:val="27"/>
    </w:rPr>
  </w:style>
  <w:style w:type="character" w:customStyle="1" w:styleId="86">
    <w:name w:val="a_p_2"/>
    <w:basedOn w:val="28"/>
    <w:qFormat/>
    <w:uiPriority w:val="0"/>
  </w:style>
  <w:style w:type="character" w:customStyle="1" w:styleId="87">
    <w:name w:val="a_p_21"/>
    <w:basedOn w:val="28"/>
    <w:qFormat/>
    <w:uiPriority w:val="0"/>
    <w:rPr>
      <w:sz w:val="27"/>
      <w:szCs w:val="27"/>
    </w:rPr>
  </w:style>
  <w:style w:type="character" w:customStyle="1" w:styleId="88">
    <w:name w:val="exap"/>
    <w:basedOn w:val="28"/>
    <w:qFormat/>
    <w:uiPriority w:val="0"/>
    <w:rPr>
      <w:sz w:val="27"/>
      <w:szCs w:val="27"/>
    </w:rPr>
  </w:style>
  <w:style w:type="character" w:customStyle="1" w:styleId="89">
    <w:name w:val="gb-jt"/>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97DF1C-FB51-43BE-BF29-270E2950D9A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53</Pages>
  <Words>13559</Words>
  <Characters>14725</Characters>
  <Lines>216</Lines>
  <Paragraphs>60</Paragraphs>
  <TotalTime>5</TotalTime>
  <ScaleCrop>false</ScaleCrop>
  <LinksUpToDate>false</LinksUpToDate>
  <CharactersWithSpaces>14826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2025-07-24T15:38:00Z</dcterms:created>
  <dc:creator>Administrator</dc:creator>
  <cp:lastModifiedBy>Administrator</cp:lastModifiedBy>
  <cp:lastPrinted>2026-05-27T01:40:00Z</cp:lastPrinted>
  <dcterms:modified xsi:type="dcterms:W3CDTF">2026-05-27T06:44:51Z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eyJoZGlkIjoiZWFkYWQyNGI1ZDAwN2UwYzE3NjFmMTk5YjRhNGUzMGIiLCJ1c2VySWQiOiI1MjYyNDE2NjUifQ==</vt:lpwstr>
  </property>
  <property fmtid="{D5CDD505-2E9C-101B-9397-08002B2CF9AE}" pid="3" name="KSOProductBuildVer">
    <vt:lpwstr>2052-12.1.0.26375</vt:lpwstr>
  </property>
  <property fmtid="{D5CDD505-2E9C-101B-9397-08002B2CF9AE}" pid="4" name="ICV">
    <vt:lpwstr>EEFFA62A37D14ECD8B4D946444B23097_13</vt:lpwstr>
  </property>
</Properties>
</file>